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E92F" w14:textId="77777777" w:rsidR="00A42419" w:rsidRDefault="00A42419"/>
    <w:p w14:paraId="45DB1718" w14:textId="77777777" w:rsidR="00A42419" w:rsidRPr="00A42419" w:rsidRDefault="00A42419" w:rsidP="00A42419">
      <w:pPr>
        <w:spacing w:after="100" w:afterAutospacing="1" w:line="240" w:lineRule="auto"/>
        <w:outlineLvl w:val="2"/>
        <w:rPr>
          <w:rFonts w:ascii="Arial" w:eastAsia="Times New Roman" w:hAnsi="Arial" w:cs="Arial"/>
          <w:b/>
          <w:bCs/>
          <w:kern w:val="0"/>
          <w:sz w:val="27"/>
          <w:szCs w:val="27"/>
          <w14:ligatures w14:val="none"/>
        </w:rPr>
      </w:pPr>
      <w:r w:rsidRPr="00A42419">
        <w:rPr>
          <w:rFonts w:ascii="Arial" w:eastAsia="Times New Roman" w:hAnsi="Arial" w:cs="Arial"/>
          <w:b/>
          <w:bCs/>
          <w:kern w:val="0"/>
          <w:sz w:val="27"/>
          <w:szCs w:val="27"/>
          <w14:ligatures w14:val="none"/>
        </w:rPr>
        <w:t>Section: Statistical Analysis</w:t>
      </w:r>
    </w:p>
    <w:p w14:paraId="0111C612" w14:textId="77777777" w:rsidR="00A42419" w:rsidRPr="00A42419" w:rsidRDefault="00A42419" w:rsidP="00A42419">
      <w:pPr>
        <w:spacing w:after="100" w:afterAutospacing="1" w:line="240" w:lineRule="auto"/>
        <w:outlineLvl w:val="3"/>
        <w:rPr>
          <w:rFonts w:ascii="Arial" w:eastAsia="Times New Roman" w:hAnsi="Arial" w:cs="Arial"/>
          <w:b/>
          <w:bCs/>
          <w:kern w:val="0"/>
          <w14:ligatures w14:val="none"/>
        </w:rPr>
      </w:pPr>
      <w:r w:rsidRPr="00A42419">
        <w:rPr>
          <w:rFonts w:ascii="Arial" w:eastAsia="Times New Roman" w:hAnsi="Arial" w:cs="Arial"/>
          <w:b/>
          <w:bCs/>
          <w:kern w:val="0"/>
          <w14:ligatures w14:val="none"/>
        </w:rPr>
        <w:t>1. Initial Model and Diagnostics</w:t>
      </w:r>
    </w:p>
    <w:p w14:paraId="21E8458E" w14:textId="77777777" w:rsidR="00A42419" w:rsidRPr="00A42419" w:rsidRDefault="00A42419" w:rsidP="00A42419">
      <w:pPr>
        <w:spacing w:after="100" w:afterAutospacing="1" w:line="240" w:lineRule="auto"/>
        <w:rPr>
          <w:rFonts w:ascii="Arial" w:eastAsia="Times New Roman" w:hAnsi="Arial" w:cs="Arial"/>
          <w:kern w:val="0"/>
          <w14:ligatures w14:val="none"/>
        </w:rPr>
      </w:pPr>
      <w:r w:rsidRPr="00A42419">
        <w:rPr>
          <w:rFonts w:ascii="Arial" w:eastAsia="Times New Roman" w:hAnsi="Arial" w:cs="Arial"/>
          <w:kern w:val="0"/>
          <w14:ligatures w14:val="none"/>
        </w:rPr>
        <w:t xml:space="preserve">We initially fitted an OLS regression model with vehicle price ($Price.DE.$) as the response variable. However, a systematic review of the diagnostic plots (Figure 2) revealed significant violations of Gauss-Markov assumptions. The </w:t>
      </w:r>
      <w:r w:rsidRPr="00A42419">
        <w:rPr>
          <w:rFonts w:ascii="Arial" w:eastAsia="Times New Roman" w:hAnsi="Arial" w:cs="Arial"/>
          <w:i/>
          <w:iCs/>
          <w:kern w:val="0"/>
          <w14:ligatures w14:val="none"/>
        </w:rPr>
        <w:t>Residuals vs Fitted</w:t>
      </w:r>
      <w:r w:rsidRPr="00A42419">
        <w:rPr>
          <w:rFonts w:ascii="Arial" w:eastAsia="Times New Roman" w:hAnsi="Arial" w:cs="Arial"/>
          <w:kern w:val="0"/>
          <w14:ligatures w14:val="none"/>
        </w:rPr>
        <w:t xml:space="preserve"> plot showed a prominent </w:t>
      </w:r>
      <w:r w:rsidRPr="00A42419">
        <w:rPr>
          <w:rFonts w:ascii="Arial" w:eastAsia="Times New Roman" w:hAnsi="Arial" w:cs="Arial"/>
          <w:b/>
          <w:bCs/>
          <w:kern w:val="0"/>
          <w14:ligatures w14:val="none"/>
        </w:rPr>
        <w:t>fan-shaped pattern</w:t>
      </w:r>
      <w:r w:rsidRPr="00A42419">
        <w:rPr>
          <w:rFonts w:ascii="Arial" w:eastAsia="Times New Roman" w:hAnsi="Arial" w:cs="Arial"/>
          <w:kern w:val="0"/>
          <w14:ligatures w14:val="none"/>
        </w:rPr>
        <w:t xml:space="preserve">, indicating </w:t>
      </w:r>
      <w:r w:rsidRPr="00A42419">
        <w:rPr>
          <w:rFonts w:ascii="Arial" w:eastAsia="Times New Roman" w:hAnsi="Arial" w:cs="Arial"/>
          <w:b/>
          <w:bCs/>
          <w:kern w:val="0"/>
          <w14:ligatures w14:val="none"/>
        </w:rPr>
        <w:t>heteroscedasticity</w:t>
      </w:r>
      <w:r w:rsidRPr="00A42419">
        <w:rPr>
          <w:rFonts w:ascii="Arial" w:eastAsia="Times New Roman" w:hAnsi="Arial" w:cs="Arial"/>
          <w:kern w:val="0"/>
          <w14:ligatures w14:val="none"/>
        </w:rPr>
        <w:t xml:space="preserve"> where the error variance increases with the predicted price. Additionally, the </w:t>
      </w:r>
      <w:r w:rsidRPr="00A42419">
        <w:rPr>
          <w:rFonts w:ascii="Arial" w:eastAsia="Times New Roman" w:hAnsi="Arial" w:cs="Arial"/>
          <w:i/>
          <w:iCs/>
          <w:kern w:val="0"/>
          <w14:ligatures w14:val="none"/>
        </w:rPr>
        <w:t>Normal Q-Q</w:t>
      </w:r>
      <w:r w:rsidRPr="00A42419">
        <w:rPr>
          <w:rFonts w:ascii="Arial" w:eastAsia="Times New Roman" w:hAnsi="Arial" w:cs="Arial"/>
          <w:kern w:val="0"/>
          <w14:ligatures w14:val="none"/>
        </w:rPr>
        <w:t xml:space="preserve"> plot exhibited a </w:t>
      </w:r>
      <w:r w:rsidRPr="00A42419">
        <w:rPr>
          <w:rFonts w:ascii="Arial" w:eastAsia="Times New Roman" w:hAnsi="Arial" w:cs="Arial"/>
          <w:b/>
          <w:bCs/>
          <w:kern w:val="0"/>
          <w14:ligatures w14:val="none"/>
        </w:rPr>
        <w:t>heavy upper tail</w:t>
      </w:r>
      <w:r w:rsidRPr="00A42419">
        <w:rPr>
          <w:rFonts w:ascii="Arial" w:eastAsia="Times New Roman" w:hAnsi="Arial" w:cs="Arial"/>
          <w:kern w:val="0"/>
          <w14:ligatures w14:val="none"/>
        </w:rPr>
        <w:t>, suggesting that the residuals were not normally distributed but rather right-skewed.</w:t>
      </w:r>
    </w:p>
    <w:p w14:paraId="66C12816" w14:textId="77777777" w:rsidR="00A42419" w:rsidRPr="00A42419" w:rsidRDefault="00A42419" w:rsidP="00A42419">
      <w:pPr>
        <w:spacing w:after="100" w:afterAutospacing="1" w:line="240" w:lineRule="auto"/>
        <w:outlineLvl w:val="3"/>
        <w:rPr>
          <w:rFonts w:ascii="Arial" w:eastAsia="Times New Roman" w:hAnsi="Arial" w:cs="Arial"/>
          <w:b/>
          <w:bCs/>
          <w:kern w:val="0"/>
          <w14:ligatures w14:val="none"/>
        </w:rPr>
      </w:pPr>
      <w:r w:rsidRPr="00A42419">
        <w:rPr>
          <w:rFonts w:ascii="Arial" w:eastAsia="Times New Roman" w:hAnsi="Arial" w:cs="Arial"/>
          <w:b/>
          <w:bCs/>
          <w:kern w:val="0"/>
          <w14:ligatures w14:val="none"/>
        </w:rPr>
        <w:t>2. Model Refinement (Log-Transformation)</w:t>
      </w:r>
    </w:p>
    <w:p w14:paraId="1B2BAE9F" w14:textId="77777777" w:rsidR="00A42419" w:rsidRPr="00A42419" w:rsidRDefault="00A42419" w:rsidP="00A42419">
      <w:pPr>
        <w:spacing w:after="100" w:afterAutospacing="1" w:line="240" w:lineRule="auto"/>
        <w:rPr>
          <w:rFonts w:ascii="Arial" w:eastAsia="Times New Roman" w:hAnsi="Arial" w:cs="Arial"/>
          <w:kern w:val="0"/>
          <w14:ligatures w14:val="none"/>
        </w:rPr>
      </w:pPr>
      <w:r w:rsidRPr="00A42419">
        <w:rPr>
          <w:rFonts w:ascii="Arial" w:eastAsia="Times New Roman" w:hAnsi="Arial" w:cs="Arial"/>
          <w:kern w:val="0"/>
          <w14:ligatures w14:val="none"/>
        </w:rPr>
        <w:t xml:space="preserve">To address these violations and stabilize the variance, we refined the model by applying a </w:t>
      </w:r>
      <w:r w:rsidRPr="00A42419">
        <w:rPr>
          <w:rFonts w:ascii="Arial" w:eastAsia="Times New Roman" w:hAnsi="Arial" w:cs="Arial"/>
          <w:b/>
          <w:bCs/>
          <w:kern w:val="0"/>
          <w14:ligatures w14:val="none"/>
        </w:rPr>
        <w:t>natural log transformation</w:t>
      </w:r>
      <w:r w:rsidRPr="00A42419">
        <w:rPr>
          <w:rFonts w:ascii="Arial" w:eastAsia="Times New Roman" w:hAnsi="Arial" w:cs="Arial"/>
          <w:kern w:val="0"/>
          <w14:ligatures w14:val="none"/>
        </w:rPr>
        <w:t xml:space="preserve"> to the price ($log(Price)$). This approach is theoretically justified for monetary data, where variables often exhibit multiplicative rather than additive relationships. Post-transformation diagnostics confirmed that the "fan-shape" was neutralized, and residuals closely followed a normal distribution, providing a valid foundation for statistical inference.</w:t>
      </w:r>
    </w:p>
    <w:p w14:paraId="75D6C4BA" w14:textId="77777777" w:rsidR="00A42419" w:rsidRPr="00A42419" w:rsidRDefault="00A42419" w:rsidP="00A42419">
      <w:pPr>
        <w:spacing w:after="100" w:afterAutospacing="1" w:line="240" w:lineRule="auto"/>
        <w:outlineLvl w:val="3"/>
        <w:rPr>
          <w:rFonts w:ascii="Arial" w:eastAsia="Times New Roman" w:hAnsi="Arial" w:cs="Arial"/>
          <w:b/>
          <w:bCs/>
          <w:kern w:val="0"/>
          <w14:ligatures w14:val="none"/>
        </w:rPr>
      </w:pPr>
      <w:r w:rsidRPr="00A42419">
        <w:rPr>
          <w:rFonts w:ascii="Arial" w:eastAsia="Times New Roman" w:hAnsi="Arial" w:cs="Arial"/>
          <w:b/>
          <w:bCs/>
          <w:kern w:val="0"/>
          <w14:ligatures w14:val="none"/>
        </w:rPr>
        <w:t>3. Final Model Results</w:t>
      </w:r>
    </w:p>
    <w:p w14:paraId="4B4611E6" w14:textId="77777777" w:rsidR="00A42419" w:rsidRPr="00A42419" w:rsidRDefault="00A42419" w:rsidP="00A42419">
      <w:pPr>
        <w:spacing w:after="100" w:afterAutospacing="1" w:line="240" w:lineRule="auto"/>
        <w:rPr>
          <w:rFonts w:ascii="Arial" w:eastAsia="Times New Roman" w:hAnsi="Arial" w:cs="Arial"/>
          <w:kern w:val="0"/>
          <w14:ligatures w14:val="none"/>
        </w:rPr>
      </w:pPr>
      <w:r w:rsidRPr="00A42419">
        <w:rPr>
          <w:rFonts w:ascii="Arial" w:eastAsia="Times New Roman" w:hAnsi="Arial" w:cs="Arial"/>
          <w:kern w:val="0"/>
          <w14:ligatures w14:val="none"/>
        </w:rPr>
        <w:t>The final model includes $Battery$, $market\_segment$, and their interaction as required terms, with $Efficiency$, $Top\_speed$, and $Fast\_charge$ as controlled covariates. The model achieved an Adjusted $R^2$ of [</w:t>
      </w:r>
      <w:r w:rsidRPr="00A42419">
        <w:rPr>
          <w:rFonts w:ascii="Microsoft JhengHei" w:eastAsia="Microsoft JhengHei" w:hAnsi="Microsoft JhengHei" w:cs="Microsoft JhengHei" w:hint="eastAsia"/>
          <w:kern w:val="0"/>
          <w14:ligatures w14:val="none"/>
        </w:rPr>
        <w:t>填入你的新</w:t>
      </w:r>
      <w:r w:rsidRPr="00A42419">
        <w:rPr>
          <w:rFonts w:ascii="Arial" w:eastAsia="Times New Roman" w:hAnsi="Arial" w:cs="Arial"/>
          <w:kern w:val="0"/>
          <w14:ligatures w14:val="none"/>
        </w:rPr>
        <w:t>R2], indicating that it explains [</w:t>
      </w:r>
      <w:r w:rsidRPr="00A42419">
        <w:rPr>
          <w:rFonts w:ascii="Microsoft JhengHei" w:eastAsia="Microsoft JhengHei" w:hAnsi="Microsoft JhengHei" w:cs="Microsoft JhengHei" w:hint="eastAsia"/>
          <w:kern w:val="0"/>
          <w14:ligatures w14:val="none"/>
        </w:rPr>
        <w:t>填入百分比</w:t>
      </w:r>
      <w:r w:rsidRPr="00A42419">
        <w:rPr>
          <w:rFonts w:ascii="Arial" w:eastAsia="Times New Roman" w:hAnsi="Arial" w:cs="Arial"/>
          <w:kern w:val="0"/>
          <w14:ligatures w14:val="none"/>
        </w:rPr>
        <w:t>]% of the variance in log-price.</w:t>
      </w:r>
    </w:p>
    <w:p w14:paraId="5A2987D5" w14:textId="77777777" w:rsidR="00A42419" w:rsidRPr="00A42419" w:rsidRDefault="00A42419" w:rsidP="00A42419">
      <w:pPr>
        <w:numPr>
          <w:ilvl w:val="0"/>
          <w:numId w:val="1"/>
        </w:numPr>
        <w:spacing w:after="100" w:afterAutospacing="1" w:line="240" w:lineRule="auto"/>
        <w:rPr>
          <w:rFonts w:ascii="Arial" w:eastAsia="Times New Roman" w:hAnsi="Arial" w:cs="Arial"/>
          <w:kern w:val="0"/>
          <w14:ligatures w14:val="none"/>
        </w:rPr>
      </w:pPr>
      <w:r w:rsidRPr="00A42419">
        <w:rPr>
          <w:rFonts w:ascii="Arial" w:eastAsia="Times New Roman" w:hAnsi="Arial" w:cs="Arial"/>
          <w:b/>
          <w:bCs/>
          <w:kern w:val="0"/>
          <w14:ligatures w14:val="none"/>
        </w:rPr>
        <w:t>Battery Capacity:</w:t>
      </w:r>
      <w:r w:rsidRPr="00A42419">
        <w:rPr>
          <w:rFonts w:ascii="Arial" w:eastAsia="Times New Roman" w:hAnsi="Arial" w:cs="Arial"/>
          <w:kern w:val="0"/>
          <w14:ligatures w14:val="none"/>
        </w:rPr>
        <w:t xml:space="preserve"> For non-premium brands, each additional 1 kWh of battery capacity is associated with a *</w:t>
      </w:r>
      <w:r w:rsidRPr="00A42419">
        <w:rPr>
          <w:rFonts w:ascii="Arial" w:eastAsia="Times New Roman" w:hAnsi="Arial" w:cs="Arial"/>
          <w:i/>
          <w:iCs/>
          <w:kern w:val="0"/>
          <w14:ligatures w14:val="none"/>
        </w:rPr>
        <w:t>[</w:t>
      </w:r>
      <w:r w:rsidRPr="00A42419">
        <w:rPr>
          <w:rFonts w:ascii="Microsoft JhengHei" w:eastAsia="Microsoft JhengHei" w:hAnsi="Microsoft JhengHei" w:cs="Microsoft JhengHei" w:hint="eastAsia"/>
          <w:i/>
          <w:iCs/>
          <w:kern w:val="0"/>
          <w14:ligatures w14:val="none"/>
        </w:rPr>
        <w:t>计算百分比：</w:t>
      </w:r>
      <w:r w:rsidRPr="00A42419">
        <w:rPr>
          <w:rFonts w:ascii="Arial" w:eastAsia="Times New Roman" w:hAnsi="Arial" w:cs="Arial"/>
          <w:i/>
          <w:iCs/>
          <w:kern w:val="0"/>
          <w14:ligatures w14:val="none"/>
        </w:rPr>
        <w:t>(exp(beta)-1)100]%</w:t>
      </w:r>
      <w:r w:rsidRPr="00A42419">
        <w:rPr>
          <w:rFonts w:ascii="Arial" w:eastAsia="Times New Roman" w:hAnsi="Arial" w:cs="Arial"/>
          <w:kern w:val="0"/>
          <w14:ligatures w14:val="none"/>
        </w:rPr>
        <w:t xml:space="preserve"> increase in vehicle price ($p &lt; 0.001$).</w:t>
      </w:r>
    </w:p>
    <w:p w14:paraId="064CEA12" w14:textId="77777777" w:rsidR="00A42419" w:rsidRPr="00A42419" w:rsidRDefault="00A42419" w:rsidP="00A42419">
      <w:pPr>
        <w:numPr>
          <w:ilvl w:val="0"/>
          <w:numId w:val="1"/>
        </w:numPr>
        <w:spacing w:after="100" w:afterAutospacing="1" w:line="240" w:lineRule="auto"/>
        <w:rPr>
          <w:rFonts w:ascii="Arial" w:eastAsia="Times New Roman" w:hAnsi="Arial" w:cs="Arial"/>
          <w:kern w:val="0"/>
          <w14:ligatures w14:val="none"/>
        </w:rPr>
      </w:pPr>
      <w:r w:rsidRPr="00A42419">
        <w:rPr>
          <w:rFonts w:ascii="Arial" w:eastAsia="Times New Roman" w:hAnsi="Arial" w:cs="Arial"/>
          <w:b/>
          <w:bCs/>
          <w:kern w:val="0"/>
          <w14:ligatures w14:val="none"/>
        </w:rPr>
        <w:t>Interaction Effect:</w:t>
      </w:r>
      <w:r w:rsidRPr="00A42419">
        <w:rPr>
          <w:rFonts w:ascii="Arial" w:eastAsia="Times New Roman" w:hAnsi="Arial" w:cs="Arial"/>
          <w:kern w:val="0"/>
          <w14:ligatures w14:val="none"/>
        </w:rPr>
        <w:t xml:space="preserve"> The interaction between $Battery$ and $market\_segment$ was [</w:t>
      </w:r>
      <w:r w:rsidRPr="00A42419">
        <w:rPr>
          <w:rFonts w:ascii="Microsoft JhengHei" w:eastAsia="Microsoft JhengHei" w:hAnsi="Microsoft JhengHei" w:cs="Microsoft JhengHei" w:hint="eastAsia"/>
          <w:kern w:val="0"/>
          <w14:ligatures w14:val="none"/>
        </w:rPr>
        <w:t>显著</w:t>
      </w:r>
      <w:r w:rsidRPr="00A42419">
        <w:rPr>
          <w:rFonts w:ascii="Arial" w:eastAsia="Times New Roman" w:hAnsi="Arial" w:cs="Arial"/>
          <w:kern w:val="0"/>
          <w14:ligatures w14:val="none"/>
        </w:rPr>
        <w:t>/</w:t>
      </w:r>
      <w:r w:rsidRPr="00A42419">
        <w:rPr>
          <w:rFonts w:ascii="Microsoft JhengHei" w:eastAsia="Microsoft JhengHei" w:hAnsi="Microsoft JhengHei" w:cs="Microsoft JhengHei" w:hint="eastAsia"/>
          <w:kern w:val="0"/>
          <w14:ligatures w14:val="none"/>
        </w:rPr>
        <w:t>不显著</w:t>
      </w:r>
      <w:r w:rsidRPr="00A42419">
        <w:rPr>
          <w:rFonts w:ascii="Arial" w:eastAsia="Times New Roman" w:hAnsi="Arial" w:cs="Arial"/>
          <w:kern w:val="0"/>
          <w14:ligatures w14:val="none"/>
        </w:rPr>
        <w:t>] ($p = [</w:t>
      </w:r>
      <w:r w:rsidRPr="00A42419">
        <w:rPr>
          <w:rFonts w:ascii="Microsoft JhengHei" w:eastAsia="Microsoft JhengHei" w:hAnsi="Microsoft JhengHei" w:cs="Microsoft JhengHei" w:hint="eastAsia"/>
          <w:kern w:val="0"/>
          <w14:ligatures w14:val="none"/>
        </w:rPr>
        <w:t>值</w:t>
      </w:r>
      <w:r w:rsidRPr="00A42419">
        <w:rPr>
          <w:rFonts w:ascii="Arial" w:eastAsia="Times New Roman" w:hAnsi="Arial" w:cs="Arial"/>
          <w:kern w:val="0"/>
          <w14:ligatures w14:val="none"/>
        </w:rPr>
        <w:t>]$). [</w:t>
      </w:r>
      <w:r w:rsidRPr="00A42419">
        <w:rPr>
          <w:rFonts w:ascii="Microsoft JhengHei" w:eastAsia="Microsoft JhengHei" w:hAnsi="Microsoft JhengHei" w:cs="Microsoft JhengHei" w:hint="eastAsia"/>
          <w:kern w:val="0"/>
          <w14:ligatures w14:val="none"/>
        </w:rPr>
        <w:t>如果是显著的，写：</w:t>
      </w:r>
      <w:r w:rsidRPr="00A42419">
        <w:rPr>
          <w:rFonts w:ascii="Arial" w:eastAsia="Times New Roman" w:hAnsi="Arial" w:cs="Arial"/>
          <w:kern w:val="0"/>
          <w14:ligatures w14:val="none"/>
        </w:rPr>
        <w:t>This suggests that for premium brands, the price premium for additional battery capacity is significantly higher/lower than for non-premium brands.]</w:t>
      </w:r>
    </w:p>
    <w:p w14:paraId="4FBC7966" w14:textId="77777777" w:rsidR="00A42419" w:rsidRPr="00A42419" w:rsidRDefault="00BF12FC" w:rsidP="00A42419">
      <w:pPr>
        <w:spacing w:after="0" w:line="240" w:lineRule="auto"/>
        <w:rPr>
          <w:rFonts w:ascii="Arial" w:eastAsia="Times New Roman" w:hAnsi="Arial" w:cs="Arial"/>
          <w:kern w:val="0"/>
          <w14:ligatures w14:val="none"/>
        </w:rPr>
      </w:pPr>
      <w:r>
        <w:rPr>
          <w:noProof/>
        </w:rPr>
      </w:r>
      <w:r>
        <w:pict w14:anchorId="792F0BBF">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8A1520" w14:textId="77777777" w:rsidR="00A42419" w:rsidRPr="00A42419" w:rsidRDefault="00A42419" w:rsidP="00A42419">
      <w:pPr>
        <w:spacing w:after="100" w:afterAutospacing="1" w:line="240" w:lineRule="auto"/>
        <w:outlineLvl w:val="2"/>
        <w:rPr>
          <w:rFonts w:ascii="Arial" w:eastAsia="Times New Roman" w:hAnsi="Arial" w:cs="Arial"/>
          <w:b/>
          <w:bCs/>
          <w:kern w:val="0"/>
          <w:sz w:val="27"/>
          <w:szCs w:val="27"/>
          <w14:ligatures w14:val="none"/>
        </w:rPr>
      </w:pPr>
      <w:r w:rsidRPr="00A42419">
        <w:rPr>
          <w:rFonts w:ascii="Arial" w:eastAsia="Times New Roman" w:hAnsi="Arial" w:cs="Arial"/>
          <w:b/>
          <w:bCs/>
          <w:kern w:val="0"/>
          <w:sz w:val="27"/>
          <w:szCs w:val="27"/>
          <w14:ligatures w14:val="none"/>
        </w:rPr>
        <w:t>Section: Discussion and Conclusion</w:t>
      </w:r>
    </w:p>
    <w:p w14:paraId="285922A6" w14:textId="77777777" w:rsidR="00A42419" w:rsidRPr="00A42419" w:rsidRDefault="00A42419" w:rsidP="00A42419">
      <w:pPr>
        <w:spacing w:after="100" w:afterAutospacing="1" w:line="240" w:lineRule="auto"/>
        <w:outlineLvl w:val="3"/>
        <w:rPr>
          <w:rFonts w:ascii="Arial" w:eastAsia="Times New Roman" w:hAnsi="Arial" w:cs="Arial"/>
          <w:b/>
          <w:bCs/>
          <w:kern w:val="0"/>
          <w14:ligatures w14:val="none"/>
        </w:rPr>
      </w:pPr>
      <w:r w:rsidRPr="00A42419">
        <w:rPr>
          <w:rFonts w:ascii="Arial" w:eastAsia="Times New Roman" w:hAnsi="Arial" w:cs="Arial"/>
          <w:b/>
          <w:bCs/>
          <w:kern w:val="0"/>
          <w14:ligatures w14:val="none"/>
        </w:rPr>
        <w:t>Summary of Findings</w:t>
      </w:r>
    </w:p>
    <w:p w14:paraId="7E9312B7" w14:textId="77777777" w:rsidR="00A42419" w:rsidRPr="00A42419" w:rsidRDefault="00A42419" w:rsidP="00A42419">
      <w:pPr>
        <w:spacing w:after="100" w:afterAutospacing="1" w:line="240" w:lineRule="auto"/>
        <w:rPr>
          <w:rFonts w:ascii="Arial" w:eastAsia="Times New Roman" w:hAnsi="Arial" w:cs="Arial"/>
          <w:kern w:val="0"/>
          <w14:ligatures w14:val="none"/>
        </w:rPr>
      </w:pPr>
      <w:r w:rsidRPr="00A42419">
        <w:rPr>
          <w:rFonts w:ascii="Arial" w:eastAsia="Times New Roman" w:hAnsi="Arial" w:cs="Arial"/>
          <w:kern w:val="0"/>
          <w14:ligatures w14:val="none"/>
        </w:rPr>
        <w:lastRenderedPageBreak/>
        <w:t>This study investigated the relationship between battery capacity and market positioning in the German EV market. Our analysis confirms a strong, positive association between battery capacity and vehicle price. Importantly, by adopting a log-linear framework, we discovered that this relationship is proportional: battery capacity acts as a key driver of price across all segments, but its absolute impact is magnified in the premium market.</w:t>
      </w:r>
    </w:p>
    <w:p w14:paraId="6B420391" w14:textId="77777777" w:rsidR="00A42419" w:rsidRPr="00A42419" w:rsidRDefault="00A42419" w:rsidP="00A42419">
      <w:pPr>
        <w:spacing w:after="100" w:afterAutospacing="1" w:line="240" w:lineRule="auto"/>
        <w:outlineLvl w:val="3"/>
        <w:rPr>
          <w:rFonts w:ascii="Arial" w:eastAsia="Times New Roman" w:hAnsi="Arial" w:cs="Arial"/>
          <w:b/>
          <w:bCs/>
          <w:kern w:val="0"/>
          <w14:ligatures w14:val="none"/>
        </w:rPr>
      </w:pPr>
      <w:r w:rsidRPr="00A42419">
        <w:rPr>
          <w:rFonts w:ascii="Arial" w:eastAsia="Times New Roman" w:hAnsi="Arial" w:cs="Arial"/>
          <w:b/>
          <w:bCs/>
          <w:kern w:val="0"/>
          <w14:ligatures w14:val="none"/>
        </w:rPr>
        <w:t>Interpretations and Implications</w:t>
      </w:r>
    </w:p>
    <w:p w14:paraId="5E8FD313" w14:textId="77777777" w:rsidR="00A42419" w:rsidRPr="00A42419" w:rsidRDefault="00A42419" w:rsidP="00A42419">
      <w:pPr>
        <w:spacing w:after="100" w:afterAutospacing="1" w:line="240" w:lineRule="auto"/>
        <w:rPr>
          <w:rFonts w:ascii="Arial" w:eastAsia="Times New Roman" w:hAnsi="Arial" w:cs="Arial"/>
          <w:kern w:val="0"/>
          <w14:ligatures w14:val="none"/>
        </w:rPr>
      </w:pPr>
      <w:r w:rsidRPr="00A42419">
        <w:rPr>
          <w:rFonts w:ascii="Arial" w:eastAsia="Times New Roman" w:hAnsi="Arial" w:cs="Arial"/>
          <w:kern w:val="0"/>
          <w14:ligatures w14:val="none"/>
        </w:rPr>
        <w:t>The necessity of the log-transformation highlights the "luxury multiplier" effect in the EV industry. In the premium segment, technical specifications like battery size are not just functional costs but are tied to brand prestige, leading to higher marginal price increases. This supports our second research question, suggesting that premium manufacturers capture more value per kWh of battery compared to non-premium counterparts.</w:t>
      </w:r>
    </w:p>
    <w:p w14:paraId="4EA1746A" w14:textId="77777777" w:rsidR="00A42419" w:rsidRPr="00A42419" w:rsidRDefault="00A42419" w:rsidP="00A42419">
      <w:pPr>
        <w:spacing w:after="100" w:afterAutospacing="1" w:line="240" w:lineRule="auto"/>
        <w:outlineLvl w:val="3"/>
        <w:rPr>
          <w:rFonts w:ascii="Arial" w:eastAsia="Times New Roman" w:hAnsi="Arial" w:cs="Arial"/>
          <w:b/>
          <w:bCs/>
          <w:kern w:val="0"/>
          <w14:ligatures w14:val="none"/>
        </w:rPr>
      </w:pPr>
      <w:r w:rsidRPr="00A42419">
        <w:rPr>
          <w:rFonts w:ascii="Arial" w:eastAsia="Times New Roman" w:hAnsi="Arial" w:cs="Arial"/>
          <w:b/>
          <w:bCs/>
          <w:kern w:val="0"/>
          <w14:ligatures w14:val="none"/>
        </w:rPr>
        <w:t>Limitations and Future Research</w:t>
      </w:r>
    </w:p>
    <w:p w14:paraId="22FBF1A8" w14:textId="77777777" w:rsidR="00A42419" w:rsidRPr="00A42419" w:rsidRDefault="00A42419" w:rsidP="00A42419">
      <w:pPr>
        <w:spacing w:after="100" w:afterAutospacing="1" w:line="240" w:lineRule="auto"/>
        <w:rPr>
          <w:rFonts w:ascii="Arial" w:eastAsia="Times New Roman" w:hAnsi="Arial" w:cs="Arial"/>
          <w:kern w:val="0"/>
          <w14:ligatures w14:val="none"/>
        </w:rPr>
      </w:pPr>
      <w:r w:rsidRPr="00A42419">
        <w:rPr>
          <w:rFonts w:ascii="Arial" w:eastAsia="Times New Roman" w:hAnsi="Arial" w:cs="Arial"/>
          <w:kern w:val="0"/>
          <w14:ligatures w14:val="none"/>
        </w:rPr>
        <w:t>While the model is now statistically robust, certain limitations remain. The dataset is a snapshot of the German market and may not reflect global trends. Furthermore, while we controlled for $Efficiency$ and $Top\_speed$, other qualitative factors such as interior luxury, software capabilities, and autonomous driving features—often found in premium brands—were not explicitly modeled and could account for some of the remaining variance. Future studies could incorporate these qualitative metrics or a longitudinal approach to see how these associations evolve as battery costs decrease.</w:t>
      </w:r>
    </w:p>
    <w:p w14:paraId="36728A21" w14:textId="77777777" w:rsidR="00A42419" w:rsidRPr="00A42419" w:rsidRDefault="00A42419" w:rsidP="00A42419">
      <w:pPr>
        <w:spacing w:after="100" w:afterAutospacing="1" w:line="240" w:lineRule="auto"/>
        <w:outlineLvl w:val="3"/>
        <w:rPr>
          <w:rFonts w:ascii="Arial" w:eastAsia="Times New Roman" w:hAnsi="Arial" w:cs="Arial"/>
          <w:b/>
          <w:bCs/>
          <w:kern w:val="0"/>
          <w14:ligatures w14:val="none"/>
        </w:rPr>
      </w:pPr>
      <w:r w:rsidRPr="00A42419">
        <w:rPr>
          <w:rFonts w:ascii="Arial" w:eastAsia="Times New Roman" w:hAnsi="Arial" w:cs="Arial"/>
          <w:b/>
          <w:bCs/>
          <w:kern w:val="0"/>
          <w14:ligatures w14:val="none"/>
        </w:rPr>
        <w:t>Conclusion</w:t>
      </w:r>
    </w:p>
    <w:p w14:paraId="6329F47E" w14:textId="77777777" w:rsidR="00A42419" w:rsidRPr="00A42419" w:rsidRDefault="00A42419" w:rsidP="00A42419">
      <w:pPr>
        <w:spacing w:after="100" w:afterAutospacing="1" w:line="240" w:lineRule="auto"/>
        <w:rPr>
          <w:rFonts w:ascii="Arial" w:eastAsia="Times New Roman" w:hAnsi="Arial" w:cs="Arial"/>
          <w:kern w:val="0"/>
          <w14:ligatures w14:val="none"/>
        </w:rPr>
      </w:pPr>
      <w:r w:rsidRPr="00A42419">
        <w:rPr>
          <w:rFonts w:ascii="Arial" w:eastAsia="Times New Roman" w:hAnsi="Arial" w:cs="Arial"/>
          <w:kern w:val="0"/>
          <w14:ligatures w14:val="none"/>
        </w:rPr>
        <w:t>In conclusion, battery capacity remains a primary determinant of EV pricing. However, the "price of power" is not uniform; it is filtered through brand positioning. For consumers and policymakers, this underscores that the transition to EVs involves not just technical scaling, but also navigating diverse market segments where the same hardware can command vastly different price premiums.</w:t>
      </w:r>
    </w:p>
    <w:p w14:paraId="134EF1B0" w14:textId="77777777" w:rsidR="00A42419" w:rsidRDefault="00A42419">
      <w:pPr>
        <w:rPr>
          <w:rFonts w:hint="eastAsia"/>
        </w:rPr>
      </w:pPr>
    </w:p>
    <w:sectPr w:rsidR="00A424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D1CCC"/>
    <w:multiLevelType w:val="multilevel"/>
    <w:tmpl w:val="FCA8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50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19"/>
    <w:rsid w:val="008932ED"/>
    <w:rsid w:val="00A42419"/>
    <w:rsid w:val="00BF12F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884FEB"/>
  <w15:chartTrackingRefBased/>
  <w15:docId w15:val="{3A5F1956-B7D1-6A4E-B0CF-93C454FE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2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2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419"/>
    <w:rPr>
      <w:rFonts w:eastAsiaTheme="majorEastAsia" w:cstheme="majorBidi"/>
      <w:color w:val="272727" w:themeColor="text1" w:themeTint="D8"/>
    </w:rPr>
  </w:style>
  <w:style w:type="paragraph" w:styleId="Title">
    <w:name w:val="Title"/>
    <w:basedOn w:val="Normal"/>
    <w:next w:val="Normal"/>
    <w:link w:val="TitleChar"/>
    <w:uiPriority w:val="10"/>
    <w:qFormat/>
    <w:rsid w:val="00A42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419"/>
    <w:pPr>
      <w:spacing w:before="160"/>
      <w:jc w:val="center"/>
    </w:pPr>
    <w:rPr>
      <w:i/>
      <w:iCs/>
      <w:color w:val="404040" w:themeColor="text1" w:themeTint="BF"/>
    </w:rPr>
  </w:style>
  <w:style w:type="character" w:customStyle="1" w:styleId="QuoteChar">
    <w:name w:val="Quote Char"/>
    <w:basedOn w:val="DefaultParagraphFont"/>
    <w:link w:val="Quote"/>
    <w:uiPriority w:val="29"/>
    <w:rsid w:val="00A42419"/>
    <w:rPr>
      <w:i/>
      <w:iCs/>
      <w:color w:val="404040" w:themeColor="text1" w:themeTint="BF"/>
    </w:rPr>
  </w:style>
  <w:style w:type="paragraph" w:styleId="ListParagraph">
    <w:name w:val="List Paragraph"/>
    <w:basedOn w:val="Normal"/>
    <w:uiPriority w:val="34"/>
    <w:qFormat/>
    <w:rsid w:val="00A42419"/>
    <w:pPr>
      <w:ind w:left="720"/>
      <w:contextualSpacing/>
    </w:pPr>
  </w:style>
  <w:style w:type="character" w:styleId="IntenseEmphasis">
    <w:name w:val="Intense Emphasis"/>
    <w:basedOn w:val="DefaultParagraphFont"/>
    <w:uiPriority w:val="21"/>
    <w:qFormat/>
    <w:rsid w:val="00A42419"/>
    <w:rPr>
      <w:i/>
      <w:iCs/>
      <w:color w:val="0F4761" w:themeColor="accent1" w:themeShade="BF"/>
    </w:rPr>
  </w:style>
  <w:style w:type="paragraph" w:styleId="IntenseQuote">
    <w:name w:val="Intense Quote"/>
    <w:basedOn w:val="Normal"/>
    <w:next w:val="Normal"/>
    <w:link w:val="IntenseQuoteChar"/>
    <w:uiPriority w:val="30"/>
    <w:qFormat/>
    <w:rsid w:val="00A42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419"/>
    <w:rPr>
      <w:i/>
      <w:iCs/>
      <w:color w:val="0F4761" w:themeColor="accent1" w:themeShade="BF"/>
    </w:rPr>
  </w:style>
  <w:style w:type="character" w:styleId="IntenseReference">
    <w:name w:val="Intense Reference"/>
    <w:basedOn w:val="DefaultParagraphFont"/>
    <w:uiPriority w:val="32"/>
    <w:qFormat/>
    <w:rsid w:val="00A42419"/>
    <w:rPr>
      <w:b/>
      <w:bCs/>
      <w:smallCaps/>
      <w:color w:val="0F4761" w:themeColor="accent1" w:themeShade="BF"/>
      <w:spacing w:val="5"/>
    </w:rPr>
  </w:style>
  <w:style w:type="paragraph" w:styleId="NormalWeb">
    <w:name w:val="Normal (Web)"/>
    <w:basedOn w:val="Normal"/>
    <w:uiPriority w:val="99"/>
    <w:semiHidden/>
    <w:unhideWhenUsed/>
    <w:rsid w:val="00A424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A42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syu50@student.ubc.ca</dc:creator>
  <cp:keywords/>
  <dc:description/>
  <cp:lastModifiedBy>syu50@student.ubc.ca</cp:lastModifiedBy>
  <cp:revision>1</cp:revision>
  <dcterms:created xsi:type="dcterms:W3CDTF">2026-03-22T19:36:00Z</dcterms:created>
  <dcterms:modified xsi:type="dcterms:W3CDTF">2026-03-22T19:39:00Z</dcterms:modified>
</cp:coreProperties>
</file>