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数问 InsightAI 数据来源与合规说明</w:t>
      </w:r>
    </w:p>
    <w:p>
      <w:r>
        <w:t>公开说明材料</w:t>
      </w:r>
    </w:p>
    <w:p>
      <w:pPr>
        <w:pStyle w:val="Heading1"/>
      </w:pPr>
      <w:r>
        <w:t>数据来源</w:t>
      </w:r>
    </w:p>
    <w:p>
      <w:r>
        <w:t>结构化与非结构化数据均来自主办方提供的智能数据分析数据集。随包模拟数据仅用于无缓存时启动。</w:t>
      </w:r>
    </w:p>
    <w:p>
      <w:pPr>
        <w:pStyle w:val="Heading1"/>
      </w:pPr>
      <w:r>
        <w:t>本地处理</w:t>
      </w:r>
    </w:p>
    <w:p>
      <w:r>
        <w:t>完整数据保存在本地 DuckDB 缓存。模型 API 只接收相关表结构、字段说明、少量脱敏样例或当前任务表格证据。</w:t>
      </w:r>
    </w:p>
    <w:p>
      <w:pPr>
        <w:pStyle w:val="Heading1"/>
      </w:pPr>
      <w:r>
        <w:t>隐私保护</w:t>
      </w:r>
    </w:p>
    <w:p>
      <w:r>
        <w:t>UI、报告和截图默认脱敏身份证号、手机号、邮箱、地址和联系人字段。API 密钥仅从环境变量或未提交的 .env 读取。</w:t>
      </w:r>
    </w:p>
    <w:p>
      <w:pPr>
        <w:pStyle w:val="Heading1"/>
      </w:pPr>
      <w:r>
        <w:t>指标声明</w:t>
      </w:r>
    </w:p>
    <w:p>
      <w:r>
        <w:t>公开材料只报告能够复现的任务数量、数据行数、公开样例验证和安全测试。没有隐藏金标准时不宣称全量准确率。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