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6.png" ContentType="image/png"/>
  <Override PartName="/word/media/rId7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能力不够压力来凑：能力空间与压力型体制</w:t>
      </w:r>
    </w:p>
    <w:p>
      <w:pPr>
        <w:pStyle w:val="a6"/>
      </w:pPr>
      <w:r>
        <w:t xml:space="preserve">——基于2021年春节期间地方疫情防控政策的实证研究</w:t>
      </w:r>
    </w:p>
    <w:p>
      <w:pPr>
        <w:pStyle w:val="Author"/>
      </w:pPr>
      <w:r>
        <w:t xml:space="preserve">孙宇飞</w:t>
      </w:r>
      <w:r>
        <w:rPr>
          <w:rStyle w:val="ad"/>
        </w:rPr>
        <w:footnoteReference w:id="20"/>
      </w:r>
    </w:p>
    <w:p>
      <w:pPr>
        <w:pStyle w:val="Author"/>
      </w:pPr>
      <w:r>
        <w:t xml:space="preserve">杨雪冬</w:t>
      </w:r>
      <w:r>
        <w:rPr>
          <w:rStyle w:val="ad"/>
        </w:rPr>
        <w:footnoteReference w:id="22"/>
      </w:r>
    </w:p>
    <w:p>
      <w:pPr>
        <w:pStyle w:val="Abstract"/>
      </w:pPr>
      <w:r>
        <w:t xml:space="preserve">“</w:t>
      </w:r>
      <w:r>
        <w:t xml:space="preserve">压力型体制</w:t>
      </w:r>
      <w:r>
        <w:t xml:space="preserve">”</w:t>
      </w:r>
      <w:r>
        <w:t xml:space="preserve">作为对中国地方治理实践的理论描绘，得到了国内外学者的广泛关注和讨论。十八大以来，党和政府推动的一系列政治体制改革，深刻得改变了“压力型体制”的运行环境，</w:t>
      </w:r>
      <w:r>
        <w:t xml:space="preserve">“</w:t>
      </w:r>
      <w:r>
        <w:t xml:space="preserve">压力型体制</w:t>
      </w:r>
      <w:r>
        <w:t xml:space="preserve">”</w:t>
      </w:r>
      <w:r>
        <w:t xml:space="preserve">在保持生动的描述力和较强的解释力的同时，遇到“减压阀失灵”等理论困境和解释力不足等问题。本研究在梳理已有理论的基础上，结合政策扩散和地方治理能力等理论视角，以政策文本在中央-地方和不同地方的扩散和变化作为窗口，以2021年春节期间疫情防控政策在中国293个地级市的差异化制定为案例，通过自然语言处理和回归分析等方法对“压力型体制”进行了理论检验与补充。</w:t>
      </w:r>
    </w:p>
    <w:p>
      <w:pPr>
        <w:pStyle w:val="Abstract"/>
      </w:pPr>
      <w:r>
        <w:t xml:space="preserve">笔者发现，和原有“压力型体制”的理论一致，上级、同级政府和民众的压力对地方政府的政策加码程度均有显著影响。此外，地方政府的治理能力对“压力型体制”的运行有着明显的“减压阀”效应，这一减压阀的存在使得地方政府在多方的压力下还能保留一定的自主性空间。地方政府的治理能力强弱影响着地方自主性空间的大小，治理能力越强的地方政府的行政自主性就越大，从而能够较为灵活的处理多方压力和政策加码。具体来说，在控制其他变量的前提下，地方政府的数字治理能力和卫生能力对地方政府疫情防控政策加码程度有着显著的负向影响。在此基础上，笔者提出了提出压力型体制运行过程中地方政府“能力空间”的概念，从而实现了对“压力型体制”的理论检验与修正。</w:t>
      </w:r>
    </w:p>
    <w:p>
      <w:pPr>
        <w:pStyle w:val="Abstract"/>
      </w:pPr>
      <w:r>
        <w:rPr>
          <w:bCs/>
          <w:b/>
        </w:rPr>
        <w:t xml:space="preserve">关键词</w:t>
      </w:r>
      <w:r>
        <w:t xml:space="preserve">：压力型体制；政策扩散；能力空间；层层加码。</w:t>
      </w:r>
    </w:p>
    <w:bookmarkStart w:id="36" w:name="引言"/>
    <w:p>
      <w:pPr>
        <w:pStyle w:val="1"/>
      </w:pPr>
      <w:r>
        <w:t xml:space="preserve">引言</w:t>
      </w:r>
    </w:p>
    <w:p>
      <w:pPr>
        <w:pStyle w:val="FirstParagraph"/>
      </w:pPr>
      <w:r>
        <w:t xml:space="preserve">近年来，作为国家治理的核心环节，地方治理受到了学者们的广泛关注。研究者主要从不同部门、不同层级政府间的关系和互动模式出发，讨论其对于地方政府行为和治理模式的影响。在政府间关系上，有学者提出了”蜂巢式结构”</w:t>
      </w:r>
      <w:r>
        <w:rPr>
          <w:rStyle w:val="ad"/>
        </w:rPr>
        <w:footnoteReference w:id="23"/>
      </w:r>
      <w:r>
        <w:t xml:space="preserve"> </w:t>
      </w:r>
      <w:r>
        <w:t xml:space="preserve">和”M型结构”</w:t>
      </w:r>
      <w:r>
        <w:rPr>
          <w:rStyle w:val="ad"/>
        </w:rPr>
        <w:footnoteReference w:id="24"/>
      </w:r>
      <w:r>
        <w:t xml:space="preserve"> </w:t>
      </w:r>
      <w:r>
        <w:t xml:space="preserve">等概念来形容改革开放前的政府间关系。更多学者关注改革开放后的政府间关系，他们提出的”中国特色的财政联邦主义”</w:t>
      </w:r>
      <w:r>
        <w:rPr>
          <w:rStyle w:val="ad"/>
        </w:rPr>
        <w:footnoteReference w:id="25"/>
      </w:r>
      <w:r>
        <w:t xml:space="preserve"> </w:t>
      </w:r>
      <w:r>
        <w:t xml:space="preserve">和压力型体制</w:t>
      </w:r>
      <w:r>
        <w:rPr>
          <w:rStyle w:val="ad"/>
        </w:rPr>
        <w:footnoteReference w:id="26"/>
      </w:r>
      <w:r>
        <w:t xml:space="preserve"> </w:t>
      </w:r>
      <w:r>
        <w:t xml:space="preserve">等解释广受学界的讨论。其中，</w:t>
      </w:r>
      <w:r>
        <w:t xml:space="preserve">“</w:t>
      </w:r>
      <w:r>
        <w:t xml:space="preserve">压力型体制</w:t>
      </w:r>
      <w:r>
        <w:t xml:space="preserve">”</w:t>
      </w:r>
      <w:r>
        <w:t xml:space="preserve">作为对中国地方治理实践的理论描绘，得到了国内外学者的广泛关注和讨论。 它不仅生动的描述了中国地方治理的压力和动力，还由于其理论的全局性，能够对其他富有解释力的概念（诸如“目标责任制”</w:t>
      </w:r>
      <w:r>
        <w:rPr>
          <w:rStyle w:val="ad"/>
        </w:rPr>
        <w:footnoteReference w:id="27"/>
      </w:r>
      <w:r>
        <w:t xml:space="preserve"> </w:t>
      </w:r>
      <w:r>
        <w:t xml:space="preserve">、</w:t>
      </w:r>
      <w:r>
        <w:t xml:space="preserve">“</w:t>
      </w:r>
      <w:r>
        <w:t xml:space="preserve">项目制</w:t>
      </w:r>
      <w:r>
        <w:t xml:space="preserve">”</w:t>
      </w:r>
      <w:r>
        <w:rPr>
          <w:rStyle w:val="ad"/>
        </w:rPr>
        <w:footnoteReference w:id="28"/>
      </w:r>
      <w:r>
        <w:t xml:space="preserve"> </w:t>
      </w:r>
      <w:r>
        <w:t xml:space="preserve">、</w:t>
      </w:r>
      <w:r>
        <w:t xml:space="preserve">“</w:t>
      </w:r>
      <w:r>
        <w:t xml:space="preserve">行政发包制</w:t>
      </w:r>
      <w:r>
        <w:t xml:space="preserve">”</w:t>
      </w:r>
      <w:r>
        <w:rPr>
          <w:rStyle w:val="ad"/>
        </w:rPr>
        <w:footnoteReference w:id="29"/>
      </w:r>
      <w:r>
        <w:t xml:space="preserve"> </w:t>
      </w:r>
      <w:r>
        <w:t xml:space="preserve">）进行较好地整合。</w:t>
      </w:r>
    </w:p>
    <w:p>
      <w:pPr>
        <w:pStyle w:val="a0"/>
      </w:pPr>
      <w:r>
        <w:t xml:space="preserve">自中国共产党第十八次全国代表大会以来，党和政府推动了一系列重大的政治体制改革，学者们从最高权力的重新集中</w:t>
      </w:r>
      <w:r>
        <w:rPr>
          <w:rStyle w:val="ad"/>
        </w:rPr>
        <w:footnoteReference w:id="30"/>
      </w:r>
      <w:r>
        <w:t xml:space="preserve"> </w:t>
      </w:r>
      <w:r>
        <w:t xml:space="preserve">、行政权的重新分配</w:t>
      </w:r>
      <w:r>
        <w:rPr>
          <w:rStyle w:val="ad"/>
        </w:rPr>
        <w:footnoteReference w:id="31"/>
      </w:r>
      <w:r>
        <w:t xml:space="preserve"> </w:t>
      </w:r>
      <w:r>
        <w:t xml:space="preserve">、地方自主性的削弱</w:t>
      </w:r>
      <w:r>
        <w:rPr>
          <w:rStyle w:val="ad"/>
        </w:rPr>
        <w:footnoteReference w:id="32"/>
      </w:r>
      <w:r>
        <w:t xml:space="preserve"> </w:t>
      </w:r>
      <w:r>
        <w:t xml:space="preserve">等角度描述这些变化。</w:t>
      </w:r>
      <w:r>
        <w:t xml:space="preserve"> </w:t>
      </w:r>
      <w:hyperlink w:anchor="ref-LiZhenEtAl2020">
        <w:r>
          <w:rPr>
            <w:rStyle w:val="ae"/>
          </w:rPr>
          <w:t xml:space="preserve">李振, 王浩瑜, 孙宇飞, 牛童, and 徐雅静</w:t>
        </w:r>
      </w:hyperlink>
      <w:r>
        <w:rPr>
          <w:rStyle w:val="ad"/>
        </w:rPr>
        <w:footnoteReference w:id="33"/>
      </w:r>
      <w:r>
        <w:t xml:space="preserve"> </w:t>
      </w:r>
      <w:r>
        <w:t xml:space="preserve">等学者用“强监督、弱激励、硬指标”形象的描绘了十八大以来政治氛围上的变化</w:t>
      </w:r>
      <w:r>
        <w:rPr>
          <w:rStyle w:val="ad"/>
        </w:rPr>
        <w:footnoteReference w:id="34"/>
      </w:r>
      <w:r>
        <w:t xml:space="preserve"> </w:t>
      </w:r>
      <w:r>
        <w:t xml:space="preserve">对中国地方治理的影响。</w:t>
      </w:r>
    </w:p>
    <w:p>
      <w:pPr>
        <w:pStyle w:val="a0"/>
      </w:pPr>
      <w:r>
        <w:t xml:space="preserve">虽然对解释十八大以来的地方治理现象仍有很强的解释力，甚至已经被官方话语所接纳</w:t>
      </w:r>
      <w:r>
        <w:rPr>
          <w:rStyle w:val="ad"/>
        </w:rPr>
        <w:footnoteReference w:id="35"/>
      </w:r>
      <w:r>
        <w:t xml:space="preserve">，但后疫情时代地方治理的现实需求和国家治理能力和治理体系现代化等诸多变化都对重新全面和系统的审视“压力型体制”经典理论，寻找更多影响因素，增强理论的解释力提出了迫切的要求。因此，本研究在梳理已有理论的基础上，结合政策扩散和地方治理能力等新的理论视角，提出一个更具整体性的分析框架和“能力空间”的概念。在此基础上，笔者使用2021年春节期间中国各地级市的疫情防控政策作为案例，使用自然语言处理和回归分析等方法，对压力型体制下地方治理能力与压力传导机制的关系进行了实证检验。</w:t>
      </w:r>
    </w:p>
    <w:bookmarkEnd w:id="36"/>
    <w:bookmarkStart w:id="78" w:name="压力型体制的特征贡献及其新变化"/>
    <w:p>
      <w:pPr>
        <w:pStyle w:val="1"/>
      </w:pPr>
      <w:r>
        <w:t xml:space="preserve">“</w:t>
      </w:r>
      <w:r>
        <w:t xml:space="preserve">压力型体制</w:t>
      </w:r>
      <w:r>
        <w:t xml:space="preserve">”</w:t>
      </w:r>
      <w:r>
        <w:t xml:space="preserve">的特征、贡献及其新变化</w:t>
      </w:r>
    </w:p>
    <w:p>
      <w:pPr>
        <w:pStyle w:val="FirstParagraph"/>
      </w:pPr>
      <w:r>
        <w:t xml:space="preserve">自20世纪90年代提出以来，压力型体制受到学界的广泛讨论，它试图从政府间关系的视角，为理解中国地方治理的实践和动力提出一个全局性的分析框架。它对“行政发包制”、</w:t>
      </w:r>
      <w:r>
        <w:t xml:space="preserve">“</w:t>
      </w:r>
      <w:r>
        <w:t xml:space="preserve">控制权</w:t>
      </w:r>
      <w:r>
        <w:t xml:space="preserve">”</w:t>
      </w:r>
      <w:r>
        <w:t xml:space="preserve">、</w:t>
      </w:r>
      <w:r>
        <w:t xml:space="preserve">“</w:t>
      </w:r>
      <w:r>
        <w:t xml:space="preserve">项目制</w:t>
      </w:r>
      <w:r>
        <w:t xml:space="preserve">”</w:t>
      </w:r>
      <w:r>
        <w:t xml:space="preserve">等富有解释力的经典理论具有较强的整合能力，但近年来政府间关系的巨大变化，也对“压力型体制”理论提出了与时俱进的新要求。本节笔者就在梳理压力型特征以及和其他经典理论联系的基础上，基于当下地方治理实践，提出新的思考。</w:t>
      </w:r>
    </w:p>
    <w:bookmarkStart w:id="42" w:name="压力型体制的概念"/>
    <w:p>
      <w:pPr>
        <w:pStyle w:val="2"/>
      </w:pPr>
      <w:r>
        <w:t xml:space="preserve">“</w:t>
      </w:r>
      <w:r>
        <w:t xml:space="preserve">压力型体制</w:t>
      </w:r>
      <w:r>
        <w:t xml:space="preserve">”</w:t>
      </w:r>
      <w:r>
        <w:t xml:space="preserve">的概念</w:t>
      </w:r>
    </w:p>
    <w:p>
      <w:pPr>
        <w:pStyle w:val="FirstParagraph"/>
      </w:pPr>
      <w:r>
        <w:t xml:space="preserve">所谓的“压力型体制”，指的是在中国政治体系中，党政体制下的地方政府为了某一政策目标或政治任务的达成而构建的一套“把行政命令与物质激励结合起来的机制组合”</w:t>
      </w:r>
      <w:r>
        <w:rPr>
          <w:rStyle w:val="ad"/>
        </w:rPr>
        <w:footnoteReference w:id="37"/>
      </w:r>
      <w:r>
        <w:t xml:space="preserve"> </w:t>
      </w:r>
      <w:r>
        <w:t xml:space="preserve">。它是由</w:t>
      </w:r>
      <w:r>
        <w:t xml:space="preserve"> </w:t>
      </w:r>
      <w:hyperlink w:anchor="ref-RongJingBen1998">
        <w:r>
          <w:rPr>
            <w:rStyle w:val="ae"/>
          </w:rPr>
          <w:t xml:space="preserve">荣敬本</w:t>
        </w:r>
      </w:hyperlink>
      <w:r>
        <w:rPr>
          <w:rStyle w:val="ad"/>
        </w:rPr>
        <w:footnoteReference w:id="38"/>
      </w:r>
      <w:r>
        <w:t xml:space="preserve"> </w:t>
      </w:r>
      <w:r>
        <w:t xml:space="preserve">等人在上世纪末基于对中国东中西部不同县市的（河南新密、江苏无锡和陕西咸阳）调研提出，并具有全国代表性，是对传统的动员体制在市场化、现代化背景下的变形</w:t>
      </w:r>
      <w:r>
        <w:rPr>
          <w:rStyle w:val="ad"/>
        </w:rPr>
        <w:footnoteReference w:id="39"/>
      </w:r>
      <w:r>
        <w:t xml:space="preserve"> </w:t>
      </w:r>
      <w:r>
        <w:t xml:space="preserve">。</w:t>
      </w:r>
    </w:p>
    <w:p>
      <w:pPr>
        <w:pStyle w:val="a0"/>
      </w:pPr>
      <w:r>
        <w:t xml:space="preserve">“</w:t>
      </w:r>
      <w:r>
        <w:t xml:space="preserve">压力型体制</w:t>
      </w:r>
      <w:r>
        <w:t xml:space="preserve">”</w:t>
      </w:r>
      <w:r>
        <w:t xml:space="preserve">是地方政府对国家现代化压力的反应，它不仅描绘了中国政治系统中的动态过程，也结合了历史因素、制度因素与个体层面因素</w:t>
      </w:r>
      <w:r>
        <w:rPr>
          <w:rStyle w:val="ad"/>
        </w:rPr>
        <w:footnoteReference w:id="40"/>
      </w:r>
      <w:r>
        <w:t xml:space="preserve"> </w:t>
      </w:r>
      <w:r>
        <w:t xml:space="preserve">。</w:t>
      </w:r>
      <w:r>
        <w:t xml:space="preserve">“</w:t>
      </w:r>
      <w:r>
        <w:t xml:space="preserve">压力型体制</w:t>
      </w:r>
      <w:r>
        <w:t xml:space="preserve">”</w:t>
      </w:r>
      <w:r>
        <w:t xml:space="preserve">的核心在于“压力系数”，即地方政府的自主性空间由上级政府决定，中央政府能够通过“压力系数”的调节来动态调整地方治理的自主性空间。</w:t>
      </w:r>
      <w:r>
        <w:rPr>
          <w:rStyle w:val="ad"/>
        </w:rPr>
        <w:footnoteReference w:id="41"/>
      </w:r>
    </w:p>
    <w:bookmarkEnd w:id="42"/>
    <w:bookmarkStart w:id="54" w:name="压力型体制的要素以及与其他理论的联系"/>
    <w:p>
      <w:pPr>
        <w:pStyle w:val="2"/>
      </w:pPr>
      <w:r>
        <w:t xml:space="preserve">“</w:t>
      </w:r>
      <w:r>
        <w:t xml:space="preserve">压力型体制</w:t>
      </w:r>
      <w:r>
        <w:t xml:space="preserve">”</w:t>
      </w:r>
      <w:r>
        <w:t xml:space="preserve">的要素以及与其他理论的联系</w:t>
      </w:r>
    </w:p>
    <w:p>
      <w:pPr>
        <w:pStyle w:val="FirstParagraph"/>
      </w:pPr>
      <w:r>
        <w:t xml:space="preserve">“</w:t>
      </w:r>
      <w:r>
        <w:t xml:space="preserve">压力型体制</w:t>
      </w:r>
      <w:r>
        <w:t xml:space="preserve">”</w:t>
      </w:r>
      <w:r>
        <w:t xml:space="preserve">是在现代化和市场化压力下出现的</w:t>
      </w:r>
      <w:r>
        <w:rPr>
          <w:rStyle w:val="ad"/>
        </w:rPr>
        <w:footnoteReference w:id="43"/>
      </w:r>
      <w:r>
        <w:t xml:space="preserve"> </w:t>
      </w:r>
      <w:r>
        <w:t xml:space="preserve">，它的运行包括“三要素”、</w:t>
      </w:r>
      <w:r>
        <w:t xml:space="preserve">“</w:t>
      </w:r>
      <w:r>
        <w:t xml:space="preserve">四来源</w:t>
      </w:r>
      <w:r>
        <w:t xml:space="preserve">”</w:t>
      </w:r>
      <w:r>
        <w:t xml:space="preserve">和“两减压”三个主要部分。</w:t>
      </w:r>
    </w:p>
    <w:p>
      <w:pPr>
        <w:pStyle w:val="a0"/>
      </w:pPr>
      <w:r>
        <w:t xml:space="preserve">“</w:t>
      </w:r>
      <w:r>
        <w:t xml:space="preserve">三要素</w:t>
      </w:r>
      <w:r>
        <w:t xml:space="preserve">”</w:t>
      </w:r>
      <w:r>
        <w:t xml:space="preserve">是指数量化的任务分解机制、各部门共同参与的问题解决机制和物质化的多层次评价体系。 数量化的任务分解机制是指纵向的政府间关系，党政机构使用具体的指标对上级的任务进行量化分解后层层下派到下级，并对执行结果提出要求。由于地方的自主性，政策目标并非单纯由上级部门制定，而是上下级共同博弈的结果</w:t>
      </w:r>
      <w:r>
        <w:rPr>
          <w:rStyle w:val="ad"/>
        </w:rPr>
        <w:footnoteReference w:id="44"/>
      </w:r>
      <w:r>
        <w:t xml:space="preserve"> </w:t>
      </w:r>
      <w:r>
        <w:t xml:space="preserve">；各部门共同参与的问题解决机制是指横向不同政府部门的关系，用党委领导和临时抽调等方式来进行任务安排；物质化的多层次评价体系是指在完成任务后对承担任务的个人或集体以多种方式进行正向的激励和负向的惩戒。</w:t>
      </w:r>
    </w:p>
    <w:p>
      <w:pPr>
        <w:pStyle w:val="a0"/>
      </w:pPr>
      <w:r>
        <w:t xml:space="preserve">“</w:t>
      </w:r>
      <w:r>
        <w:t xml:space="preserve">四来源</w:t>
      </w:r>
      <w:r>
        <w:t xml:space="preserve">”</w:t>
      </w:r>
      <w:r>
        <w:t xml:space="preserve">是指地方政府压力在压力型体制下面临着包括上级、同级、民众和市场四个方面的压力来源。上级的压力会根据当时中央的工作重点和上级提供的资源配置方式在领域和强度上发生变化，但是下级完成任务时也因为自筹资源而有一定的“可谈判空间”；同级的压力是指本行政区的其他政府和其他地区的同级政府在资源和市场以及发展速度和水平上的竞争；来自民众的压力随着经济体制的变革和社会结构的变化而逐渐加强；在和市场相关的议题上，政府由于其经济角色和招商引资的政策目标，也受到来自市场的压力。</w:t>
      </w:r>
    </w:p>
    <w:p>
      <w:pPr>
        <w:pStyle w:val="a0"/>
      </w:pPr>
      <w:r>
        <w:t xml:space="preserve">“</w:t>
      </w:r>
      <w:r>
        <w:t xml:space="preserve">两减压</w:t>
      </w:r>
      <w:r>
        <w:t xml:space="preserve">”</w:t>
      </w:r>
      <w:r>
        <w:t xml:space="preserve">是指“关系”和“统计”这两大压力型体制的减压阀，他们分别掌握在上下级手中，分别对应着地方治理的两个关键过程。</w:t>
      </w:r>
      <w:r>
        <w:t xml:space="preserve">“</w:t>
      </w:r>
      <w:r>
        <w:t xml:space="preserve">关系</w:t>
      </w:r>
      <w:r>
        <w:t xml:space="preserve">”</w:t>
      </w:r>
      <w:r>
        <w:t xml:space="preserve">对应的是目标设定，上级如果制定不合理的政策目标，不仅会对下级的积极性造成影响</w:t>
      </w:r>
      <w:r>
        <w:rPr>
          <w:rStyle w:val="ad"/>
        </w:rPr>
        <w:footnoteReference w:id="45"/>
      </w:r>
      <w:r>
        <w:t xml:space="preserve"> </w:t>
      </w:r>
      <w:r>
        <w:t xml:space="preserve">，还会使得政策执行和政策目标出现偏差。</w:t>
      </w:r>
      <w:r>
        <w:rPr>
          <w:rStyle w:val="ad"/>
        </w:rPr>
        <w:footnoteReference w:id="46"/>
      </w:r>
      <w:r>
        <w:t xml:space="preserve">因此，上下级会借助私人关系等非正式制度来进行博弈和设定目标。</w:t>
      </w:r>
      <w:r>
        <w:t xml:space="preserve">“</w:t>
      </w:r>
      <w:r>
        <w:t xml:space="preserve">统计</w:t>
      </w:r>
      <w:r>
        <w:t xml:space="preserve">”</w:t>
      </w:r>
      <w:r>
        <w:t xml:space="preserve">是指在考核完成结果时，上级会通过调整统计方法和口径来调节下级的“压力参数”。</w:t>
      </w:r>
    </w:p>
    <w:p>
      <w:pPr>
        <w:pStyle w:val="a0"/>
      </w:pPr>
      <w:r>
        <w:t xml:space="preserve">“</w:t>
      </w:r>
      <w:r>
        <w:t xml:space="preserve">压力型体制</w:t>
      </w:r>
      <w:r>
        <w:t xml:space="preserve">”</w:t>
      </w:r>
      <w:r>
        <w:t xml:space="preserve">通过“三要素”的运行过程，生动得刻画了中国地方政府在四大压力来源和两个减压阀下的整体治理环境。着眼于中国地方治理的全局，</w:t>
      </w:r>
      <w:r>
        <w:t xml:space="preserve">“</w:t>
      </w:r>
      <w:r>
        <w:t xml:space="preserve">压力型体制</w:t>
      </w:r>
      <w:r>
        <w:t xml:space="preserve">”</w:t>
      </w:r>
      <w:r>
        <w:t xml:space="preserve">能够对一些富有解释力的概念进行较好地整合。</w:t>
      </w:r>
      <w:r>
        <w:t xml:space="preserve">“</w:t>
      </w:r>
      <w:r>
        <w:t xml:space="preserve">三要素</w:t>
      </w:r>
      <w:r>
        <w:t xml:space="preserve">”</w:t>
      </w:r>
      <w:r>
        <w:t xml:space="preserve">中数量化的任务分解机制和“控制权”理论中的目标设定权</w:t>
      </w:r>
      <w:r>
        <w:rPr>
          <w:rStyle w:val="ad"/>
        </w:rPr>
        <w:footnoteReference w:id="47"/>
      </w:r>
      <w:r>
        <w:t xml:space="preserve">和目标责任制</w:t>
      </w:r>
      <w:r>
        <w:rPr>
          <w:rStyle w:val="ad"/>
        </w:rPr>
        <w:footnoteReference w:id="48"/>
      </w:r>
      <w:r>
        <w:t xml:space="preserve">等理论联系紧密；</w:t>
      </w:r>
      <w:r>
        <w:t xml:space="preserve">“</w:t>
      </w:r>
      <w:r>
        <w:t xml:space="preserve">工作组模式</w:t>
      </w:r>
      <w:r>
        <w:t xml:space="preserve">”</w:t>
      </w:r>
      <w:r>
        <w:rPr>
          <w:rStyle w:val="ad"/>
        </w:rPr>
        <w:footnoteReference w:id="49"/>
      </w:r>
      <w:r>
        <w:t xml:space="preserve"> </w:t>
      </w:r>
      <w:r>
        <w:t xml:space="preserve">、</w:t>
      </w:r>
      <w:r>
        <w:t xml:space="preserve">“</w:t>
      </w:r>
      <w:r>
        <w:t xml:space="preserve">督查机制</w:t>
      </w:r>
      <w:r>
        <w:t xml:space="preserve">”</w:t>
      </w:r>
      <w:r>
        <w:rPr>
          <w:rStyle w:val="ad"/>
        </w:rPr>
        <w:footnoteReference w:id="50"/>
      </w:r>
      <w:r>
        <w:t xml:space="preserve"> </w:t>
      </w:r>
      <w:r>
        <w:t xml:space="preserve">和“激励分配权”</w:t>
      </w:r>
      <w:r>
        <w:rPr>
          <w:rStyle w:val="ad"/>
        </w:rPr>
        <w:footnoteReference w:id="51"/>
      </w:r>
      <w:r>
        <w:t xml:space="preserve"> </w:t>
      </w:r>
      <w:r>
        <w:t xml:space="preserve">是“压力型体制”下物质化的多层次评价体系的具体表现；</w:t>
      </w:r>
      <w:r>
        <w:t xml:space="preserve">“</w:t>
      </w:r>
      <w:r>
        <w:t xml:space="preserve">行政发包制</w:t>
      </w:r>
      <w:r>
        <w:t xml:space="preserve">”</w:t>
      </w:r>
      <w:r>
        <w:rPr>
          <w:rStyle w:val="ad"/>
        </w:rPr>
        <w:footnoteReference w:id="52"/>
      </w:r>
      <w:r>
        <w:t xml:space="preserve"> </w:t>
      </w:r>
      <w:r>
        <w:t xml:space="preserve">、</w:t>
      </w:r>
      <w:r>
        <w:t xml:space="preserve">“</w:t>
      </w:r>
      <w:r>
        <w:t xml:space="preserve">竞争锦标赛</w:t>
      </w:r>
      <w:r>
        <w:t xml:space="preserve">”</w:t>
      </w:r>
      <w:r>
        <w:rPr>
          <w:rStyle w:val="ad"/>
        </w:rPr>
        <w:footnoteReference w:id="53"/>
      </w:r>
      <w:r>
        <w:t xml:space="preserve"> </w:t>
      </w:r>
      <w:r>
        <w:t xml:space="preserve">等理论对“压力型体制”下地方政府压力来源的作用机制进行了有力地补充。上述经典理论和压力型体制一起构造出一幅中国地方政府治理的完整图景。</w:t>
      </w:r>
    </w:p>
    <w:bookmarkEnd w:id="54"/>
    <w:bookmarkStart w:id="64" w:name="减压阀失灵十八大以来政府间关系的新变化与压力型体制的挑战"/>
    <w:p>
      <w:pPr>
        <w:pStyle w:val="2"/>
      </w:pPr>
      <w:r>
        <w:t xml:space="preserve">“</w:t>
      </w:r>
      <w:r>
        <w:t xml:space="preserve">减压阀失灵？</w:t>
      </w:r>
      <w:r>
        <w:t xml:space="preserve">”</w:t>
      </w:r>
      <w:r>
        <w:t xml:space="preserve">：十八大以来政府间关系的新变化与“压力型体制”的挑战</w:t>
      </w:r>
    </w:p>
    <w:p>
      <w:pPr>
        <w:pStyle w:val="FirstParagraph"/>
      </w:pPr>
      <w:r>
        <w:t xml:space="preserve">十八大以来，党和政府推动了一系列重大的政治体制变革，从而深刻改变了压力型体制的运行环境。</w:t>
      </w:r>
      <w:r>
        <w:t xml:space="preserve"> </w:t>
      </w:r>
      <w:hyperlink w:anchor="ref-YangYan2018">
        <w:r>
          <w:rPr>
            <w:rStyle w:val="ae"/>
          </w:rPr>
          <w:t xml:space="preserve">Yang and Yan</w:t>
        </w:r>
      </w:hyperlink>
      <w:r>
        <w:rPr>
          <w:rStyle w:val="ad"/>
        </w:rPr>
        <w:footnoteReference w:id="55"/>
      </w:r>
      <w:r>
        <w:t xml:space="preserve"> </w:t>
      </w:r>
      <w:r>
        <w:t xml:space="preserve">认为这一改变包括优化之前“多且重叠”的评估方法，减少了“一票否决”等制度的运用等。具体来说，十八大以来的政治体制改革，对压力型体制运行的环境都产生了整体性影响。在数量化的任务分解机制上，上级政府及其各系统部门的精细化指标和管理削弱了下级政府的行政自由裁量权</w:t>
      </w:r>
      <w:r>
        <w:rPr>
          <w:rStyle w:val="ad"/>
        </w:rPr>
        <w:footnoteReference w:id="56"/>
      </w:r>
      <w:r>
        <w:t xml:space="preserve"> </w:t>
      </w:r>
      <w:r>
        <w:t xml:space="preserve">；中央政府检查验收权的强化，使得之前对绩效的验收，拓展成对执行过程中的具体程序和阶段性目标的检查。经济权、税收和招商引资权的上收以及人员报酬的固定化都改变的压力型体制原有的物质化的多层次评价体系</w:t>
      </w:r>
      <w:r>
        <w:rPr>
          <w:rStyle w:val="ad"/>
        </w:rPr>
        <w:footnoteReference w:id="57"/>
      </w:r>
      <w:r>
        <w:t xml:space="preserve"> </w:t>
      </w:r>
      <w:r>
        <w:t xml:space="preserve">。</w:t>
      </w:r>
    </w:p>
    <w:p>
      <w:pPr>
        <w:pStyle w:val="a0"/>
      </w:pPr>
      <w:r>
        <w:t xml:space="preserve">中国地方政府的压力来源也发生了变化，上级政府原来单纯经济增长的压力演化为目标多元化的治理竞赛;</w:t>
      </w:r>
      <w:r>
        <w:rPr>
          <w:rStyle w:val="ad"/>
        </w:rPr>
        <w:footnoteReference w:id="58"/>
      </w:r>
      <w:r>
        <w:t xml:space="preserve"> 数字政府的建设使得政府对民众压力的回应性有了更高的要求。</w:t>
      </w:r>
      <w:r>
        <w:rPr>
          <w:rStyle w:val="ad"/>
        </w:rPr>
        <w:footnoteReference w:id="59"/>
      </w:r>
      <w:r>
        <w:t xml:space="preserve"> </w:t>
      </w:r>
      <w:r>
        <w:t xml:space="preserve">。近年来的政治体制改革对于压力型体制最大的影响在于两个主要减压阀的失灵。系统垂直化管理、预算公开和阳光工资等领域的改革使得地方政府政策执行的过程、程序和阶段性目标也成为监控的内容</w:t>
      </w:r>
      <w:r>
        <w:rPr>
          <w:rStyle w:val="ad"/>
        </w:rPr>
        <w:footnoteReference w:id="60"/>
      </w:r>
      <w:r>
        <w:t xml:space="preserve"> </w:t>
      </w:r>
      <w:r>
        <w:t xml:space="preserve">，之前时紧时松的纪律和规划得以严格执行，</w:t>
      </w:r>
      <w:r>
        <w:t xml:space="preserve">“</w:t>
      </w:r>
      <w:r>
        <w:t xml:space="preserve">关系</w:t>
      </w:r>
      <w:r>
        <w:t xml:space="preserve">”</w:t>
      </w:r>
      <w:r>
        <w:t xml:space="preserve">等非正式制度减压阀的作用空间越来越少；统计权的控制、数字管理的下沉</w:t>
      </w:r>
      <w:r>
        <w:rPr>
          <w:rStyle w:val="ad"/>
        </w:rPr>
        <w:footnoteReference w:id="61"/>
      </w:r>
      <w:r>
        <w:t xml:space="preserve"> </w:t>
      </w:r>
      <w:r>
        <w:t xml:space="preserve">、统计手段和技术的进步和统计方法的确定和透明使得统计这个减压阀对压力越来越难发挥调节作用。</w:t>
      </w:r>
    </w:p>
    <w:p>
      <w:pPr>
        <w:pStyle w:val="a0"/>
      </w:pPr>
      <w:r>
        <w:t xml:space="preserve">面对这些治理过程中的变化，压力型体制虽然仍表现出生动的描述力和较强的解释力，</w:t>
      </w:r>
      <w:r>
        <w:rPr>
          <w:rStyle w:val="ad"/>
        </w:rPr>
        <w:footnoteReference w:id="62"/>
      </w:r>
      <w:r>
        <w:t xml:space="preserve">但是面对新的制度环境和新的现象依旧存在解释力上的不足。例如，在上级政府更多的使用“一竿子捅到底”的方式来制定和执行政策时，各地面对的制度环境和治理过程是相似的，但为什么地方的政策执行细则却产生巨大的差异？[</w:t>
      </w:r>
      <w:hyperlink w:anchor="ref-ZhouLiAnEtAl2015">
        <w:r>
          <w:rPr>
            <w:rStyle w:val="ae"/>
          </w:rPr>
          <w:t xml:space="preserve">周黎安, 刘冲, 厉行, and 翁翕</w:t>
        </w:r>
      </w:hyperlink>
      <w:r>
        <w:t xml:space="preserve">;</w:t>
      </w:r>
      <w:r>
        <w:rPr>
          <w:rStyle w:val="ad"/>
        </w:rPr>
        <w:footnoteReference w:id="63"/>
      </w:r>
      <w:r>
        <w:t xml:space="preserve"> PengPaiXinWen2021]；在原有两大减压阀失灵的情况下，地方政府为什么仍保留一定程度的行政自主性？等等。这些挑战亟待新变量的识别来对原有理论进行有限和必要的修正。</w:t>
      </w:r>
    </w:p>
    <w:bookmarkEnd w:id="64"/>
    <w:bookmarkStart w:id="77" w:name="政策扩散与能力空间"/>
    <w:p>
      <w:pPr>
        <w:pStyle w:val="2"/>
      </w:pPr>
      <w:r>
        <w:t xml:space="preserve">政策扩散与“能力空间”</w:t>
      </w:r>
    </w:p>
    <w:p>
      <w:pPr>
        <w:pStyle w:val="FirstParagraph"/>
      </w:pPr>
      <w:r>
        <w:t xml:space="preserve">政策文本是观察“压力型体制”下地方治理过程中的重要窗口，政策文本在不同层级和区域政府之间传递过程中的扩散（包括增减、创新、变通等），展现了地方政府在“压力型体制”下“受压”、</w:t>
      </w:r>
      <w:r>
        <w:t xml:space="preserve">“</w:t>
      </w:r>
      <w:r>
        <w:t xml:space="preserve">承压</w:t>
      </w:r>
      <w:r>
        <w:t xml:space="preserve">”</w:t>
      </w:r>
      <w:r>
        <w:t xml:space="preserve">和“转压”的全过程。政策扩散(Political Diffusion)理论给我们识别新变量、完善“压力型体制”的经典理论提供了新的视角和有益的启发。</w:t>
      </w:r>
    </w:p>
    <w:p>
      <w:pPr>
        <w:pStyle w:val="a0"/>
      </w:pPr>
      <w:r>
        <w:t xml:space="preserve">“</w:t>
      </w:r>
      <w:r>
        <w:t xml:space="preserve">政策扩散</w:t>
      </w:r>
      <w:r>
        <w:t xml:space="preserve">”</w:t>
      </w:r>
      <w:r>
        <w:t xml:space="preserve">(Political Diffusion)作为地方治理的重要议题，近年来受到诸多关注和讨论</w:t>
      </w:r>
      <w:r>
        <w:t xml:space="preserve">,</w:t>
      </w:r>
      <w:r>
        <w:rPr>
          <w:rStyle w:val="ad"/>
        </w:rPr>
        <w:footnoteReference w:id="65"/>
      </w:r>
      <w:r>
        <w:t xml:space="preserve"> 学者们主要从政策扩散的行为者</w:t>
      </w:r>
      <w:r>
        <w:rPr>
          <w:rStyle w:val="ad"/>
        </w:rPr>
        <w:footnoteReference w:id="66"/>
      </w:r>
      <w:r>
        <w:t xml:space="preserve">、内容</w:t>
      </w:r>
      <w:r>
        <w:rPr>
          <w:rStyle w:val="ad"/>
        </w:rPr>
        <w:footnoteReference w:id="67"/>
      </w:r>
      <w:r>
        <w:t xml:space="preserve">、方式和条件</w:t>
      </w:r>
      <w:r>
        <w:rPr>
          <w:rStyle w:val="ad"/>
        </w:rPr>
        <w:footnoteReference w:id="68"/>
      </w:r>
      <w:r>
        <w:t xml:space="preserve">等方面展开讨论。</w:t>
      </w:r>
      <w:r>
        <w:t xml:space="preserve">“</w:t>
      </w:r>
      <w:r>
        <w:t xml:space="preserve">政策扩散</w:t>
      </w:r>
      <w:r>
        <w:t xml:space="preserve">”</w:t>
      </w:r>
      <w:r>
        <w:t xml:space="preserve">领域对行为者尤其是内部参与者的研究对我们理解“压力型体制”下的地方自主性提供了一定的借鉴。内部参与者作为政策扩散的主体行为者，其主观能动性对政策扩散发挥着重要影响</w:t>
      </w:r>
      <w:r>
        <w:rPr>
          <w:rStyle w:val="ad"/>
        </w:rPr>
        <w:footnoteReference w:id="69"/>
      </w:r>
      <w:r>
        <w:t xml:space="preserve">。现有文献主要研究了其偏好、目标和能力</w:t>
      </w:r>
      <w:r>
        <w:rPr>
          <w:rStyle w:val="ad"/>
        </w:rPr>
        <w:footnoteReference w:id="70"/>
      </w:r>
      <w:r>
        <w:t xml:space="preserve">对政策扩散的影响。个人意见、选民结构和利益集团喜好等都会影响到内部参与者对政策扩散的偏好</w:t>
      </w:r>
      <w:r>
        <w:rPr>
          <w:rStyle w:val="ad"/>
        </w:rPr>
        <w:footnoteReference w:id="71"/>
      </w:r>
      <w:r>
        <w:t xml:space="preserve">；赢取连任、取得合法性的政治目标和招商引资、提升绩效的政策目标共同驱使着内部行为者对政策扩散和政策创新的动力</w:t>
      </w:r>
      <w:r>
        <w:rPr>
          <w:rStyle w:val="ad"/>
        </w:rPr>
        <w:footnoteReference w:id="72"/>
      </w:r>
      <w:r>
        <w:t xml:space="preserve">；最重要的是，选择偏好和实现目标的前提是内部行为者有足够的能力来进行政策创新和政策扩散。</w:t>
      </w:r>
      <w:r>
        <w:t xml:space="preserve">“</w:t>
      </w:r>
      <w:r>
        <w:t xml:space="preserve">立法专业性</w:t>
      </w:r>
      <w:r>
        <w:t xml:space="preserve">”</w:t>
      </w:r>
      <w:r>
        <w:rPr>
          <w:rStyle w:val="ad"/>
        </w:rPr>
        <w:footnoteReference w:id="73"/>
      </w:r>
      <w:r>
        <w:t xml:space="preserve">、</w:t>
      </w:r>
      <w:r>
        <w:t xml:space="preserve">“</w:t>
      </w:r>
      <w:r>
        <w:t xml:space="preserve">时间有限性</w:t>
      </w:r>
      <w:r>
        <w:t xml:space="preserve">”</w:t>
      </w:r>
      <w:r>
        <w:t xml:space="preserve">和“信息有限性”</w:t>
      </w:r>
      <w:r>
        <w:rPr>
          <w:rStyle w:val="ad"/>
        </w:rPr>
        <w:footnoteReference w:id="74"/>
      </w:r>
      <w:r>
        <w:t xml:space="preserve">共同影响着政策制定者的能力。</w:t>
      </w:r>
    </w:p>
    <w:p>
      <w:pPr>
        <w:pStyle w:val="a0"/>
      </w:pPr>
      <w:r>
        <w:t xml:space="preserve">在“压力型体制”下地方治理过程中，政策文本再现了地方政府“受压”、</w:t>
      </w:r>
      <w:r>
        <w:t xml:space="preserve">“</w:t>
      </w:r>
      <w:r>
        <w:t xml:space="preserve">承压</w:t>
      </w:r>
      <w:r>
        <w:t xml:space="preserve">”</w:t>
      </w:r>
      <w:r>
        <w:t xml:space="preserve">和“转压”的全过程，中央政府通过政策文件的传达进行“施压”，用行政力量推动政策自上而下的扩散，同级政府在共同“承压”的同时，由于晋升和民意带来的政策和政治目标又会向其他同级政府“施压”，从而改变其政策文本，推动政策扩散。</w:t>
      </w:r>
    </w:p>
    <w:p>
      <w:pPr>
        <w:pStyle w:val="a0"/>
      </w:pPr>
      <w:r>
        <w:t xml:space="preserve">如上文所述，</w:t>
      </w:r>
      <w:r>
        <w:t xml:space="preserve">“</w:t>
      </w:r>
      <w:r>
        <w:t xml:space="preserve">压力型体制</w:t>
      </w:r>
      <w:r>
        <w:t xml:space="preserve">”</w:t>
      </w:r>
      <w:r>
        <w:t xml:space="preserve">运行的制度环境发生巨大的变化。其中，最明显的就是地方政府的行政自主性被各方力量所削弱：上级政府从制定“目标责任制”的普遍化，数字治理的精准控制到全流程监督制度的不断完善，不仅使得正式制度层面的“压力系数”越来越大，还使得非正式制度和统计口径这两个减压阀逐渐失灵。这意味着地方政府作为政策扩散的内部行动者其目标和偏好都高度相似；互联网普及和数字政府建设使得民众有更多的意见反映渠道，民意压力自下而上挤压了地方政府的自主性空间。与此同时，自上而下的上级政府压力还会和自下而上的民意压力形成合力，进一步挤压地方政府的自主空间。</w:t>
      </w:r>
    </w:p>
    <w:p>
      <w:pPr>
        <w:pStyle w:val="a0"/>
      </w:pPr>
      <w:r>
        <w:t xml:space="preserve">但是，与此同时，笔者发现，在相似的制度环境和压力过程下，虽然大多地方政府都采取加码加压的政策扩散方式来确保回应上级压力，确保政策目标的实现，但并非所有的地方政府都采取一样的政策加码加压策略，甚至面对同样的政策有完全不同的政策扩散策略。以当前各地方政府的核心任务“疫情防控”为例，面对同样的政策目标和上级压力，有些地方采用一刀切的政策，对疫情防控各项规定顶格制定、顶格执行，出现了“全城黄码”和将政策执行与民众福利和基本权利挂扣的乱相；有些地方则采用精准疫调的方式，实行精准防控，努力最早时间、最低层级、最小成本获得最大防控成效。</w:t>
      </w:r>
    </w:p>
    <w:p>
      <w:pPr>
        <w:pStyle w:val="a0"/>
      </w:pPr>
      <w:r>
        <w:t xml:space="preserve">这种异质性一定程度上证明了地方政府在“强监督、弱激励和硬指标”</w:t>
      </w:r>
      <w:r>
        <w:rPr>
          <w:rStyle w:val="ad"/>
        </w:rPr>
        <w:footnoteReference w:id="75"/>
      </w:r>
      <w:r>
        <w:t xml:space="preserve"> </w:t>
      </w:r>
      <w:r>
        <w:t xml:space="preserve">的政策过程中仍然具有一定的自主性空间；而不同地方政府自主性空间存在的较大差异一定程度上说明，这一调整自主性空间的“减压阀”由地方政府能动的控制。由此，笔者认为，这种自主性和之前的“压力系数”并不相同，它不是来源于上级政府，而是地方政府能动的结果。具体来说，这种新的减压阀来自于地方政府的治理能力。地方政府的治理能力使得他们在多方压力下还能保留一定的自主性空间，而这一自主性空间的大小是由地方政府的治理能力强弱决定的。笔者将这种由能力取得的自主性空间称之为的“能力空间”。下图是笔者对“能力空间”和压力型体制经典理论的图像化表述。</w:t>
      </w:r>
    </w:p>
    <w:p>
      <w:pPr>
        <w:pStyle w:val="CaptionedFigure"/>
      </w:pPr>
      <w:r>
        <w:drawing>
          <wp:inline>
            <wp:extent cx="5943600" cy="3854849"/>
            <wp:effectExtent b="0" l="0" r="0" t="0"/>
            <wp:docPr descr="Figure 1: “能力空间”与压力型体制" title="" id="1" name="Picture"/>
            <a:graphic>
              <a:graphicData uri="http://schemas.openxmlformats.org/drawingml/2006/picture">
                <pic:pic>
                  <pic:nvPicPr>
                    <pic:cNvPr descr="../figures/figure2.png" id="0" name="Picture"/>
                    <pic:cNvPicPr>
                      <a:picLocks noChangeArrowheads="1" noChangeAspect="1"/>
                    </pic:cNvPicPr>
                  </pic:nvPicPr>
                  <pic:blipFill>
                    <a:blip r:embed="rId76"/>
                    <a:stretch>
                      <a:fillRect/>
                    </a:stretch>
                  </pic:blipFill>
                  <pic:spPr bwMode="auto">
                    <a:xfrm>
                      <a:off x="0" y="0"/>
                      <a:ext cx="5943600" cy="3854849"/>
                    </a:xfrm>
                    <a:prstGeom prst="rect">
                      <a:avLst/>
                    </a:prstGeom>
                    <a:noFill/>
                    <a:ln w="9525">
                      <a:noFill/>
                      <a:headEnd/>
                      <a:tailEnd/>
                    </a:ln>
                  </pic:spPr>
                </pic:pic>
              </a:graphicData>
            </a:graphic>
          </wp:inline>
        </w:drawing>
      </w:r>
    </w:p>
    <w:p>
      <w:pPr>
        <w:pStyle w:val="ImageCaption"/>
      </w:pPr>
      <w:r>
        <w:t xml:space="preserve">Figure 1:</w:t>
      </w:r>
      <w:r>
        <w:t xml:space="preserve"> </w:t>
      </w:r>
      <w:r>
        <w:t xml:space="preserve">“</w:t>
      </w:r>
      <w:r>
        <w:t xml:space="preserve">能力空间</w:t>
      </w:r>
      <w:r>
        <w:t xml:space="preserve">”</w:t>
      </w:r>
      <w:r>
        <w:t xml:space="preserve">与压力型体制</w:t>
      </w:r>
    </w:p>
    <w:bookmarkEnd w:id="77"/>
    <w:bookmarkEnd w:id="78"/>
    <w:bookmarkStart w:id="98" w:name="实证检验以2021年春节期间各地的疫情防控政策为例"/>
    <w:p>
      <w:pPr>
        <w:pStyle w:val="1"/>
      </w:pPr>
      <w:r>
        <w:t xml:space="preserve">实证检验：以2021年春节期间各地的疫情防控政策为例</w:t>
      </w:r>
    </w:p>
    <w:p>
      <w:pPr>
        <w:pStyle w:val="FirstParagraph"/>
      </w:pPr>
      <w:r>
        <w:t xml:space="preserve">下文中，笔者以2021年春节期间疫情防控政策在中国各地的差异化制定为案例，来剖析和验证地方政治治理能力对“压力型体制”运行的影响。疫情防控是2021年中国各地政府工作的核心任务。元旦和春节期间，由于人员流动性大，聚集性活动多，进口冷链食品和货物物流增大，做好“两节”期间新型冠状病毒的疫情防控工作是中国各地政府任务的重中之重。</w:t>
      </w:r>
    </w:p>
    <w:p>
      <w:pPr>
        <w:pStyle w:val="a0"/>
      </w:pPr>
      <w:r>
        <w:t xml:space="preserve">春节期间疫情防控政策是考察“压力型体制”运行的典型案例：</w:t>
      </w:r>
      <w:r>
        <w:rPr>
          <w:bCs/>
          <w:b/>
        </w:rPr>
        <w:t xml:space="preserve">首先，中心任务明确。</w:t>
      </w:r>
      <w:r>
        <w:t xml:space="preserve">2021年春节期间，中国本土疫情呈零星散发和局部聚集性疫情交织叠加态势，防控形势严峻复杂。</w:t>
      </w:r>
      <w:r>
        <w:t xml:space="preserve"> </w:t>
      </w:r>
      <w:r>
        <w:t xml:space="preserve">国务院从2020年底就开始部署2021年元旦和春节期间的疫情防控工作</w:t>
      </w:r>
      <w:r>
        <w:rPr>
          <w:rStyle w:val="ad"/>
        </w:rPr>
        <w:footnoteReference w:id="79"/>
      </w:r>
      <w:r>
        <w:t xml:space="preserve">，在中央政府的统一安排下，各地的政策目标十分明确，整个社会经济系统围绕当地党委政府的指挥棒运行，党政部门是既是指挥员，又是组织员和作战员；</w:t>
      </w:r>
      <w:r>
        <w:rPr>
          <w:rStyle w:val="ad"/>
        </w:rPr>
        <w:footnoteReference w:id="80"/>
      </w:r>
      <w:r>
        <w:rPr>
          <w:bCs/>
          <w:b/>
        </w:rPr>
        <w:t xml:space="preserve">其次，压力传输明显。</w:t>
      </w:r>
      <w:r>
        <w:t xml:space="preserve">在国务院应对新型冠状病毒感染肺炎疫情联防联控机制综合组发布《关于做好2021年元旦和春节期间新冠肺炎疫情防控工作的通知》</w:t>
      </w:r>
      <w:r>
        <w:rPr>
          <w:rStyle w:val="ad"/>
        </w:rPr>
        <w:footnoteReference w:id="81"/>
      </w:r>
      <w:r>
        <w:t xml:space="preserve">后，从中央到省再到地级市直至基层村（社区）行政管理部门都发布了有关“春节期间新型冠状病毒的疫情防控工作”的政策文本，逐级严格，压力传输明显；更为重要的是，虽然受到的压力相同，也都使用加码的方式来传输压力，但加码方式在不同层级、同一层级的不同地域的地方政府间存在较大的</w:t>
      </w:r>
      <w:r>
        <w:rPr>
          <w:bCs/>
          <w:b/>
        </w:rPr>
        <w:t xml:space="preserve">异质性</w:t>
      </w:r>
      <w:r>
        <w:t xml:space="preserve">。这种政策扩散的差异性表现给我们衡量“压力型体制”在不同层级和不同地域的运行逻辑和影响变量的识别提供了绝佳的机会窗口。</w:t>
      </w:r>
    </w:p>
    <w:bookmarkStart w:id="83" w:name="实证策略"/>
    <w:p>
      <w:pPr>
        <w:pStyle w:val="2"/>
      </w:pPr>
      <w:r>
        <w:t xml:space="preserve">实证策略</w:t>
      </w:r>
    </w:p>
    <w:p>
      <w:pPr>
        <w:pStyle w:val="FirstParagraph"/>
      </w:pPr>
      <w:r>
        <w:t xml:space="preserve">具体来说，本文尝试回答两个研究问题：首先，虽然对个别地方政府的对春节疫情防控“层层加码”、</w:t>
      </w:r>
      <w:r>
        <w:t xml:space="preserve">“</w:t>
      </w:r>
      <w:r>
        <w:t xml:space="preserve">一刀切</w:t>
      </w:r>
      <w:r>
        <w:t xml:space="preserve">”</w:t>
      </w:r>
      <w:r>
        <w:t xml:space="preserve">的现象批评众多</w:t>
      </w:r>
      <w:r>
        <w:rPr>
          <w:rStyle w:val="ad"/>
        </w:rPr>
        <w:footnoteReference w:id="82"/>
      </w:r>
      <w:r>
        <w:t xml:space="preserve">，但尚未有研究对这一现象的在全国范围内进行实证考察。中国不同层级和地域的地方政府在2021年春节期间疫情防控政策上是否都受到“压力型体制”的影响？具体表现为是否存在“层层加码”的现象？进一步的，如果这种基于“压力型体制”的层层加码现象是普遍的，不同地方政府的加码策略是否存在异质性？哪些因素影响着他们的政策加码程度？</w:t>
      </w:r>
    </w:p>
    <w:p>
      <w:pPr>
        <w:pStyle w:val="a0"/>
      </w:pPr>
      <w:r>
        <w:t xml:space="preserve">笔者通过对2021年春节期间疫情防控政策在中国各地的差异化制定的分析，来考察“压力型体制”在不同层级和不同地域的运行逻辑和机制，在此基础上笔者还进一步识别了“压力型体制”的影响变量和压力来源。具体来说，笔者首先使用自然语言处理等方法对中国293个地级市2021年春节期间的疫情防控政策文本进行编码，再使用描述性统计的方式考察各地各层级的“层层加码”现象；之后借助回归分析对影响变量和压力来源进行识别和检验。</w:t>
      </w:r>
    </w:p>
    <w:bookmarkEnd w:id="83"/>
    <w:bookmarkStart w:id="84" w:name="研究假设"/>
    <w:p>
      <w:pPr>
        <w:pStyle w:val="2"/>
      </w:pPr>
      <w:r>
        <w:t xml:space="preserve">研究假设</w:t>
      </w:r>
    </w:p>
    <w:p>
      <w:pPr>
        <w:pStyle w:val="FirstParagraph"/>
      </w:pPr>
      <w:r>
        <w:t xml:space="preserve">据此，笔者提出本文的研究假设：</w:t>
      </w:r>
    </w:p>
    <w:p>
      <w:pPr>
        <w:pStyle w:val="a0"/>
      </w:pPr>
      <w:r>
        <w:t xml:space="preserve">对于第一个研究问题，笔者提出研究假设1:</w:t>
      </w:r>
    </w:p>
    <w:p>
      <w:pPr>
        <w:pStyle w:val="a0"/>
      </w:pPr>
      <w:r>
        <w:rPr>
          <w:bCs/>
          <w:b/>
        </w:rPr>
        <w:t xml:space="preserve">H1:中国不同层级和地域的地方政府在2021年春节期间疫情防控政策上存在“层层加码”的现象；</w:t>
      </w:r>
    </w:p>
    <w:p>
      <w:pPr>
        <w:pStyle w:val="a0"/>
      </w:pPr>
      <w:r>
        <w:t xml:space="preserve">对于第二个研究问题，笔者提出研究假设2:</w:t>
      </w:r>
    </w:p>
    <w:p>
      <w:pPr>
        <w:pStyle w:val="a0"/>
      </w:pPr>
      <w:r>
        <w:rPr>
          <w:bCs/>
          <w:b/>
        </w:rPr>
        <w:t xml:space="preserve">H2: 地方政府的治理能力影响着当地的政策加码程度；</w:t>
      </w:r>
    </w:p>
    <w:p>
      <w:pPr>
        <w:pStyle w:val="a0"/>
      </w:pPr>
      <w:r>
        <w:t xml:space="preserve">具体来说，在地方国家能力变量的测量上，笔者选择了和疫情防控最为相关的数字政府治理能力和医疗能力：</w:t>
      </w:r>
    </w:p>
    <w:p>
      <w:pPr>
        <w:pStyle w:val="a0"/>
      </w:pPr>
      <w:r>
        <w:rPr>
          <w:bCs/>
          <w:b/>
        </w:rPr>
        <w:t xml:space="preserve">H2.1: 地方政府的数字治理能力越高，当地的政策加码程度越小；</w:t>
      </w:r>
    </w:p>
    <w:p>
      <w:pPr>
        <w:pStyle w:val="a0"/>
      </w:pPr>
      <w:r>
        <w:rPr>
          <w:bCs/>
          <w:b/>
        </w:rPr>
        <w:t xml:space="preserve">H2.2: 地方政府的医疗能力越高，当地的政策加码程度越小。</w:t>
      </w:r>
    </w:p>
    <w:bookmarkEnd w:id="84"/>
    <w:bookmarkStart w:id="91" w:name="变量设置和数据来源"/>
    <w:p>
      <w:pPr>
        <w:pStyle w:val="2"/>
      </w:pPr>
      <w:r>
        <w:t xml:space="preserve">变量设置和数据来源</w:t>
      </w:r>
    </w:p>
    <w:p>
      <w:pPr>
        <w:pStyle w:val="FirstParagraph"/>
      </w:pPr>
      <w:r>
        <w:t xml:space="preserve">本研究的因变量是2021年春节期间疫情防控政策的加码程度，笔者对于因变量的处理分为两个部分：首先，笔者借助网络爬虫从政府网站、政府公众号和政务服务平台等数据源获取了全国293个地级市2021年春节期间的疫情防控政策。需要强调的是，笔者关注的是各地针对来自</w:t>
      </w:r>
      <w:r>
        <w:rPr>
          <w:bCs/>
          <w:b/>
        </w:rPr>
        <w:t xml:space="preserve">低风险地区</w:t>
      </w:r>
      <w:r>
        <w:t xml:space="preserve">前往</w:t>
      </w:r>
      <w:r>
        <w:rPr>
          <w:bCs/>
          <w:b/>
        </w:rPr>
        <w:t xml:space="preserve">城市地区</w:t>
      </w:r>
      <w:r>
        <w:t xml:space="preserve">人群的疫情管控政策。选择低风险地区是因为社会各界对来自</w:t>
      </w:r>
      <w:r>
        <w:rPr>
          <w:bCs/>
          <w:b/>
        </w:rPr>
        <w:t xml:space="preserve">中高风险</w:t>
      </w:r>
      <w:r>
        <w:t xml:space="preserve">人员的管制意见较为一致，均采用严格的措施围堵疫情，而在对于来自</w:t>
      </w:r>
      <w:r>
        <w:rPr>
          <w:bCs/>
          <w:b/>
        </w:rPr>
        <w:t xml:space="preserve">低风险地区</w:t>
      </w:r>
      <w:r>
        <w:t xml:space="preserve">的人员管制意见差异较大，因此在制定对</w:t>
      </w:r>
      <w:r>
        <w:rPr>
          <w:bCs/>
          <w:b/>
        </w:rPr>
        <w:t xml:space="preserve">低风险地区</w:t>
      </w:r>
      <w:r>
        <w:t xml:space="preserve">人员的疫情管制时，地方政府会面对更大更复杂的压力。这种多方压力下的异质性也更有利于我们对其政策扩散的机制进行考察；选择</w:t>
      </w:r>
      <w:r>
        <w:rPr>
          <w:bCs/>
          <w:b/>
        </w:rPr>
        <w:t xml:space="preserve">城市地区</w:t>
      </w:r>
      <w:r>
        <w:t xml:space="preserve">是因为中央政府明确规定了返回农村地区的防控政策</w:t>
      </w:r>
      <w:r>
        <w:rPr>
          <w:rStyle w:val="ad"/>
        </w:rPr>
        <w:footnoteReference w:id="85"/>
      </w:r>
      <w:r>
        <w:t xml:space="preserve">，这一压力是顶格且一致的。地方政府的加码空间较少，而中央对城市地区的管控政策较为模糊，没有明确规定。</w:t>
      </w:r>
    </w:p>
    <w:p>
      <w:pPr>
        <w:pStyle w:val="a0"/>
      </w:pPr>
      <w:r>
        <w:t xml:space="preserve">对于上述政策文本，笔者使用机器编码和人工查核相结合的方式对目标政策进行编码处理。我们首先使用正则表达式对政策文本的关键词进行识别从而进行初步分类；其次，研究团队的三位编码员在经过培训后对原始文本进行查核，对模糊和争议分类进行逐个确定，最终形成一致的分类结果。通过机器编码和人工查核，我们将目标政策分为“有条件自由流动”（1）、</w:t>
      </w:r>
      <w:r>
        <w:t xml:space="preserve">“</w:t>
      </w:r>
      <w:r>
        <w:t xml:space="preserve">健康报备</w:t>
      </w:r>
      <w:r>
        <w:t xml:space="preserve">”</w:t>
      </w:r>
      <w:r>
        <w:t xml:space="preserve">（2）、</w:t>
      </w:r>
      <w:r>
        <w:t xml:space="preserve">“</w:t>
      </w:r>
      <w:r>
        <w:t xml:space="preserve">核酸检测</w:t>
      </w:r>
      <w:r>
        <w:t xml:space="preserve">”</w:t>
      </w:r>
      <w:r>
        <w:t xml:space="preserve">（3）、</w:t>
      </w:r>
      <w:r>
        <w:t xml:space="preserve">“</w:t>
      </w:r>
      <w:r>
        <w:t xml:space="preserve">健康监测</w:t>
      </w:r>
      <w:r>
        <w:t xml:space="preserve">”</w:t>
      </w:r>
      <w:r>
        <w:t xml:space="preserve">（4）、</w:t>
      </w:r>
      <w:r>
        <w:t xml:space="preserve">“</w:t>
      </w:r>
      <w:r>
        <w:t xml:space="preserve">居家健康监测</w:t>
      </w:r>
      <w:r>
        <w:t xml:space="preserve">”</w:t>
      </w:r>
      <w:r>
        <w:t xml:space="preserve">（5）和“居家隔离”（6）六种类型。</w:t>
      </w:r>
    </w:p>
    <w:p>
      <w:pPr>
        <w:pStyle w:val="a0"/>
      </w:pPr>
      <w:r>
        <w:t xml:space="preserve">本文的核心自变量是地方的治理能力，笔者主要关注和疫情防控相关的数字政府治理能力和医疗能力。笔者使用清华大学数据治理中心2021年发布的《中国数字政府发展研究报告》</w:t>
      </w:r>
      <w:r>
        <w:rPr>
          <w:rStyle w:val="ad"/>
        </w:rPr>
        <w:footnoteReference w:id="87"/>
      </w:r>
      <w:r>
        <w:t xml:space="preserve">中对中国主要城市政府的数字治理能力评估的指数。这一指数侧重于分析政府利用数字化平台提供公共服务、开展政民互动的能力。该测评设置平台管理、数据开放、政务服务、政民互动四项二级指标，分别衡量数字政府发展各类功能载体的健全性、便利性、安全性等特征。在地方政府的医疗量能上笔者使用的是该地级市的医院床位数，该数据和诸如该地的国民生产总值等控制变量均整理自各地的统计年鉴。</w:t>
      </w:r>
    </w:p>
    <w:p>
      <w:pPr>
        <w:pStyle w:val="a0"/>
      </w:pPr>
      <w:r>
        <w:t xml:space="preserve">与此同时，本文的还考察了上级政府、同级政府和民众等压力来源对地方政府的压力。笔者使用地级市所在省份政策颁布前一个月（2020年12月）的新型冠状病毒确诊数量作为上级政府压力的代理变量。在同级政府方面，地方政府受到的压力不仅来自相同区域的同级政府，而是来自发展程度更加相似的同级地方政府</w:t>
      </w:r>
      <w:r>
        <w:rPr>
          <w:rStyle w:val="ad"/>
        </w:rPr>
        <w:footnoteReference w:id="88"/>
      </w:r>
      <w:r>
        <w:t xml:space="preserve">。因此，笔者将同级政府的压力分成两种情况，如果该地级市是副省级城市或省会城市，笔者使用同等级城市2020年12月新型冠状病毒确诊数量的平均值作为同级政府压力的代理变量；如果该地级市是一般的城市，笔者使用同省的其他城市2020年12月新型冠状病毒的确诊数量作为政府压力的代理变量。各地各层级2020年12月新型冠状病毒的确诊数量的数据来源均整理自当地卫健委。在民众压力的实证策略上，笔者使用关键词“疫情”的百度搜索指数在2020年12月的环比增长数量作为民众压力的代理变量。</w:t>
      </w:r>
      <w:r>
        <w:rPr>
          <w:rStyle w:val="ad"/>
        </w:rPr>
        <w:footnoteReference w:id="89"/>
      </w:r>
    </w:p>
    <w:bookmarkEnd w:id="91"/>
    <w:bookmarkStart w:id="95" w:name="不同层级不同区域地方政府间的层层加码现象经验证据"/>
    <w:p>
      <w:pPr>
        <w:pStyle w:val="2"/>
      </w:pPr>
      <w:r>
        <w:t xml:space="preserve">不同层级、不同区域地方政府间的“层层加码”现象:经验证据</w:t>
      </w:r>
    </w:p>
    <w:p>
      <w:pPr>
        <w:pStyle w:val="FirstParagraph"/>
      </w:pPr>
      <w:r>
        <w:t xml:space="preserve">从下表中我们很容易看到，省级政府提出防控政策的严格程度平均说来都超过了中央提出的防疫政策，市级政府提出防控政策的严格程度平均说来都超过了省级政府提出的防疫政策，即从中央到地级市层级，2021年春节期间的防疫政策呈现出越向基层越严格的“层层加码”态势。</w:t>
      </w:r>
    </w:p>
    <w:p>
      <w:pPr>
        <w:pStyle w:val="a0"/>
      </w:pPr>
      <w:r>
        <w:t xml:space="preserve">具体来说，省一级加码最多的是吉林省，要求所有“非中高风险地区返（来）吉人员须持3日内新冠病毒核酸检测阴性证明。”</w:t>
      </w:r>
      <w:r>
        <w:rPr>
          <w:rStyle w:val="ad"/>
        </w:rPr>
        <w:footnoteReference w:id="92"/>
      </w:r>
      <w:r>
        <w:t xml:space="preserve">。 市一级加码最多的是以山东德州为代表的地级市，这些地方政府要求从低风险地区返回的民众，进行14天居家健康监测。</w:t>
      </w:r>
    </w:p>
    <w:p>
      <w:pPr>
        <w:pStyle w:val="a0"/>
      </w:pPr>
      <w:r>
        <w:t xml:space="preserve">Table 1: 中央、省和地级市疫情防控政策比较</w:t>
      </w:r>
    </w:p>
    <w:p>
      <w:pPr>
        <w:pStyle w:val="a0"/>
      </w:pPr>
      <w:r>
        <w:t xml:space="preserve">省级防控政策</w:t>
      </w:r>
    </w:p>
    <w:p>
      <w:pPr>
        <w:pStyle w:val="a0"/>
      </w:pPr>
      <w:r>
        <w:t xml:space="preserve">市级防控政策</w:t>
      </w:r>
    </w:p>
    <w:p>
      <w:pPr>
        <w:pStyle w:val="a0"/>
      </w:pPr>
      <w:r>
        <w:t xml:space="preserve">中央防控政策</w:t>
      </w:r>
    </w:p>
    <w:p>
      <w:pPr>
        <w:pStyle w:val="a0"/>
      </w:pPr>
      <w:r>
        <w:t xml:space="preserve">均值</w:t>
      </w:r>
    </w:p>
    <w:p>
      <w:pPr>
        <w:pStyle w:val="a0"/>
      </w:pPr>
      <w:r>
        <w:t xml:space="preserve">最大值</w:t>
      </w:r>
    </w:p>
    <w:p>
      <w:pPr>
        <w:pStyle w:val="a0"/>
      </w:pPr>
      <w:r>
        <w:t xml:space="preserve">最小值</w:t>
      </w:r>
    </w:p>
    <w:p>
      <w:pPr>
        <w:pStyle w:val="a0"/>
      </w:pPr>
      <w:r>
        <w:t xml:space="preserve">均值.</w:t>
      </w:r>
    </w:p>
    <w:p>
      <w:pPr>
        <w:pStyle w:val="a0"/>
      </w:pPr>
      <w:r>
        <w:t xml:space="preserve">最大值.</w:t>
      </w:r>
    </w:p>
    <w:p>
      <w:pPr>
        <w:pStyle w:val="a0"/>
      </w:pPr>
      <w:r>
        <w:t xml:space="preserve">最小值.</w:t>
      </w:r>
    </w:p>
    <w:p>
      <w:pPr>
        <w:pStyle w:val="a0"/>
      </w:pPr>
      <w:r>
        <w:t xml:space="preserve">1</w:t>
      </w:r>
    </w:p>
    <w:p>
      <w:pPr>
        <w:pStyle w:val="a0"/>
      </w:pPr>
      <w:r>
        <w:t xml:space="preserve">1.23</w:t>
      </w:r>
    </w:p>
    <w:p>
      <w:pPr>
        <w:pStyle w:val="a0"/>
      </w:pPr>
      <w:r>
        <w:t xml:space="preserve">3</w:t>
      </w:r>
    </w:p>
    <w:p>
      <w:pPr>
        <w:pStyle w:val="a0"/>
      </w:pPr>
      <w:r>
        <w:t xml:space="preserve">1</w:t>
      </w:r>
    </w:p>
    <w:p>
      <w:pPr>
        <w:pStyle w:val="a0"/>
      </w:pPr>
      <w:r>
        <w:t xml:space="preserve">1.81</w:t>
      </w:r>
    </w:p>
    <w:p>
      <w:pPr>
        <w:pStyle w:val="a0"/>
      </w:pPr>
      <w:r>
        <w:t xml:space="preserve">5</w:t>
      </w:r>
    </w:p>
    <w:p>
      <w:pPr>
        <w:pStyle w:val="a0"/>
      </w:pPr>
      <w:r>
        <w:t xml:space="preserve">1</w:t>
      </w:r>
    </w:p>
    <w:p>
      <w:pPr>
        <w:pStyle w:val="a0"/>
      </w:pPr>
      <w:r>
        <w:t xml:space="preserve">为了更加形象的展示不同地区在疫情防控政策上的加码情况，笔者在东、中、西和东北部各选取了一个省，具体地说，东部选取了浙江省，中部选取了河南省，西部选取了青海省，东北部选取了吉林省来详细比较他们的加码差异。</w:t>
      </w:r>
    </w:p>
    <w:p>
      <w:pPr>
        <w:pStyle w:val="a0"/>
      </w:pPr>
      <w:r>
        <w:t xml:space="preserve">从下表数据笔者发现，在空间分布上，压力型体制仍旧是一个全国性的体制，防疫政策加码的情况在除浙江省外的中、西和东北广泛存在。而且和现有理论的发现一致，防疫政策加码的情况在空间存在上不平衡的特点。</w:t>
      </w:r>
      <w:r>
        <w:rPr>
          <w:rStyle w:val="ad"/>
        </w:rPr>
        <w:footnoteReference w:id="94"/>
      </w:r>
      <w:r>
        <w:t xml:space="preserve">笔者还汇报了各省的省级数字治理能力指数，对比各省数字治理能力指数与疫情防控措施的加码程度可以发现，和经典理论不同的是，这种不平衡性似乎和是否处在经济起飞阶段并没有很强的相关性，而是和地方政府的数字治理能力更加相关。</w:t>
      </w:r>
    </w:p>
    <w:p>
      <w:pPr>
        <w:pStyle w:val="a0"/>
      </w:pPr>
      <w:r>
        <w:t xml:space="preserve">Table 2: 东、中、西、东北地区个别省份疫情防控政策比较</w:t>
      </w:r>
    </w:p>
    <w:p>
      <w:pPr>
        <w:pStyle w:val="a0"/>
      </w:pPr>
      <w:r>
        <w:t xml:space="preserve">省份</w:t>
      </w:r>
    </w:p>
    <w:p>
      <w:pPr>
        <w:pStyle w:val="a0"/>
      </w:pPr>
      <w:r>
        <w:t xml:space="preserve">省级防控政策</w:t>
      </w:r>
    </w:p>
    <w:p>
      <w:pPr>
        <w:pStyle w:val="a0"/>
      </w:pPr>
      <w:r>
        <w:t xml:space="preserve">市均值</w:t>
      </w:r>
    </w:p>
    <w:p>
      <w:pPr>
        <w:pStyle w:val="a0"/>
      </w:pPr>
      <w:r>
        <w:t xml:space="preserve">市最大值</w:t>
      </w:r>
    </w:p>
    <w:p>
      <w:pPr>
        <w:pStyle w:val="a0"/>
      </w:pPr>
      <w:r>
        <w:t xml:space="preserve">市最小值</w:t>
      </w:r>
    </w:p>
    <w:p>
      <w:pPr>
        <w:pStyle w:val="a0"/>
      </w:pPr>
      <w:r>
        <w:t xml:space="preserve">省级数字治理能力指数</w:t>
      </w:r>
    </w:p>
    <w:p>
      <w:pPr>
        <w:pStyle w:val="a0"/>
      </w:pPr>
      <w:r>
        <w:t xml:space="preserve">浙江</w:t>
      </w:r>
    </w:p>
    <w:p>
      <w:pPr>
        <w:pStyle w:val="a0"/>
      </w:pPr>
      <w:r>
        <w:t xml:space="preserve">1</w:t>
      </w:r>
    </w:p>
    <w:p>
      <w:pPr>
        <w:pStyle w:val="a0"/>
      </w:pPr>
      <w:r>
        <w:t xml:space="preserve">1.00</w:t>
      </w:r>
    </w:p>
    <w:p>
      <w:pPr>
        <w:pStyle w:val="a0"/>
      </w:pPr>
      <w:r>
        <w:t xml:space="preserve">1</w:t>
      </w:r>
    </w:p>
    <w:p>
      <w:pPr>
        <w:pStyle w:val="a0"/>
      </w:pPr>
      <w:r>
        <w:t xml:space="preserve">1</w:t>
      </w:r>
    </w:p>
    <w:p>
      <w:pPr>
        <w:pStyle w:val="a0"/>
      </w:pPr>
      <w:r>
        <w:t xml:space="preserve">37.2</w:t>
      </w:r>
    </w:p>
    <w:p>
      <w:pPr>
        <w:pStyle w:val="a0"/>
      </w:pPr>
      <w:r>
        <w:t xml:space="preserve">山西</w:t>
      </w:r>
    </w:p>
    <w:p>
      <w:pPr>
        <w:pStyle w:val="a0"/>
      </w:pPr>
      <w:r>
        <w:t xml:space="preserve">1</w:t>
      </w:r>
    </w:p>
    <w:p>
      <w:pPr>
        <w:pStyle w:val="a0"/>
      </w:pPr>
      <w:r>
        <w:t xml:space="preserve">2.23</w:t>
      </w:r>
    </w:p>
    <w:p>
      <w:pPr>
        <w:pStyle w:val="a0"/>
      </w:pPr>
      <w:r>
        <w:t xml:space="preserve">5</w:t>
      </w:r>
    </w:p>
    <w:p>
      <w:pPr>
        <w:pStyle w:val="a0"/>
      </w:pPr>
      <w:r>
        <w:t xml:space="preserve">1</w:t>
      </w:r>
    </w:p>
    <w:p>
      <w:pPr>
        <w:pStyle w:val="a0"/>
      </w:pPr>
      <w:r>
        <w:t xml:space="preserve">25.3</w:t>
      </w:r>
    </w:p>
    <w:p>
      <w:pPr>
        <w:pStyle w:val="a0"/>
      </w:pPr>
      <w:r>
        <w:t xml:space="preserve">青海</w:t>
      </w:r>
    </w:p>
    <w:p>
      <w:pPr>
        <w:pStyle w:val="a0"/>
      </w:pPr>
      <w:r>
        <w:t xml:space="preserve">1</w:t>
      </w:r>
    </w:p>
    <w:p>
      <w:pPr>
        <w:pStyle w:val="a0"/>
      </w:pPr>
      <w:r>
        <w:t xml:space="preserve">2.70</w:t>
      </w:r>
    </w:p>
    <w:p>
      <w:pPr>
        <w:pStyle w:val="a0"/>
      </w:pPr>
      <w:r>
        <w:t xml:space="preserve">5</w:t>
      </w:r>
    </w:p>
    <w:p>
      <w:pPr>
        <w:pStyle w:val="a0"/>
      </w:pPr>
      <w:r>
        <w:t xml:space="preserve">1</w:t>
      </w:r>
    </w:p>
    <w:p>
      <w:pPr>
        <w:pStyle w:val="a0"/>
      </w:pPr>
      <w:r>
        <w:t xml:space="preserve">19.3</w:t>
      </w:r>
    </w:p>
    <w:p>
      <w:pPr>
        <w:pStyle w:val="a0"/>
      </w:pPr>
      <w:r>
        <w:t xml:space="preserve">吉林</w:t>
      </w:r>
    </w:p>
    <w:p>
      <w:pPr>
        <w:pStyle w:val="a0"/>
      </w:pPr>
      <w:r>
        <w:t xml:space="preserve">3</w:t>
      </w:r>
    </w:p>
    <w:p>
      <w:pPr>
        <w:pStyle w:val="a0"/>
      </w:pPr>
      <w:r>
        <w:t xml:space="preserve">3.20</w:t>
      </w:r>
    </w:p>
    <w:p>
      <w:pPr>
        <w:pStyle w:val="a0"/>
      </w:pPr>
      <w:r>
        <w:t xml:space="preserve">4</w:t>
      </w:r>
    </w:p>
    <w:p>
      <w:pPr>
        <w:pStyle w:val="a0"/>
      </w:pPr>
      <w:r>
        <w:t xml:space="preserve">3</w:t>
      </w:r>
    </w:p>
    <w:p>
      <w:pPr>
        <w:pStyle w:val="a0"/>
      </w:pPr>
      <w:r>
        <w:t xml:space="preserve">28.2</w:t>
      </w:r>
    </w:p>
    <w:p>
      <w:pPr>
        <w:pStyle w:val="a0"/>
      </w:pPr>
      <w:r>
        <w:t xml:space="preserve">由此笔者验证了本文的第一个研究假设：中国不同层级和地域的地方政府在2021年春节期间疫情防控政策上存在“层层加码”的现象，在层级上，地级市政府加码最多，在空间上，数字治理能力弱的地区加码最多。</w:t>
      </w:r>
    </w:p>
    <w:bookmarkEnd w:id="95"/>
    <w:bookmarkStart w:id="97" w:name="能力空间政府能力与加码程度的经验证据"/>
    <w:p>
      <w:pPr>
        <w:pStyle w:val="2"/>
      </w:pPr>
      <w:r>
        <w:t xml:space="preserve">“</w:t>
      </w:r>
      <w:r>
        <w:t xml:space="preserve">能力空间</w:t>
      </w:r>
      <w:r>
        <w:t xml:space="preserve">”</w:t>
      </w:r>
      <w:r>
        <w:t xml:space="preserve">：政府能力与加码程度的经验证据</w:t>
      </w:r>
    </w:p>
    <w:p>
      <w:pPr>
        <w:pStyle w:val="FirstParagraph"/>
      </w:pPr>
      <w:r>
        <w:t xml:space="preserve">笔者继续检验本文的第二个研究假设，即检验影响地方政府政策加码程度的原因，在检验经典理论的基础上，笔者着重识别和检验了地方政府的治理能力的影响。</w:t>
      </w:r>
    </w:p>
    <w:p>
      <w:pPr>
        <w:pStyle w:val="CaptionedFigure"/>
      </w:pPr>
      <w:r>
        <w:drawing>
          <wp:inline>
            <wp:extent cx="5943600" cy="3343275"/>
            <wp:effectExtent b="0" l="0" r="0" t="0"/>
            <wp:docPr descr="Figure 2: 回归结果" title="" id="1" name="Picture"/>
            <a:graphic>
              <a:graphicData uri="http://schemas.openxmlformats.org/drawingml/2006/picture">
                <pic:pic>
                  <pic:nvPicPr>
                    <pic:cNvPr descr="../figures/figure1.png" id="0" name="Picture"/>
                    <pic:cNvPicPr>
                      <a:picLocks noChangeArrowheads="1" noChangeAspect="1"/>
                    </pic:cNvPicPr>
                  </pic:nvPicPr>
                  <pic:blipFill>
                    <a:blip r:embed="rId96"/>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回归结果</w:t>
      </w:r>
    </w:p>
    <w:p>
      <w:pPr>
        <w:pStyle w:val="a0"/>
      </w:pPr>
      <w:r>
        <w:t xml:space="preserve">根据上图回归分析的结果，笔者发现，经典理论中的四个压力来源对地方政府疫情防控政策的加码程度仍有较强的解释力，本地疫情压力、同级政府压力、上级政府压力和民众压力对地方政府疫情防控政策的加码程度仍有显著影响：在控制其他变量的前提下，本地疫情越严重，地方政府疫情防控政策加码越多；和本地同级城市疫情越严重，地方政府疫情防控政策加码越多；本地所在省份疫情越严重，地方政府疫情防控政策加码越多；民众压力越大，地方政府疫情防控政策加码越少。</w:t>
      </w:r>
    </w:p>
    <w:p>
      <w:pPr>
        <w:pStyle w:val="a0"/>
      </w:pPr>
      <w:r>
        <w:t xml:space="preserve">在此基础上，笔者识别和检验了地方政府的治理能力尤其是数字治理能力的影响，回归分析发现，地方政府的数字治理能力和卫生能力对地方政府疫情防控政策加码程度仍有显著影响：在控制其他变量的前提下，地方政府的数字治理能力越强，地方政府疫情防控政策加码越少；地方政府的卫生能力越强，地方政府疫情防控政策加码越少。即，治理能力是地方政府面对各方压力的减压阀，治理能力越强的地方政府的行政自主性即“能力空间”就越大，从而能够较为灵活的处理多方压力和政策加码。</w:t>
      </w:r>
    </w:p>
    <w:p>
      <w:pPr>
        <w:pStyle w:val="a0"/>
      </w:pPr>
      <w:r>
        <w:t xml:space="preserve">在对变量进行标准化处理后，我们可以比较不同自变量对因变量的影响程度。通过上右图的比较，笔者发现，地方的治理能力尤其是卫生能力，在所有自变量中对地方政府疫情防控政策的加码程度影响最大；地方的数字治理能力对地方政府疫情防控政策的加码程度也有较大影响。</w:t>
      </w:r>
    </w:p>
    <w:bookmarkEnd w:id="97"/>
    <w:bookmarkEnd w:id="98"/>
    <w:bookmarkStart w:id="100" w:name="总结与讨论"/>
    <w:p>
      <w:pPr>
        <w:pStyle w:val="1"/>
      </w:pPr>
      <w:r>
        <w:t xml:space="preserve">总结与讨论</w:t>
      </w:r>
    </w:p>
    <w:p>
      <w:pPr>
        <w:pStyle w:val="FirstParagraph"/>
      </w:pPr>
      <w:r>
        <w:t xml:space="preserve">近年来，作为国家治理的核心环节，地方治理受到学者广泛的关注。</w:t>
      </w:r>
      <w:r>
        <w:t xml:space="preserve">“</w:t>
      </w:r>
      <w:r>
        <w:t xml:space="preserve">压力型体制</w:t>
      </w:r>
      <w:r>
        <w:t xml:space="preserve">”</w:t>
      </w:r>
      <w:r>
        <w:t xml:space="preserve">作为对中国地方治理实践的理论描绘，得到了国内外学者的广泛关注和讨论，不仅生动的描述了中国地方治理的压力和动力，还能够对“目标责任制”、</w:t>
      </w:r>
      <w:r>
        <w:t xml:space="preserve">“</w:t>
      </w:r>
      <w:r>
        <w:t xml:space="preserve">项目制</w:t>
      </w:r>
      <w:r>
        <w:t xml:space="preserve">”</w:t>
      </w:r>
      <w:r>
        <w:t xml:space="preserve">和“行政发包制” 等一些富有解释力的概念进行较好地整合。</w:t>
      </w:r>
    </w:p>
    <w:p>
      <w:pPr>
        <w:pStyle w:val="a0"/>
      </w:pPr>
      <w:r>
        <w:t xml:space="preserve">中国共产党第十八次全国代表大会以来，党和政府推动了一系列重大的政治体制改革，</w:t>
      </w:r>
      <w:r>
        <w:t xml:space="preserve">“</w:t>
      </w:r>
      <w:r>
        <w:t xml:space="preserve">强监督、弱激励、硬指标</w:t>
      </w:r>
      <w:r>
        <w:t xml:space="preserve">”</w:t>
      </w:r>
      <w:r>
        <w:t xml:space="preserve">的地方治理氛围，深刻得改变了压力型体制的运行环境。在这一改革进程中，</w:t>
      </w:r>
      <w:r>
        <w:t xml:space="preserve">“</w:t>
      </w:r>
      <w:r>
        <w:t xml:space="preserve">压力型体制</w:t>
      </w:r>
      <w:r>
        <w:t xml:space="preserve">”</w:t>
      </w:r>
      <w:r>
        <w:t xml:space="preserve">的表现更趋明显，甚至已经被官方话语所接纳。虽然压力型体制仍然表现出生动的描述力和较强的解释力，但是面对新的制度环境和新的现象依旧存在解释力上的不足。</w:t>
      </w:r>
    </w:p>
    <w:p>
      <w:pPr>
        <w:pStyle w:val="a0"/>
      </w:pPr>
      <w:r>
        <w:t xml:space="preserve">本研究在梳理已有理论的基础上，结合政策扩散和地方治理能力等理论视角，提出压力型体制下“能力空间”的概念。笔者认为，地方政府的治理能力使得他们在各界压力下还能保留一定的自主性空间，而这一自主性空间的大小是由地方政府的治理能力的强弱决定的。</w:t>
      </w:r>
    </w:p>
    <w:p>
      <w:pPr>
        <w:pStyle w:val="a0"/>
      </w:pPr>
      <w:r>
        <w:t xml:space="preserve">在此基础上，本研究以以2021年春节期间疫情防控政策在中国各地的差异化制定为案例，实证检验了地方政治治理能力对“压力型体制”运行的影响。通过实证分析，笔者发现，经典理论中的同级、上级和民众对地方政府的政策加码程度均有显著影响，其中同级和上级压力对政策加码程度有显著的正向影响，上级压力和同级压力越大，政策加码越多。而民众压力对有显著的负向影响，民众对疫情防控的关注越多，政策加码越少。在检验经典理论的基础上，笔者着重识别和检验了地方政府的治理能力尤其是数字治理能力和医疗量能的影响，笔者发现，地方政府的数字治理能力和卫生能力对地方政府疫情防控政策加码程度有明显的“减压阀”作用，治理能力越强的地方政府的行政自主性即“能力空间”就越大，从而能够较为灵活的处理多方压力和政策加码。</w:t>
      </w:r>
    </w:p>
    <w:p>
      <w:pPr>
        <w:pStyle w:val="a0"/>
      </w:pPr>
      <w:r>
        <w:t xml:space="preserve">本文不仅利用实证数据和方法对“压力型体制”这一经典理论进行实证检验，发现在十八大之后的政治体制变革中，</w:t>
      </w:r>
      <w:r>
        <w:t xml:space="preserve">“</w:t>
      </w:r>
      <w:r>
        <w:t xml:space="preserve">压力型体制</w:t>
      </w:r>
      <w:r>
        <w:t xml:space="preserve">”</w:t>
      </w:r>
      <w:r>
        <w:t xml:space="preserve">对中国地方治理的实践仍然有较强的解释力；还发现地方政府治理能力对“压力型体制”运行的“减压阀”效应，提出了“能力空间”与“有自主性的压力型体制”的观点，对“压力型体制”在新时代进行了理论修正与检验。需要说明的是，本文也存在明显的不足：首先，由于数据的限制，笔者仅对加码行为进行了“中央-省-地级市”层面的分析，而对原有理论中“压力型体制表现得更加突出”的县级政府</w:t>
      </w:r>
      <w:r>
        <w:rPr>
          <w:rStyle w:val="ad"/>
        </w:rPr>
        <w:footnoteReference w:id="99"/>
      </w:r>
      <w:r>
        <w:t xml:space="preserve"> </w:t>
      </w:r>
      <w:r>
        <w:t xml:space="preserve">本文并没有足够的数据来进行实证检验；其次，通过大样本的数据分析虽然能够在总体上发现相关性，但是在影响机制上的探索有限。地方政府治理能力对压力型体制下地方自主性的具体影响机制还有待后续研究进一步完善。</w:t>
      </w:r>
    </w:p>
    <w:p>
      <w:r>
        <w:br w:type="page"/>
      </w:r>
    </w:p>
    <w:bookmarkEnd w:id="100"/>
    <w:bookmarkStart w:id="101" w:name="参考文献"/>
    <w:p>
      <w:pPr>
        <w:pStyle w:val="1"/>
      </w:pPr>
      <w:r>
        <w:t xml:space="preserve">参考文献</w:t>
      </w:r>
    </w:p>
    <w:bookmarkEnd w:id="101"/>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清华大学政治学系博士生，研究方向为大数据政治学、身份政治和政治传播。联系电话：18638750921，邮箱：</w:t>
      </w:r>
      <w:hyperlink r:id="rId21">
        <w:r>
          <w:rPr>
            <w:rStyle w:val="ae"/>
          </w:rPr>
          <w:t xml:space="preserve">sunyf20@mails.tsinghua.edu.cn</w:t>
        </w:r>
      </w:hyperlink>
      <w:r>
        <w:t xml:space="preserve">，通讯地址：北京市海淀区清华大学，邮编：100084</w:t>
      </w:r>
    </w:p>
  </w:footnote>
  <w:footnote w:id="22">
    <w:p>
      <w:pPr>
        <w:pStyle w:val="aa"/>
      </w:pPr>
      <w:r>
        <w:rPr>
          <w:rStyle w:val="ad"/>
        </w:rPr>
        <w:footnoteRef/>
      </w:r>
      <w:r>
        <w:t xml:space="preserve"> </w:t>
      </w:r>
      <w:r>
        <w:t xml:space="preserve">本文通讯作者。清华大学社科学院政治学系教授，博士生导师。研究方向为地方治理、当代中国政治、比较政治理论、全球化等。</w:t>
      </w:r>
    </w:p>
  </w:footnote>
  <w:footnote w:id="23">
    <w:p>
      <w:pPr>
        <w:pStyle w:val="aa"/>
      </w:pPr>
      <w:r>
        <w:rPr>
          <w:rStyle w:val="ad"/>
        </w:rPr>
        <w:footnoteRef/>
      </w:r>
      <w:r>
        <w:t xml:space="preserve"> </w:t>
      </w:r>
      <w:hyperlink w:anchor="ref-Shue1990">
        <w:r>
          <w:rPr>
            <w:rStyle w:val="ae"/>
          </w:rPr>
          <w:t xml:space="preserve">Vivienne Shue,</w:t>
        </w:r>
        <w:r>
          <w:rPr>
            <w:rStyle w:val="ae"/>
          </w:rPr>
          <w:t xml:space="preserve"> </w:t>
        </w:r>
        <w:r>
          <w:rPr>
            <w:rStyle w:val="ae"/>
            <w:iCs/>
            <w:i/>
          </w:rPr>
          <w:t xml:space="preserve">The reach of the state: Sketches of the</w:t>
        </w:r>
        <w:r>
          <w:rPr>
            <w:rStyle w:val="ae"/>
            <w:iCs/>
            <w:i/>
          </w:rPr>
          <w:t xml:space="preserve"> </w:t>
        </w:r>
        <w:r>
          <w:rPr>
            <w:rStyle w:val="ae"/>
            <w:iCs/>
            <w:i/>
          </w:rPr>
          <w:t xml:space="preserve">Chinese</w:t>
        </w:r>
        <w:r>
          <w:rPr>
            <w:rStyle w:val="ae"/>
            <w:iCs/>
            <w:i/>
          </w:rPr>
          <w:t xml:space="preserve"> </w:t>
        </w:r>
        <w:r>
          <w:rPr>
            <w:rStyle w:val="ae"/>
            <w:iCs/>
            <w:i/>
          </w:rPr>
          <w:t xml:space="preserve">body politic</w:t>
        </w:r>
        <w:r>
          <w:rPr>
            <w:rStyle w:val="ae"/>
          </w:rPr>
          <w:t xml:space="preserve"> </w:t>
        </w:r>
        <w:r>
          <w:rPr>
            <w:rStyle w:val="ae"/>
          </w:rPr>
          <w:t xml:space="preserve">(</w:t>
        </w:r>
        <w:r>
          <w:rPr>
            <w:rStyle w:val="ae"/>
          </w:rPr>
          <w:t xml:space="preserve">Stanford University Press</w:t>
        </w:r>
        <w:r>
          <w:rPr>
            <w:rStyle w:val="ae"/>
          </w:rPr>
          <w:t xml:space="preserve">, 1990)</w:t>
        </w:r>
      </w:hyperlink>
      <w:r>
        <w:t xml:space="preserve">.</w:t>
      </w:r>
    </w:p>
  </w:footnote>
  <w:footnote w:id="24">
    <w:p>
      <w:pPr>
        <w:pStyle w:val="aa"/>
      </w:pPr>
      <w:r>
        <w:rPr>
          <w:rStyle w:val="ad"/>
        </w:rPr>
        <w:footnoteRef/>
      </w:r>
      <w:r>
        <w:t xml:space="preserve"> </w:t>
      </w:r>
      <w:hyperlink w:anchor="ref-QianXu1993">
        <w:r>
          <w:rPr>
            <w:rStyle w:val="ae"/>
          </w:rPr>
          <w:t xml:space="preserve">Yingyi Qian and Chenggang Xu,</w:t>
        </w:r>
        <w:r>
          <w:rPr>
            <w:rStyle w:val="ae"/>
          </w:rPr>
          <w:t xml:space="preserve"> </w:t>
        </w:r>
        <w:r>
          <w:rPr>
            <w:rStyle w:val="ae"/>
          </w:rPr>
          <w:t xml:space="preserve">“The</w:t>
        </w:r>
        <w:r>
          <w:rPr>
            <w:rStyle w:val="ae"/>
          </w:rPr>
          <w:t xml:space="preserve"> </w:t>
        </w:r>
        <w:r>
          <w:rPr>
            <w:rStyle w:val="ae"/>
          </w:rPr>
          <w:t xml:space="preserve">M</w:t>
        </w:r>
        <w:r>
          <w:rPr>
            <w:rStyle w:val="ae"/>
          </w:rPr>
          <w:t xml:space="preserve">-form hierarchy and</w:t>
        </w:r>
        <w:r>
          <w:rPr>
            <w:rStyle w:val="ae"/>
          </w:rPr>
          <w:t xml:space="preserve"> </w:t>
        </w:r>
        <w:r>
          <w:rPr>
            <w:rStyle w:val="ae"/>
          </w:rPr>
          <w:t xml:space="preserve">China</w:t>
        </w:r>
        <w:r>
          <w:rPr>
            <w:rStyle w:val="ae"/>
          </w:rPr>
          <w:t xml:space="preserve">’s economic reform,”</w:t>
        </w:r>
        <w:r>
          <w:rPr>
            <w:rStyle w:val="ae"/>
          </w:rPr>
          <w:t xml:space="preserve"> </w:t>
        </w:r>
        <w:r>
          <w:rPr>
            <w:rStyle w:val="ae"/>
            <w:iCs/>
            <w:i/>
          </w:rPr>
          <w:t xml:space="preserve">European Economic Review</w:t>
        </w:r>
        <w:r>
          <w:rPr>
            <w:rStyle w:val="ae"/>
          </w:rPr>
          <w:t xml:space="preserve">, Vol. 37, Nos. 2-3 (1993), pp. 541–8</w:t>
        </w:r>
      </w:hyperlink>
      <w:r>
        <w:t xml:space="preserve">.</w:t>
      </w:r>
    </w:p>
  </w:footnote>
  <w:footnote w:id="25">
    <w:p>
      <w:pPr>
        <w:pStyle w:val="aa"/>
      </w:pPr>
      <w:r>
        <w:rPr>
          <w:rStyle w:val="ad"/>
        </w:rPr>
        <w:footnoteRef/>
      </w:r>
      <w:r>
        <w:t xml:space="preserve"> </w:t>
      </w:r>
      <w:hyperlink w:anchor="ref-MontinolaEtAl1995">
        <w:r>
          <w:rPr>
            <w:rStyle w:val="ae"/>
          </w:rPr>
          <w:t xml:space="preserve">Gabriella Montinola, Yingyi Qian, and Barry R. Weingast,</w:t>
        </w:r>
        <w:r>
          <w:rPr>
            <w:rStyle w:val="ae"/>
          </w:rPr>
          <w:t xml:space="preserve"> </w:t>
        </w:r>
        <w:r>
          <w:rPr>
            <w:rStyle w:val="ae"/>
          </w:rPr>
          <w:t xml:space="preserve">“Federalism,</w:t>
        </w:r>
        <w:r>
          <w:rPr>
            <w:rStyle w:val="ae"/>
          </w:rPr>
          <w:t xml:space="preserve"> </w:t>
        </w:r>
        <w:r>
          <w:rPr>
            <w:rStyle w:val="ae"/>
          </w:rPr>
          <w:t xml:space="preserve">Chinese</w:t>
        </w:r>
        <w:r>
          <w:rPr>
            <w:rStyle w:val="ae"/>
          </w:rPr>
          <w:t xml:space="preserve"> </w:t>
        </w:r>
        <w:r>
          <w:rPr>
            <w:rStyle w:val="ae"/>
          </w:rPr>
          <w:t xml:space="preserve">style: The political basis for economic success in</w:t>
        </w:r>
        <w:r>
          <w:rPr>
            <w:rStyle w:val="ae"/>
          </w:rPr>
          <w:t xml:space="preserve"> </w:t>
        </w:r>
        <w:r>
          <w:rPr>
            <w:rStyle w:val="ae"/>
          </w:rPr>
          <w:t xml:space="preserve">China</w:t>
        </w:r>
        <w:r>
          <w:rPr>
            <w:rStyle w:val="ae"/>
          </w:rPr>
          <w:t xml:space="preserve">,”</w:t>
        </w:r>
        <w:r>
          <w:rPr>
            <w:rStyle w:val="ae"/>
          </w:rPr>
          <w:t xml:space="preserve"> </w:t>
        </w:r>
        <w:r>
          <w:rPr>
            <w:rStyle w:val="ae"/>
            <w:iCs/>
            <w:i/>
          </w:rPr>
          <w:t xml:space="preserve">World politics</w:t>
        </w:r>
        <w:r>
          <w:rPr>
            <w:rStyle w:val="ae"/>
          </w:rPr>
          <w:t xml:space="preserve">, (1995), pp. 50–81</w:t>
        </w:r>
      </w:hyperlink>
      <w:r>
        <w:t xml:space="preserve">.</w:t>
      </w:r>
    </w:p>
  </w:footnote>
  <w:footnote w:id="26">
    <w:p>
      <w:pPr>
        <w:pStyle w:val="aa"/>
      </w:pPr>
      <w:r>
        <w:rPr>
          <w:rStyle w:val="ad"/>
        </w:rPr>
        <w:footnoteRef/>
      </w:r>
      <w:r>
        <w:t xml:space="preserve"> </w:t>
      </w:r>
      <w:hyperlink w:anchor="ref-RongJingBen1998">
        <w:r>
          <w:rPr>
            <w:rStyle w:val="ae"/>
          </w:rPr>
          <w:t xml:space="preserve">荣敬本,</w:t>
        </w:r>
        <w:r>
          <w:rPr>
            <w:rStyle w:val="ae"/>
          </w:rPr>
          <w:t xml:space="preserve"> </w:t>
        </w:r>
        <w:r>
          <w:rPr>
            <w:rStyle w:val="ae"/>
            <w:iCs/>
            <w:i/>
          </w:rPr>
          <w:t xml:space="preserve">从压力型体制向民主合作体制的转变: 县乡两级政治体制改革</w:t>
        </w:r>
        <w:r>
          <w:rPr>
            <w:rStyle w:val="ae"/>
          </w:rPr>
          <w:t xml:space="preserve"> </w:t>
        </w:r>
        <w:r>
          <w:rPr>
            <w:rStyle w:val="ae"/>
          </w:rPr>
          <w:t xml:space="preserve">(</w:t>
        </w:r>
        <w:r>
          <w:rPr>
            <w:rStyle w:val="ae"/>
          </w:rPr>
          <w:t xml:space="preserve">中央编译出版社</w:t>
        </w:r>
        <w:r>
          <w:rPr>
            <w:rStyle w:val="ae"/>
          </w:rPr>
          <w:t xml:space="preserve">, 1998)</w:t>
        </w:r>
      </w:hyperlink>
      <w:r>
        <w:t xml:space="preserve">.</w:t>
      </w:r>
    </w:p>
  </w:footnote>
  <w:footnote w:id="27">
    <w:p>
      <w:pPr>
        <w:pStyle w:val="aa"/>
      </w:pPr>
      <w:r>
        <w:rPr>
          <w:rStyle w:val="ad"/>
        </w:rPr>
        <w:footnoteRef/>
      </w:r>
      <w:r>
        <w:t xml:space="preserve"> </w:t>
      </w:r>
      <w:hyperlink w:anchor="ref-Edin2003">
        <w:r>
          <w:rPr>
            <w:rStyle w:val="ae"/>
          </w:rPr>
          <w:t xml:space="preserve">Maria Edin,</w:t>
        </w:r>
        <w:r>
          <w:rPr>
            <w:rStyle w:val="ae"/>
          </w:rPr>
          <w:t xml:space="preserve"> </w:t>
        </w:r>
        <w:r>
          <w:rPr>
            <w:rStyle w:val="ae"/>
          </w:rPr>
          <w:t xml:space="preserve">“State capacity and local agent control in</w:t>
        </w:r>
        <w:r>
          <w:rPr>
            <w:rStyle w:val="ae"/>
          </w:rPr>
          <w:t xml:space="preserve"> </w:t>
        </w:r>
        <w:r>
          <w:rPr>
            <w:rStyle w:val="ae"/>
          </w:rPr>
          <w:t xml:space="preserve">China</w:t>
        </w:r>
        <w:r>
          <w:rPr>
            <w:rStyle w:val="ae"/>
          </w:rPr>
          <w:t xml:space="preserve">:</w:t>
        </w:r>
        <w:r>
          <w:rPr>
            <w:rStyle w:val="ae"/>
          </w:rPr>
          <w:t xml:space="preserve"> </w:t>
        </w:r>
        <w:r>
          <w:rPr>
            <w:rStyle w:val="ae"/>
          </w:rPr>
          <w:t xml:space="preserve">CCP</w:t>
        </w:r>
        <w:r>
          <w:rPr>
            <w:rStyle w:val="ae"/>
          </w:rPr>
          <w:t xml:space="preserve"> </w:t>
        </w:r>
        <w:r>
          <w:rPr>
            <w:rStyle w:val="ae"/>
          </w:rPr>
          <w:t xml:space="preserve">cadre management from a township perspective,”</w:t>
        </w:r>
        <w:r>
          <w:rPr>
            <w:rStyle w:val="ae"/>
          </w:rPr>
          <w:t xml:space="preserve"> </w:t>
        </w:r>
        <w:r>
          <w:rPr>
            <w:rStyle w:val="ae"/>
            <w:iCs/>
            <w:i/>
          </w:rPr>
          <w:t xml:space="preserve">China Q.</w:t>
        </w:r>
        <w:r>
          <w:rPr>
            <w:rStyle w:val="ae"/>
          </w:rPr>
          <w:t xml:space="preserve">, (2003), p. 35</w:t>
        </w:r>
      </w:hyperlink>
      <w:r>
        <w:t xml:space="preserve">.</w:t>
      </w:r>
    </w:p>
  </w:footnote>
  <w:footnote w:id="28">
    <w:p>
      <w:pPr>
        <w:pStyle w:val="aa"/>
      </w:pPr>
      <w:r>
        <w:rPr>
          <w:rStyle w:val="ad"/>
        </w:rPr>
        <w:footnoteRef/>
      </w:r>
      <w:r>
        <w:t xml:space="preserve"> </w:t>
      </w:r>
      <w:hyperlink w:anchor="ref-ChenJiaJian2013">
        <w:r>
          <w:rPr>
            <w:rStyle w:val="ae"/>
          </w:rPr>
          <w:t xml:space="preserve">陈家建,</w:t>
        </w:r>
        <w:r>
          <w:rPr>
            <w:rStyle w:val="ae"/>
          </w:rPr>
          <w:t xml:space="preserve"> </w:t>
        </w:r>
        <w:r>
          <w:rPr>
            <w:rStyle w:val="ae"/>
          </w:rPr>
          <w:t xml:space="preserve">“项目制与基层政府动员</w:t>
        </w:r>
        <w:r>
          <w:rPr>
            <w:rStyle w:val="ae"/>
          </w:rPr>
          <w:t xml:space="preserve">对社会管理项目化运作的社会学考察,”</w:t>
        </w:r>
        <w:r>
          <w:rPr>
            <w:rStyle w:val="ae"/>
          </w:rPr>
          <w:t xml:space="preserve"> </w:t>
        </w:r>
        <w:r>
          <w:rPr>
            <w:rStyle w:val="ae"/>
            <w:iCs/>
            <w:i/>
          </w:rPr>
          <w:t xml:space="preserve">中国社会科学</w:t>
        </w:r>
        <w:r>
          <w:rPr>
            <w:rStyle w:val="ae"/>
          </w:rPr>
          <w:t xml:space="preserve">, Vol. 2 (2013), pp. 64–79</w:t>
        </w:r>
      </w:hyperlink>
      <w:r>
        <w:t xml:space="preserve">.</w:t>
      </w:r>
    </w:p>
  </w:footnote>
  <w:footnote w:id="29">
    <w:p>
      <w:pPr>
        <w:pStyle w:val="aa"/>
      </w:pPr>
      <w:r>
        <w:rPr>
          <w:rStyle w:val="ad"/>
        </w:rPr>
        <w:footnoteRef/>
      </w:r>
      <w:r>
        <w:t xml:space="preserve"> </w:t>
      </w:r>
      <w:hyperlink w:anchor="ref-ZhouLiAn2014">
        <w:r>
          <w:rPr>
            <w:rStyle w:val="ae"/>
          </w:rPr>
          <w:t xml:space="preserve">周黎安,</w:t>
        </w:r>
        <w:r>
          <w:rPr>
            <w:rStyle w:val="ae"/>
          </w:rPr>
          <w:t xml:space="preserve"> </w:t>
        </w:r>
        <w:r>
          <w:rPr>
            <w:rStyle w:val="ae"/>
          </w:rPr>
          <w:t xml:space="preserve">“再论行政发包制: 对评论人的回应,”</w:t>
        </w:r>
        <w:r>
          <w:rPr>
            <w:rStyle w:val="ae"/>
          </w:rPr>
          <w:t xml:space="preserve"> </w:t>
        </w:r>
        <w:r>
          <w:rPr>
            <w:rStyle w:val="ae"/>
            <w:iCs/>
            <w:i/>
          </w:rPr>
          <w:t xml:space="preserve">社会</w:t>
        </w:r>
        <w:r>
          <w:rPr>
            <w:rStyle w:val="ae"/>
          </w:rPr>
          <w:t xml:space="preserve">, Vol. 34, No. 6 (2014), pp. 98–113</w:t>
        </w:r>
      </w:hyperlink>
      <w:r>
        <w:t xml:space="preserve">.</w:t>
      </w:r>
    </w:p>
  </w:footnote>
  <w:footnote w:id="30">
    <w:p>
      <w:pPr>
        <w:pStyle w:val="aa"/>
      </w:pPr>
      <w:r>
        <w:rPr>
          <w:rStyle w:val="ad"/>
        </w:rPr>
        <w:footnoteRef/>
      </w:r>
      <w:r>
        <w:t xml:space="preserve"> </w:t>
      </w:r>
      <w:hyperlink w:anchor="ref-Guo2020">
        <w:r>
          <w:rPr>
            <w:rStyle w:val="ae"/>
          </w:rPr>
          <w:t xml:space="preserve">Baogang Guo,</w:t>
        </w:r>
        <w:r>
          <w:rPr>
            <w:rStyle w:val="ae"/>
          </w:rPr>
          <w:t xml:space="preserve"> </w:t>
        </w:r>
        <w:r>
          <w:rPr>
            <w:rStyle w:val="ae"/>
          </w:rPr>
          <w:t xml:space="preserve">“A</w:t>
        </w:r>
        <w:r>
          <w:rPr>
            <w:rStyle w:val="ae"/>
          </w:rPr>
          <w:t xml:space="preserve"> </w:t>
        </w:r>
        <w:r>
          <w:rPr>
            <w:rStyle w:val="ae"/>
          </w:rPr>
          <w:t xml:space="preserve">Partocracy</w:t>
        </w:r>
        <w:r>
          <w:rPr>
            <w:rStyle w:val="ae"/>
          </w:rPr>
          <w:t xml:space="preserve"> </w:t>
        </w:r>
        <w:r>
          <w:rPr>
            <w:rStyle w:val="ae"/>
          </w:rPr>
          <w:t xml:space="preserve">with</w:t>
        </w:r>
        <w:r>
          <w:rPr>
            <w:rStyle w:val="ae"/>
          </w:rPr>
          <w:t xml:space="preserve"> </w:t>
        </w:r>
        <w:r>
          <w:rPr>
            <w:rStyle w:val="ae"/>
          </w:rPr>
          <w:t xml:space="preserve">Chinese Characteristics</w:t>
        </w:r>
        <w:r>
          <w:rPr>
            <w:rStyle w:val="ae"/>
          </w:rPr>
          <w:t xml:space="preserve">: Governance</w:t>
        </w:r>
        <w:r>
          <w:rPr>
            <w:rStyle w:val="ae"/>
          </w:rPr>
          <w:t xml:space="preserve"> </w:t>
        </w:r>
        <w:r>
          <w:rPr>
            <w:rStyle w:val="ae"/>
          </w:rPr>
          <w:t xml:space="preserve">System Reform</w:t>
        </w:r>
        <w:r>
          <w:rPr>
            <w:rStyle w:val="ae"/>
          </w:rPr>
          <w:t xml:space="preserve"> </w:t>
        </w:r>
        <w:r>
          <w:rPr>
            <w:rStyle w:val="ae"/>
          </w:rPr>
          <w:t xml:space="preserve">under</w:t>
        </w:r>
        <w:r>
          <w:rPr>
            <w:rStyle w:val="ae"/>
          </w:rPr>
          <w:t xml:space="preserve"> </w:t>
        </w:r>
        <w:r>
          <w:rPr>
            <w:rStyle w:val="ae"/>
          </w:rPr>
          <w:t xml:space="preserve">Xi Jinping</w:t>
        </w:r>
        <w:r>
          <w:rPr>
            <w:rStyle w:val="ae"/>
          </w:rPr>
          <w:t xml:space="preserve">,”</w:t>
        </w:r>
        <w:r>
          <w:rPr>
            <w:rStyle w:val="ae"/>
          </w:rPr>
          <w:t xml:space="preserve"> </w:t>
        </w:r>
        <w:r>
          <w:rPr>
            <w:rStyle w:val="ae"/>
            <w:iCs/>
            <w:i/>
          </w:rPr>
          <w:t xml:space="preserve">Journal of Contemporary China</w:t>
        </w:r>
        <w:r>
          <w:rPr>
            <w:rStyle w:val="ae"/>
          </w:rPr>
          <w:t xml:space="preserve">, Vol. 29, No. 126 (2020), pp. 809–23</w:t>
        </w:r>
      </w:hyperlink>
      <w:r>
        <w:t xml:space="preserve">.</w:t>
      </w:r>
    </w:p>
  </w:footnote>
  <w:footnote w:id="31">
    <w:p>
      <w:pPr>
        <w:pStyle w:val="aa"/>
      </w:pPr>
      <w:r>
        <w:rPr>
          <w:rStyle w:val="ad"/>
        </w:rPr>
        <w:footnoteRef/>
      </w:r>
      <w:r>
        <w:t xml:space="preserve"> </w:t>
      </w:r>
      <w:hyperlink w:anchor="ref-FengShiZheng2014">
        <w:r>
          <w:rPr>
            <w:rStyle w:val="ae"/>
          </w:rPr>
          <w:t xml:space="preserve">冯仕政,</w:t>
        </w:r>
        <w:r>
          <w:rPr>
            <w:rStyle w:val="ae"/>
          </w:rPr>
          <w:t xml:space="preserve"> </w:t>
        </w:r>
        <w:r>
          <w:rPr>
            <w:rStyle w:val="ae"/>
          </w:rPr>
          <w:t xml:space="preserve">“政治市场想象与中国国家治理分析</w:t>
        </w:r>
        <w:r>
          <w:rPr>
            <w:rStyle w:val="ae"/>
          </w:rPr>
          <w:t xml:space="preserve">兼评周黎安的行政发包制理论,”</w:t>
        </w:r>
        <w:r>
          <w:rPr>
            <w:rStyle w:val="ae"/>
          </w:rPr>
          <w:t xml:space="preserve"> </w:t>
        </w:r>
        <w:r>
          <w:rPr>
            <w:rStyle w:val="ae"/>
            <w:iCs/>
            <w:i/>
          </w:rPr>
          <w:t xml:space="preserve">社会</w:t>
        </w:r>
        <w:r>
          <w:rPr>
            <w:rStyle w:val="ae"/>
          </w:rPr>
          <w:t xml:space="preserve">, Vol. 34, No. 6 (2014), pp. 70–84</w:t>
        </w:r>
      </w:hyperlink>
      <w:r>
        <w:t xml:space="preserve">.</w:t>
      </w:r>
    </w:p>
  </w:footnote>
  <w:footnote w:id="32">
    <w:p>
      <w:pPr>
        <w:pStyle w:val="aa"/>
      </w:pPr>
      <w:r>
        <w:rPr>
          <w:rStyle w:val="ad"/>
        </w:rPr>
        <w:footnoteRef/>
      </w:r>
      <w:r>
        <w:t xml:space="preserve"> </w:t>
      </w:r>
      <w:hyperlink w:anchor="ref-JingYueJin2018">
        <w:r>
          <w:rPr>
            <w:rStyle w:val="ae"/>
          </w:rPr>
          <w:t xml:space="preserve">景跃进,</w:t>
        </w:r>
        <w:r>
          <w:rPr>
            <w:rStyle w:val="ae"/>
          </w:rPr>
          <w:t xml:space="preserve"> </w:t>
        </w:r>
        <w:r>
          <w:rPr>
            <w:rStyle w:val="ae"/>
          </w:rPr>
          <w:t xml:space="preserve">“中国农村基层治理的逻辑转换</w:t>
        </w:r>
        <w:r>
          <w:rPr>
            <w:rStyle w:val="ae"/>
          </w:rPr>
          <w:t xml:space="preserve">国家与乡村社会关系的再思考,”</w:t>
        </w:r>
        <w:r>
          <w:rPr>
            <w:rStyle w:val="ae"/>
          </w:rPr>
          <w:t xml:space="preserve"> </w:t>
        </w:r>
        <w:r>
          <w:rPr>
            <w:rStyle w:val="ae"/>
            <w:iCs/>
            <w:i/>
          </w:rPr>
          <w:t xml:space="preserve">中共浙江省委党校学报</w:t>
        </w:r>
        <w:r>
          <w:rPr>
            <w:rStyle w:val="ae"/>
          </w:rPr>
          <w:t xml:space="preserve">, Vol. 1 (2018)</w:t>
        </w:r>
      </w:hyperlink>
      <w:r>
        <w:t xml:space="preserve">.</w:t>
      </w:r>
    </w:p>
  </w:footnote>
  <w:footnote w:id="33">
    <w:p>
      <w:pPr>
        <w:pStyle w:val="aa"/>
      </w:pPr>
      <w:r>
        <w:rPr>
          <w:rStyle w:val="ad"/>
        </w:rPr>
        <w:footnoteRef/>
      </w:r>
      <w:r>
        <w:t xml:space="preserve"> </w:t>
      </w:r>
      <w:hyperlink w:anchor="ref-LiZhenEtAl2020">
        <w:r>
          <w:rPr>
            <w:rStyle w:val="ae"/>
          </w:rPr>
          <w:t xml:space="preserve">“</w:t>
        </w:r>
        <w:r>
          <w:rPr>
            <w:rStyle w:val="ae"/>
          </w:rPr>
          <w:t xml:space="preserve">‘条块并举’</w:t>
        </w:r>
        <w:r>
          <w:rPr>
            <w:rStyle w:val="ae"/>
          </w:rPr>
          <w:t xml:space="preserve">发包制下的基层治理</w:t>
        </w:r>
        <w:r>
          <w:rPr>
            <w:rStyle w:val="ae"/>
          </w:rPr>
          <w:t xml:space="preserve">,”</w:t>
        </w:r>
        <w:r>
          <w:rPr>
            <w:rStyle w:val="ae"/>
          </w:rPr>
          <w:t xml:space="preserve"> </w:t>
        </w:r>
        <w:r>
          <w:rPr>
            <w:rStyle w:val="ae"/>
            <w:iCs/>
            <w:i/>
          </w:rPr>
          <w:t xml:space="preserve">公共行政评论</w:t>
        </w:r>
        <w:r>
          <w:rPr>
            <w:rStyle w:val="ae"/>
          </w:rPr>
          <w:t xml:space="preserve">, Vol. 13, No. 03 (2020), pp. 102-117+196-197</w:t>
        </w:r>
      </w:hyperlink>
      <w:r>
        <w:t xml:space="preserve">.</w:t>
      </w:r>
    </w:p>
  </w:footnote>
  <w:footnote w:id="34">
    <w:p>
      <w:pPr>
        <w:pStyle w:val="aa"/>
      </w:pPr>
      <w:r>
        <w:rPr>
          <w:rStyle w:val="ad"/>
        </w:rPr>
        <w:footnoteRef/>
      </w:r>
      <w:r>
        <w:t xml:space="preserve"> </w:t>
      </w:r>
      <w:hyperlink w:anchor="ref-Ahlers2019">
        <w:r>
          <w:rPr>
            <w:rStyle w:val="ae"/>
          </w:rPr>
          <w:t xml:space="preserve">Anna L. Ahlers,</w:t>
        </w:r>
        <w:r>
          <w:rPr>
            <w:rStyle w:val="ae"/>
          </w:rPr>
          <w:t xml:space="preserve"> </w:t>
        </w:r>
        <w:r>
          <w:rPr>
            <w:rStyle w:val="ae"/>
            <w:iCs/>
            <w:i/>
          </w:rPr>
          <w:t xml:space="preserve">Political inclusion in contemporary</w:t>
        </w:r>
        <w:r>
          <w:rPr>
            <w:rStyle w:val="ae"/>
            <w:iCs/>
            <w:i/>
          </w:rPr>
          <w:t xml:space="preserve"> </w:t>
        </w:r>
        <w:r>
          <w:rPr>
            <w:rStyle w:val="ae"/>
            <w:iCs/>
            <w:i/>
          </w:rPr>
          <w:t xml:space="preserve">China</w:t>
        </w:r>
        <w:r>
          <w:rPr>
            <w:rStyle w:val="ae"/>
          </w:rPr>
          <w:t xml:space="preserve"> </w:t>
        </w:r>
        <w:r>
          <w:rPr>
            <w:rStyle w:val="ae"/>
          </w:rPr>
          <w:t xml:space="preserve">(</w:t>
        </w:r>
        <w:r>
          <w:rPr>
            <w:rStyle w:val="ae"/>
          </w:rPr>
          <w:t xml:space="preserve">Taylor &amp; Francis</w:t>
        </w:r>
        <w:r>
          <w:rPr>
            <w:rStyle w:val="ae"/>
          </w:rPr>
          <w:t xml:space="preserve">, 2019)</w:t>
        </w:r>
      </w:hyperlink>
      <w:r>
        <w:t xml:space="preserve">.</w:t>
      </w:r>
    </w:p>
  </w:footnote>
  <w:footnote w:id="35">
    <w:p>
      <w:pPr>
        <w:pStyle w:val="aa"/>
      </w:pPr>
      <w:r>
        <w:rPr>
          <w:rStyle w:val="ad"/>
        </w:rPr>
        <w:footnoteRef/>
      </w:r>
      <w:r>
        <w:t xml:space="preserve"> </w:t>
      </w:r>
      <w:hyperlink w:anchor="ref-Schubert2020">
        <w:r>
          <w:rPr>
            <w:rStyle w:val="ae"/>
          </w:rPr>
          <w:t xml:space="preserve">Ahlers Schubert,</w:t>
        </w:r>
        <w:r>
          <w:rPr>
            <w:rStyle w:val="ae"/>
          </w:rPr>
          <w:t xml:space="preserve"> </w:t>
        </w:r>
        <w:r>
          <w:rPr>
            <w:rStyle w:val="ae"/>
          </w:rPr>
          <w:t xml:space="preserve">“Local</w:t>
        </w:r>
        <w:r>
          <w:rPr>
            <w:rStyle w:val="ae"/>
          </w:rPr>
          <w:t xml:space="preserve"> </w:t>
        </w:r>
        <w:r>
          <w:rPr>
            <w:rStyle w:val="ae"/>
          </w:rPr>
          <w:t xml:space="preserve">Governance</w:t>
        </w:r>
        <w:r>
          <w:rPr>
            <w:rStyle w:val="ae"/>
          </w:rPr>
          <w:t xml:space="preserve"> </w:t>
        </w:r>
        <w:r>
          <w:rPr>
            <w:rStyle w:val="ae"/>
          </w:rPr>
          <w:t xml:space="preserve">in</w:t>
        </w:r>
        <w:r>
          <w:rPr>
            <w:rStyle w:val="ae"/>
          </w:rPr>
          <w:t xml:space="preserve"> </w:t>
        </w:r>
        <w:r>
          <w:rPr>
            <w:rStyle w:val="ae"/>
          </w:rPr>
          <w:t xml:space="preserve">China</w:t>
        </w:r>
        <w:r>
          <w:rPr>
            <w:rStyle w:val="ae"/>
          </w:rPr>
          <w:t xml:space="preserve"> </w:t>
        </w:r>
        <w:r>
          <w:rPr>
            <w:rStyle w:val="ae"/>
          </w:rPr>
          <w:t xml:space="preserve"> </w:t>
        </w:r>
        <w:r>
          <w:rPr>
            <w:rStyle w:val="ae"/>
          </w:rPr>
          <w:t xml:space="preserve">A Critical State</w:t>
        </w:r>
        <w:r>
          <w:rPr>
            <w:rStyle w:val="ae"/>
          </w:rPr>
          <w:t xml:space="preserve">-of-the</w:t>
        </w:r>
        <w:r>
          <w:rPr>
            <w:rStyle w:val="ae"/>
          </w:rPr>
          <w:t xml:space="preserve"> </w:t>
        </w:r>
        <w:r>
          <w:rPr>
            <w:rStyle w:val="ae"/>
          </w:rPr>
          <w:t xml:space="preserve">Art Review</w:t>
        </w:r>
        <w:r>
          <w:rPr>
            <w:rStyle w:val="ae"/>
          </w:rPr>
          <w:t xml:space="preserve">,”</w:t>
        </w:r>
        <w:r>
          <w:rPr>
            <w:rStyle w:val="ae"/>
          </w:rPr>
          <w:t xml:space="preserve"> (2020)</w:t>
        </w:r>
      </w:hyperlink>
      <w:r>
        <w:t xml:space="preserve">;</w:t>
      </w:r>
      <w:r>
        <w:t xml:space="preserve"> </w:t>
      </w:r>
      <w:hyperlink w:anchor="ref-YangYan2018">
        <w:r>
          <w:rPr>
            <w:rStyle w:val="ae"/>
          </w:rPr>
          <w:t xml:space="preserve">Xuedong Yang and Jian Yan,</w:t>
        </w:r>
        <w:r>
          <w:rPr>
            <w:rStyle w:val="ae"/>
          </w:rPr>
          <w:t xml:space="preserve"> </w:t>
        </w:r>
        <w:r>
          <w:rPr>
            <w:rStyle w:val="ae"/>
          </w:rPr>
          <w:t xml:space="preserve">“Top-level design, reform pressures, and local adaptations: An interpretation of the trajectory of reform since the 18th</w:t>
        </w:r>
        <w:r>
          <w:rPr>
            <w:rStyle w:val="ae"/>
          </w:rPr>
          <w:t xml:space="preserve"> </w:t>
        </w:r>
        <w:r>
          <w:rPr>
            <w:rStyle w:val="ae"/>
          </w:rPr>
          <w:t xml:space="preserve">CPC Party Congress</w:t>
        </w:r>
        <w:r>
          <w:rPr>
            <w:rStyle w:val="ae"/>
          </w:rPr>
          <w:t xml:space="preserve">,”</w:t>
        </w:r>
        <w:r>
          <w:rPr>
            <w:rStyle w:val="ae"/>
          </w:rPr>
          <w:t xml:space="preserve"> </w:t>
        </w:r>
        <w:r>
          <w:rPr>
            <w:rStyle w:val="ae"/>
            <w:iCs/>
            <w:i/>
          </w:rPr>
          <w:t xml:space="preserve">Journal of Chinese Governance</w:t>
        </w:r>
        <w:r>
          <w:rPr>
            <w:rStyle w:val="ae"/>
          </w:rPr>
          <w:t xml:space="preserve">, Vol. 3, No. 1 (2018), pp. 25–48</w:t>
        </w:r>
      </w:hyperlink>
      <w:r>
        <w:t xml:space="preserve">.</w:t>
      </w:r>
    </w:p>
  </w:footnote>
  <w:footnote w:id="37">
    <w:p>
      <w:pPr>
        <w:pStyle w:val="aa"/>
      </w:pPr>
      <w:r>
        <w:rPr>
          <w:rStyle w:val="ad"/>
        </w:rPr>
        <w:footnoteRef/>
      </w:r>
      <w:r>
        <w:t xml:space="preserve"> </w:t>
      </w:r>
      <w:hyperlink w:anchor="ref-YangXueDong2018">
        <w:r>
          <w:rPr>
            <w:rStyle w:val="ae"/>
          </w:rPr>
          <w:t xml:space="preserve">杨雪冬,</w:t>
        </w:r>
        <w:r>
          <w:rPr>
            <w:rStyle w:val="ae"/>
          </w:rPr>
          <w:t xml:space="preserve"> </w:t>
        </w:r>
        <w:r>
          <w:rPr>
            <w:rStyle w:val="ae"/>
            <w:iCs/>
            <w:i/>
          </w:rPr>
          <w:t xml:space="preserve">地方治理的逻辑</w:t>
        </w:r>
        <w:r>
          <w:rPr>
            <w:rStyle w:val="ae"/>
          </w:rPr>
          <w:t xml:space="preserve"> </w:t>
        </w:r>
        <w:r>
          <w:rPr>
            <w:rStyle w:val="ae"/>
          </w:rPr>
          <w:t xml:space="preserve">(</w:t>
        </w:r>
        <w:r>
          <w:rPr>
            <w:rStyle w:val="ae"/>
          </w:rPr>
          <w:t xml:space="preserve">北京</w:t>
        </w:r>
        <w:r>
          <w:rPr>
            <w:rStyle w:val="ae"/>
          </w:rPr>
          <w:t xml:space="preserve">:</w:t>
        </w:r>
        <w:r>
          <w:rPr>
            <w:rStyle w:val="ae"/>
          </w:rPr>
          <w:t xml:space="preserve"> </w:t>
        </w:r>
        <w:r>
          <w:rPr>
            <w:rStyle w:val="ae"/>
          </w:rPr>
          <w:t xml:space="preserve">社会科学文献出版社</w:t>
        </w:r>
        <w:r>
          <w:rPr>
            <w:rStyle w:val="ae"/>
          </w:rPr>
          <w:t xml:space="preserve">, 2018)</w:t>
        </w:r>
      </w:hyperlink>
      <w:r>
        <w:t xml:space="preserve">.</w:t>
      </w:r>
    </w:p>
  </w:footnote>
  <w:footnote w:id="38">
    <w:p>
      <w:pPr>
        <w:pStyle w:val="aa"/>
      </w:pPr>
      <w:r>
        <w:rPr>
          <w:rStyle w:val="ad"/>
        </w:rPr>
        <w:footnoteRef/>
      </w:r>
      <w:r>
        <w:t xml:space="preserve"> </w:t>
      </w:r>
      <w:hyperlink w:anchor="ref-RongJingBen1998">
        <w:r>
          <w:rPr>
            <w:rStyle w:val="ae"/>
            <w:iCs/>
            <w:i/>
          </w:rPr>
          <w:t xml:space="preserve">从压力型体制向民主合作体制的转变</w:t>
        </w:r>
      </w:hyperlink>
      <w:r>
        <w:t xml:space="preserve">.</w:t>
      </w:r>
    </w:p>
  </w:footnote>
  <w:footnote w:id="39">
    <w:p>
      <w:pPr>
        <w:pStyle w:val="aa"/>
      </w:pPr>
      <w:r>
        <w:rPr>
          <w:rStyle w:val="ad"/>
        </w:rPr>
        <w:footnoteRef/>
      </w:r>
      <w:r>
        <w:t xml:space="preserve"> </w:t>
      </w:r>
      <w:hyperlink w:anchor="ref-YangXueDong2012">
        <w:r>
          <w:rPr>
            <w:rStyle w:val="ae"/>
          </w:rPr>
          <w:t xml:space="preserve">杨雪冬,</w:t>
        </w:r>
        <w:r>
          <w:rPr>
            <w:rStyle w:val="ae"/>
          </w:rPr>
          <w:t xml:space="preserve"> </w:t>
        </w:r>
        <w:r>
          <w:rPr>
            <w:rStyle w:val="ae"/>
          </w:rPr>
          <w:t xml:space="preserve">“压力型体制: 一个概念的简明史,”</w:t>
        </w:r>
        <w:r>
          <w:rPr>
            <w:rStyle w:val="ae"/>
          </w:rPr>
          <w:t xml:space="preserve"> </w:t>
        </w:r>
        <w:r>
          <w:rPr>
            <w:rStyle w:val="ae"/>
            <w:iCs/>
            <w:i/>
          </w:rPr>
          <w:t xml:space="preserve">社会科学</w:t>
        </w:r>
        <w:r>
          <w:rPr>
            <w:rStyle w:val="ae"/>
          </w:rPr>
          <w:t xml:space="preserve">, Vol. 11, No. 4 (2012), p. 12</w:t>
        </w:r>
      </w:hyperlink>
      <w:r>
        <w:t xml:space="preserve">.</w:t>
      </w:r>
    </w:p>
  </w:footnote>
  <w:footnote w:id="40">
    <w:p>
      <w:pPr>
        <w:pStyle w:val="aa"/>
      </w:pPr>
      <w:r>
        <w:rPr>
          <w:rStyle w:val="ad"/>
        </w:rPr>
        <w:footnoteRef/>
      </w:r>
      <w:r>
        <w:t xml:space="preserve"> </w:t>
      </w:r>
      <w:hyperlink w:anchor="ref-YangYan2018">
        <w:r>
          <w:rPr>
            <w:rStyle w:val="ae"/>
          </w:rPr>
          <w:t xml:space="preserve">Yang and Yan,</w:t>
        </w:r>
        <w:r>
          <w:rPr>
            <w:rStyle w:val="ae"/>
          </w:rPr>
          <w:t xml:space="preserve"> </w:t>
        </w:r>
        <w:r>
          <w:rPr>
            <w:rStyle w:val="ae"/>
            <w:iCs/>
            <w:i/>
          </w:rPr>
          <w:t xml:space="preserve">Top-level design, reform pressures, and local adaptations</w:t>
        </w:r>
      </w:hyperlink>
      <w:r>
        <w:t xml:space="preserve">.</w:t>
      </w:r>
    </w:p>
  </w:footnote>
  <w:footnote w:id="41">
    <w:p>
      <w:pPr>
        <w:pStyle w:val="aa"/>
      </w:pPr>
      <w:r>
        <w:rPr>
          <w:rStyle w:val="ad"/>
        </w:rPr>
        <w:footnoteRef/>
      </w:r>
      <w:r>
        <w:t xml:space="preserve"> </w:t>
      </w:r>
      <w:hyperlink w:anchor="ref-Schubert2020">
        <w:r>
          <w:rPr>
            <w:rStyle w:val="ae"/>
          </w:rPr>
          <w:t xml:space="preserve">Schubert,</w:t>
        </w:r>
        <w:r>
          <w:rPr>
            <w:rStyle w:val="ae"/>
          </w:rPr>
          <w:t xml:space="preserve"> </w:t>
        </w:r>
        <w:r>
          <w:rPr>
            <w:rStyle w:val="ae"/>
            <w:iCs/>
            <w:i/>
          </w:rPr>
          <w:t xml:space="preserve">Local</w:t>
        </w:r>
        <w:r>
          <w:rPr>
            <w:rStyle w:val="ae"/>
            <w:iCs/>
            <w:i/>
          </w:rPr>
          <w:t xml:space="preserve"> </w:t>
        </w:r>
        <w:r>
          <w:rPr>
            <w:rStyle w:val="ae"/>
            <w:iCs/>
            <w:i/>
          </w:rPr>
          <w:t xml:space="preserve">Governance</w:t>
        </w:r>
        <w:r>
          <w:rPr>
            <w:rStyle w:val="ae"/>
            <w:iCs/>
            <w:i/>
          </w:rPr>
          <w:t xml:space="preserve"> </w:t>
        </w:r>
        <w:r>
          <w:rPr>
            <w:rStyle w:val="ae"/>
            <w:iCs/>
            <w:i/>
          </w:rPr>
          <w:t xml:space="preserve">in</w:t>
        </w:r>
        <w:r>
          <w:rPr>
            <w:rStyle w:val="ae"/>
            <w:iCs/>
            <w:i/>
          </w:rPr>
          <w:t xml:space="preserve"> </w:t>
        </w:r>
        <w:r>
          <w:rPr>
            <w:rStyle w:val="ae"/>
            <w:iCs/>
            <w:i/>
          </w:rPr>
          <w:t xml:space="preserve">China</w:t>
        </w:r>
        <w:r>
          <w:rPr>
            <w:rStyle w:val="ae"/>
            <w:iCs/>
            <w:i/>
          </w:rPr>
          <w:t xml:space="preserve"> </w:t>
        </w:r>
        <w:r>
          <w:rPr>
            <w:rStyle w:val="ae"/>
            <w:iCs/>
            <w:i/>
          </w:rPr>
          <w:t xml:space="preserve"> </w:t>
        </w:r>
        <w:r>
          <w:rPr>
            <w:rStyle w:val="ae"/>
            <w:iCs/>
            <w:i/>
          </w:rPr>
          <w:t xml:space="preserve">A Critical State</w:t>
        </w:r>
        <w:r>
          <w:rPr>
            <w:rStyle w:val="ae"/>
            <w:iCs/>
            <w:i/>
          </w:rPr>
          <w:t xml:space="preserve">-of-the</w:t>
        </w:r>
        <w:r>
          <w:rPr>
            <w:rStyle w:val="ae"/>
            <w:iCs/>
            <w:i/>
          </w:rPr>
          <w:t xml:space="preserve"> </w:t>
        </w:r>
        <w:r>
          <w:rPr>
            <w:rStyle w:val="ae"/>
            <w:iCs/>
            <w:i/>
          </w:rPr>
          <w:t xml:space="preserve">Art Review</w:t>
        </w:r>
      </w:hyperlink>
      <w:r>
        <w:t xml:space="preserve">.</w:t>
      </w:r>
    </w:p>
  </w:footnote>
  <w:footnote w:id="43">
    <w:p>
      <w:pPr>
        <w:pStyle w:val="aa"/>
      </w:pPr>
      <w:r>
        <w:rPr>
          <w:rStyle w:val="ad"/>
        </w:rPr>
        <w:footnoteRef/>
      </w:r>
      <w:r>
        <w:t xml:space="preserve"> </w:t>
      </w:r>
      <w:hyperlink w:anchor="ref-YangXueDong2018">
        <w:r>
          <w:rPr>
            <w:rStyle w:val="ae"/>
          </w:rPr>
          <w:t xml:space="preserve">杨雪冬,</w:t>
        </w:r>
        <w:r>
          <w:rPr>
            <w:rStyle w:val="ae"/>
          </w:rPr>
          <w:t xml:space="preserve"> </w:t>
        </w:r>
        <w:r>
          <w:rPr>
            <w:rStyle w:val="ae"/>
            <w:iCs/>
            <w:i/>
          </w:rPr>
          <w:t xml:space="preserve">地方治理的逻辑</w:t>
        </w:r>
      </w:hyperlink>
      <w:r>
        <w:t xml:space="preserve">.</w:t>
      </w:r>
    </w:p>
  </w:footnote>
  <w:footnote w:id="44">
    <w:p>
      <w:pPr>
        <w:pStyle w:val="aa"/>
      </w:pPr>
      <w:r>
        <w:rPr>
          <w:rStyle w:val="ad"/>
        </w:rPr>
        <w:footnoteRef/>
      </w:r>
      <w:r>
        <w:t xml:space="preserve"> </w:t>
      </w:r>
      <w:hyperlink w:anchor="ref-ZhangWenCui2021">
        <w:r>
          <w:rPr>
            <w:rStyle w:val="ae"/>
          </w:rPr>
          <w:t xml:space="preserve">张文翠,</w:t>
        </w:r>
        <w:r>
          <w:rPr>
            <w:rStyle w:val="ae"/>
          </w:rPr>
          <w:t xml:space="preserve"> </w:t>
        </w:r>
        <w:r>
          <w:rPr>
            <w:rStyle w:val="ae"/>
          </w:rPr>
          <w:t xml:space="preserve">“基层政府政绩目标设置博弈与压力型体制异化</w:t>
        </w:r>
        <w:r>
          <w:rPr>
            <w:rStyle w:val="ae"/>
          </w:rPr>
          <w:t xml:space="preserve">基于北方七个地市的实地调研,”</w:t>
        </w:r>
        <w:r>
          <w:rPr>
            <w:rStyle w:val="ae"/>
          </w:rPr>
          <w:t xml:space="preserve"> </w:t>
        </w:r>
        <w:r>
          <w:rPr>
            <w:rStyle w:val="ae"/>
            <w:iCs/>
            <w:i/>
          </w:rPr>
          <w:t xml:space="preserve">公共管理学报</w:t>
        </w:r>
        <w:r>
          <w:rPr>
            <w:rStyle w:val="ae"/>
          </w:rPr>
          <w:t xml:space="preserve">, (2021), pp. 1–2</w:t>
        </w:r>
      </w:hyperlink>
      <w:r>
        <w:t xml:space="preserve">.</w:t>
      </w:r>
    </w:p>
  </w:footnote>
  <w:footnote w:id="45">
    <w:p>
      <w:pPr>
        <w:pStyle w:val="aa"/>
      </w:pPr>
      <w:r>
        <w:rPr>
          <w:rStyle w:val="ad"/>
        </w:rPr>
        <w:footnoteRef/>
      </w:r>
      <w:r>
        <w:t xml:space="preserve"> </w:t>
      </w:r>
      <w:hyperlink w:anchor="ref-ZhuGuangNanEtAl2012">
        <w:r>
          <w:rPr>
            <w:rStyle w:val="ae"/>
          </w:rPr>
          <w:t xml:space="preserve">朱光楠, 李敏, and 严敏,</w:t>
        </w:r>
        <w:r>
          <w:rPr>
            <w:rStyle w:val="ae"/>
          </w:rPr>
          <w:t xml:space="preserve"> </w:t>
        </w:r>
        <w:r>
          <w:rPr>
            <w:rStyle w:val="ae"/>
          </w:rPr>
          <w:t xml:space="preserve">“公务员公共服务动机对工作投入的影响研究,”</w:t>
        </w:r>
        <w:r>
          <w:rPr>
            <w:rStyle w:val="ae"/>
          </w:rPr>
          <w:t xml:space="preserve"> </w:t>
        </w:r>
        <w:r>
          <w:rPr>
            <w:rStyle w:val="ae"/>
            <w:iCs/>
            <w:i/>
          </w:rPr>
          <w:t xml:space="preserve">公共行政评论</w:t>
        </w:r>
        <w:r>
          <w:rPr>
            <w:rStyle w:val="ae"/>
          </w:rPr>
          <w:t xml:space="preserve">, (2012)</w:t>
        </w:r>
      </w:hyperlink>
      <w:r>
        <w:t xml:space="preserve">.</w:t>
      </w:r>
    </w:p>
  </w:footnote>
  <w:footnote w:id="46">
    <w:p>
      <w:pPr>
        <w:pStyle w:val="aa"/>
      </w:pPr>
      <w:r>
        <w:rPr>
          <w:rStyle w:val="ad"/>
        </w:rPr>
        <w:footnoteRef/>
      </w:r>
      <w:r>
        <w:t xml:space="preserve"> </w:t>
      </w:r>
      <w:hyperlink w:anchor="ref-ZhouXueGuang2009">
        <w:r>
          <w:rPr>
            <w:rStyle w:val="ae"/>
          </w:rPr>
          <w:t xml:space="preserve">周雪光,</w:t>
        </w:r>
        <w:r>
          <w:rPr>
            <w:rStyle w:val="ae"/>
          </w:rPr>
          <w:t xml:space="preserve"> </w:t>
        </w:r>
        <w:r>
          <w:rPr>
            <w:rStyle w:val="ae"/>
          </w:rPr>
          <w:t xml:space="preserve">“基层政府间的</w:t>
        </w:r>
        <w:r>
          <w:rPr>
            <w:rStyle w:val="ae"/>
          </w:rPr>
          <w:t xml:space="preserve"> </w:t>
        </w:r>
        <w:r>
          <w:rPr>
            <w:rStyle w:val="ae"/>
          </w:rPr>
          <w:t xml:space="preserve">‘共谋现象’</w:t>
        </w:r>
        <w:r>
          <w:rPr>
            <w:rStyle w:val="ae"/>
          </w:rPr>
          <w:t xml:space="preserve">一个政府行为的制度逻辑,”</w:t>
        </w:r>
        <w:r>
          <w:rPr>
            <w:rStyle w:val="ae"/>
          </w:rPr>
          <w:t xml:space="preserve"> </w:t>
        </w:r>
        <w:r>
          <w:rPr>
            <w:rStyle w:val="ae"/>
            <w:iCs/>
            <w:i/>
          </w:rPr>
          <w:t xml:space="preserve">开放时代</w:t>
        </w:r>
        <w:r>
          <w:rPr>
            <w:rStyle w:val="ae"/>
          </w:rPr>
          <w:t xml:space="preserve">, Vol. 12 (2009), pp. 40–55</w:t>
        </w:r>
      </w:hyperlink>
      <w:r>
        <w:t xml:space="preserve">.</w:t>
      </w:r>
    </w:p>
  </w:footnote>
  <w:footnote w:id="47">
    <w:p>
      <w:pPr>
        <w:pStyle w:val="aa"/>
      </w:pPr>
      <w:r>
        <w:rPr>
          <w:rStyle w:val="ad"/>
        </w:rPr>
        <w:footnoteRef/>
      </w:r>
      <w:r>
        <w:t xml:space="preserve"> </w:t>
      </w:r>
      <w:hyperlink w:anchor="ref-ZhouXueGuangLianHong2012">
        <w:r>
          <w:rPr>
            <w:rStyle w:val="ae"/>
          </w:rPr>
          <w:t xml:space="preserve">周雪光 and 练宏,</w:t>
        </w:r>
        <w:r>
          <w:rPr>
            <w:rStyle w:val="ae"/>
          </w:rPr>
          <w:t xml:space="preserve"> </w:t>
        </w:r>
        <w:r>
          <w:rPr>
            <w:rStyle w:val="ae"/>
          </w:rPr>
          <w:t xml:space="preserve">“中国政府的治理模式: 一个</w:t>
        </w:r>
        <w:r>
          <w:rPr>
            <w:rStyle w:val="ae"/>
          </w:rPr>
          <w:t xml:space="preserve"> </w:t>
        </w:r>
        <w:r>
          <w:rPr>
            <w:rStyle w:val="ae"/>
          </w:rPr>
          <w:t xml:space="preserve">‘控制权’</w:t>
        </w:r>
        <w:r>
          <w:rPr>
            <w:rStyle w:val="ae"/>
          </w:rPr>
          <w:t xml:space="preserve"> </w:t>
        </w:r>
        <w:r>
          <w:rPr>
            <w:rStyle w:val="ae"/>
          </w:rPr>
          <w:t xml:space="preserve">理论,”</w:t>
        </w:r>
        <w:r>
          <w:rPr>
            <w:rStyle w:val="ae"/>
          </w:rPr>
          <w:t xml:space="preserve"> </w:t>
        </w:r>
        <w:r>
          <w:rPr>
            <w:rStyle w:val="ae"/>
            <w:iCs/>
            <w:i/>
          </w:rPr>
          <w:t xml:space="preserve">社会学研究</w:t>
        </w:r>
        <w:r>
          <w:rPr>
            <w:rStyle w:val="ae"/>
          </w:rPr>
          <w:t xml:space="preserve">, Vol. 5, No. 69 (2012), p. r93</w:t>
        </w:r>
      </w:hyperlink>
      <w:r>
        <w:t xml:space="preserve">.</w:t>
      </w:r>
    </w:p>
  </w:footnote>
  <w:footnote w:id="48">
    <w:p>
      <w:pPr>
        <w:pStyle w:val="aa"/>
      </w:pPr>
      <w:r>
        <w:rPr>
          <w:rStyle w:val="ad"/>
        </w:rPr>
        <w:footnoteRef/>
      </w:r>
      <w:r>
        <w:t xml:space="preserve"> </w:t>
      </w:r>
      <w:hyperlink w:anchor="ref-TsuiWang2004">
        <w:r>
          <w:rPr>
            <w:rStyle w:val="ae"/>
          </w:rPr>
          <w:t xml:space="preserve">Kai-yuen Tsui and Youqiang Wang,</w:t>
        </w:r>
        <w:r>
          <w:rPr>
            <w:rStyle w:val="ae"/>
          </w:rPr>
          <w:t xml:space="preserve"> </w:t>
        </w:r>
        <w:r>
          <w:rPr>
            <w:rStyle w:val="ae"/>
          </w:rPr>
          <w:t xml:space="preserve">“Between separate stoves and a single menu: Fiscal decentralization in</w:t>
        </w:r>
        <w:r>
          <w:rPr>
            <w:rStyle w:val="ae"/>
          </w:rPr>
          <w:t xml:space="preserve"> </w:t>
        </w:r>
        <w:r>
          <w:rPr>
            <w:rStyle w:val="ae"/>
          </w:rPr>
          <w:t xml:space="preserve">China</w:t>
        </w:r>
        <w:r>
          <w:rPr>
            <w:rStyle w:val="ae"/>
          </w:rPr>
          <w:t xml:space="preserve">,”</w:t>
        </w:r>
        <w:r>
          <w:rPr>
            <w:rStyle w:val="ae"/>
          </w:rPr>
          <w:t xml:space="preserve"> </w:t>
        </w:r>
        <w:r>
          <w:rPr>
            <w:rStyle w:val="ae"/>
            <w:iCs/>
            <w:i/>
          </w:rPr>
          <w:t xml:space="preserve">The China Quarterly</w:t>
        </w:r>
        <w:r>
          <w:rPr>
            <w:rStyle w:val="ae"/>
          </w:rPr>
          <w:t xml:space="preserve">, (2004), pp. 71–90</w:t>
        </w:r>
      </w:hyperlink>
      <w:r>
        <w:t xml:space="preserve">.</w:t>
      </w:r>
    </w:p>
  </w:footnote>
  <w:footnote w:id="49">
    <w:p>
      <w:pPr>
        <w:pStyle w:val="aa"/>
      </w:pPr>
      <w:r>
        <w:rPr>
          <w:rStyle w:val="ad"/>
        </w:rPr>
        <w:footnoteRef/>
      </w:r>
      <w:r>
        <w:t xml:space="preserve"> </w:t>
      </w:r>
      <w:hyperlink w:anchor="ref-LiZhen2014">
        <w:r>
          <w:rPr>
            <w:rStyle w:val="ae"/>
          </w:rPr>
          <w:t xml:space="preserve">李振,</w:t>
        </w:r>
        <w:r>
          <w:rPr>
            <w:rStyle w:val="ae"/>
          </w:rPr>
          <w:t xml:space="preserve"> </w:t>
        </w:r>
        <w:r>
          <w:rPr>
            <w:rStyle w:val="ae"/>
          </w:rPr>
          <w:t xml:space="preserve">“推动政策的执行: 中国政治运作中的工作组模式研究,”</w:t>
        </w:r>
        <w:r>
          <w:rPr>
            <w:rStyle w:val="ae"/>
          </w:rPr>
          <w:t xml:space="preserve"> </w:t>
        </w:r>
        <w:r>
          <w:rPr>
            <w:rStyle w:val="ae"/>
            <w:iCs/>
            <w:i/>
          </w:rPr>
          <w:t xml:space="preserve">政治学研究</w:t>
        </w:r>
        <w:r>
          <w:rPr>
            <w:rStyle w:val="ae"/>
          </w:rPr>
          <w:t xml:space="preserve">, Vol. 2 (2014)</w:t>
        </w:r>
      </w:hyperlink>
      <w:r>
        <w:t xml:space="preserve">.</w:t>
      </w:r>
    </w:p>
  </w:footnote>
  <w:footnote w:id="50">
    <w:p>
      <w:pPr>
        <w:pStyle w:val="aa"/>
      </w:pPr>
      <w:r>
        <w:rPr>
          <w:rStyle w:val="ad"/>
        </w:rPr>
        <w:footnoteRef/>
      </w:r>
      <w:r>
        <w:t xml:space="preserve"> </w:t>
      </w:r>
      <w:hyperlink w:anchor="ref-ChenJiaJian2015">
        <w:r>
          <w:rPr>
            <w:rStyle w:val="ae"/>
          </w:rPr>
          <w:t xml:space="preserve">陈家建,</w:t>
        </w:r>
        <w:r>
          <w:rPr>
            <w:rStyle w:val="ae"/>
          </w:rPr>
          <w:t xml:space="preserve"> </w:t>
        </w:r>
        <w:r>
          <w:rPr>
            <w:rStyle w:val="ae"/>
          </w:rPr>
          <w:t xml:space="preserve">“督查机制: 科层运动化的实践渠道,”</w:t>
        </w:r>
        <w:r>
          <w:rPr>
            <w:rStyle w:val="ae"/>
          </w:rPr>
          <w:t xml:space="preserve"> </w:t>
        </w:r>
        <w:r>
          <w:rPr>
            <w:rStyle w:val="ae"/>
            <w:iCs/>
            <w:i/>
          </w:rPr>
          <w:t xml:space="preserve">公共行政评论</w:t>
        </w:r>
        <w:r>
          <w:rPr>
            <w:rStyle w:val="ae"/>
          </w:rPr>
          <w:t xml:space="preserve">, Vol. 2, No. 5 (2015), p. 21</w:t>
        </w:r>
      </w:hyperlink>
      <w:r>
        <w:t xml:space="preserve">.</w:t>
      </w:r>
    </w:p>
  </w:footnote>
  <w:footnote w:id="51">
    <w:p>
      <w:pPr>
        <w:pStyle w:val="aa"/>
      </w:pPr>
      <w:r>
        <w:rPr>
          <w:rStyle w:val="ad"/>
        </w:rPr>
        <w:footnoteRef/>
      </w:r>
      <w:r>
        <w:t xml:space="preserve"> </w:t>
      </w:r>
      <w:hyperlink w:anchor="ref-ZhouXueGuangLianHong2012">
        <w:r>
          <w:rPr>
            <w:rStyle w:val="ae"/>
          </w:rPr>
          <w:t xml:space="preserve">周雪光 and 练宏,</w:t>
        </w:r>
        <w:r>
          <w:rPr>
            <w:rStyle w:val="ae"/>
          </w:rPr>
          <w:t xml:space="preserve"> </w:t>
        </w:r>
        <w:r>
          <w:rPr>
            <w:rStyle w:val="ae"/>
            <w:iCs/>
            <w:i/>
          </w:rPr>
          <w:t xml:space="preserve">中国政府的治理模式</w:t>
        </w:r>
      </w:hyperlink>
      <w:r>
        <w:t xml:space="preserve">.</w:t>
      </w:r>
    </w:p>
  </w:footnote>
  <w:footnote w:id="52">
    <w:p>
      <w:pPr>
        <w:pStyle w:val="aa"/>
      </w:pPr>
      <w:r>
        <w:rPr>
          <w:rStyle w:val="ad"/>
        </w:rPr>
        <w:footnoteRef/>
      </w:r>
      <w:r>
        <w:t xml:space="preserve"> </w:t>
      </w:r>
      <w:hyperlink w:anchor="ref-ZhouLiAn2014a">
        <w:r>
          <w:rPr>
            <w:rStyle w:val="ae"/>
          </w:rPr>
          <w:t xml:space="preserve">周黎安,</w:t>
        </w:r>
        <w:r>
          <w:rPr>
            <w:rStyle w:val="ae"/>
          </w:rPr>
          <w:t xml:space="preserve"> </w:t>
        </w:r>
        <w:r>
          <w:rPr>
            <w:rStyle w:val="ae"/>
          </w:rPr>
          <w:t xml:space="preserve">“行政发包制,”</w:t>
        </w:r>
        <w:r>
          <w:rPr>
            <w:rStyle w:val="ae"/>
          </w:rPr>
          <w:t xml:space="preserve"> </w:t>
        </w:r>
        <w:r>
          <w:rPr>
            <w:rStyle w:val="ae"/>
            <w:iCs/>
            <w:i/>
          </w:rPr>
          <w:t xml:space="preserve">社会</w:t>
        </w:r>
        <w:r>
          <w:rPr>
            <w:rStyle w:val="ae"/>
          </w:rPr>
          <w:t xml:space="preserve">, Vol. 34, No. 6 (2014), pp. 1–38</w:t>
        </w:r>
      </w:hyperlink>
      <w:r>
        <w:t xml:space="preserve">.</w:t>
      </w:r>
    </w:p>
  </w:footnote>
  <w:footnote w:id="53">
    <w:p>
      <w:pPr>
        <w:pStyle w:val="aa"/>
      </w:pPr>
      <w:r>
        <w:rPr>
          <w:rStyle w:val="ad"/>
        </w:rPr>
        <w:footnoteRef/>
      </w:r>
      <w:r>
        <w:t xml:space="preserve"> </w:t>
      </w:r>
      <w:hyperlink w:anchor="ref-ZhouFeiZhou2009">
        <w:r>
          <w:rPr>
            <w:rStyle w:val="ae"/>
          </w:rPr>
          <w:t xml:space="preserve">周飞舟,</w:t>
        </w:r>
        <w:r>
          <w:rPr>
            <w:rStyle w:val="ae"/>
          </w:rPr>
          <w:t xml:space="preserve"> </w:t>
        </w:r>
        <w:r>
          <w:rPr>
            <w:rStyle w:val="ae"/>
          </w:rPr>
          <w:t xml:space="preserve">“锦标赛体制,”</w:t>
        </w:r>
        <w:r>
          <w:rPr>
            <w:rStyle w:val="ae"/>
          </w:rPr>
          <w:t xml:space="preserve"> </w:t>
        </w:r>
        <w:r>
          <w:rPr>
            <w:rStyle w:val="ae"/>
            <w:iCs/>
            <w:i/>
          </w:rPr>
          <w:t xml:space="preserve">社会学研究</w:t>
        </w:r>
        <w:r>
          <w:rPr>
            <w:rStyle w:val="ae"/>
          </w:rPr>
          <w:t xml:space="preserve">, Vol. 3, No. 5 (2009), pp. 4–77</w:t>
        </w:r>
      </w:hyperlink>
      <w:r>
        <w:t xml:space="preserve">.</w:t>
      </w:r>
    </w:p>
  </w:footnote>
  <w:footnote w:id="55">
    <w:p>
      <w:pPr>
        <w:pStyle w:val="aa"/>
      </w:pPr>
      <w:r>
        <w:rPr>
          <w:rStyle w:val="ad"/>
        </w:rPr>
        <w:footnoteRef/>
      </w:r>
      <w:r>
        <w:t xml:space="preserve"> </w:t>
      </w:r>
      <w:hyperlink w:anchor="ref-YangYan2018">
        <w:r>
          <w:rPr>
            <w:rStyle w:val="ae"/>
            <w:iCs/>
            <w:i/>
          </w:rPr>
          <w:t xml:space="preserve">Top-level design, reform pressures, and local adaptations</w:t>
        </w:r>
      </w:hyperlink>
      <w:r>
        <w:t xml:space="preserve">.</w:t>
      </w:r>
    </w:p>
  </w:footnote>
  <w:footnote w:id="56">
    <w:p>
      <w:pPr>
        <w:pStyle w:val="aa"/>
      </w:pPr>
      <w:r>
        <w:rPr>
          <w:rStyle w:val="ad"/>
        </w:rPr>
        <w:footnoteRef/>
      </w:r>
      <w:r>
        <w:t xml:space="preserve"> </w:t>
      </w:r>
      <w:hyperlink w:anchor="ref-FengShiZheng2014">
        <w:r>
          <w:rPr>
            <w:rStyle w:val="ae"/>
          </w:rPr>
          <w:t xml:space="preserve">冯仕政,</w:t>
        </w:r>
        <w:r>
          <w:rPr>
            <w:rStyle w:val="ae"/>
          </w:rPr>
          <w:t xml:space="preserve"> </w:t>
        </w:r>
        <w:r>
          <w:rPr>
            <w:rStyle w:val="ae"/>
            <w:iCs/>
            <w:i/>
          </w:rPr>
          <w:t xml:space="preserve">政治市场想象与中国国家治理分析</w:t>
        </w:r>
        <w:r>
          <w:rPr>
            <w:rStyle w:val="ae"/>
            <w:iCs/>
            <w:i/>
          </w:rPr>
          <w:t xml:space="preserve">兼评周黎安的行政发包制理论</w:t>
        </w:r>
      </w:hyperlink>
      <w:r>
        <w:t xml:space="preserve">.</w:t>
      </w:r>
    </w:p>
  </w:footnote>
  <w:footnote w:id="57">
    <w:p>
      <w:pPr>
        <w:pStyle w:val="aa"/>
      </w:pPr>
      <w:r>
        <w:rPr>
          <w:rStyle w:val="ad"/>
        </w:rPr>
        <w:footnoteRef/>
      </w:r>
      <w:r>
        <w:t xml:space="preserve"> </w:t>
      </w:r>
      <w:hyperlink w:anchor="ref-LiZhenEtAl2020">
        <w:r>
          <w:rPr>
            <w:rStyle w:val="ae"/>
          </w:rPr>
          <w:t xml:space="preserve">李振 et al.,</w:t>
        </w:r>
        <w:r>
          <w:rPr>
            <w:rStyle w:val="ae"/>
          </w:rPr>
          <w:t xml:space="preserve"> </w:t>
        </w:r>
        <w:r>
          <w:rPr>
            <w:rStyle w:val="ae"/>
            <w:iCs/>
            <w:i/>
          </w:rPr>
          <w:t xml:space="preserve">“条块并举”</w:t>
        </w:r>
        <w:r>
          <w:rPr>
            <w:rStyle w:val="ae"/>
            <w:iCs/>
            <w:i/>
          </w:rPr>
          <w:t xml:space="preserve">发包制下的基层治理</w:t>
        </w:r>
      </w:hyperlink>
      <w:r>
        <w:t xml:space="preserve">;</w:t>
      </w:r>
      <w:r>
        <w:t xml:space="preserve"> </w:t>
      </w:r>
      <w:hyperlink w:anchor="ref-HuangXiaoChun2017">
        <w:r>
          <w:rPr>
            <w:rStyle w:val="ae"/>
          </w:rPr>
          <w:t xml:space="preserve">黄晓春,</w:t>
        </w:r>
        <w:r>
          <w:rPr>
            <w:rStyle w:val="ae"/>
          </w:rPr>
          <w:t xml:space="preserve"> </w:t>
        </w:r>
        <w:r>
          <w:rPr>
            <w:rStyle w:val="ae"/>
          </w:rPr>
          <w:t xml:space="preserve">“当前城市基层政府改革的深层挑战</w:t>
        </w:r>
        <w:r>
          <w:rPr>
            <w:rStyle w:val="ae"/>
          </w:rPr>
          <w:t xml:space="preserve">基于机制分析的视角,”</w:t>
        </w:r>
        <w:r>
          <w:rPr>
            <w:rStyle w:val="ae"/>
          </w:rPr>
          <w:t xml:space="preserve"> </w:t>
        </w:r>
        <w:r>
          <w:rPr>
            <w:rStyle w:val="ae"/>
            <w:iCs/>
            <w:i/>
          </w:rPr>
          <w:t xml:space="preserve">江苏行政学院学报</w:t>
        </w:r>
        <w:r>
          <w:rPr>
            <w:rStyle w:val="ae"/>
          </w:rPr>
          <w:t xml:space="preserve">, Vol. 3 (2017)</w:t>
        </w:r>
      </w:hyperlink>
      <w:r>
        <w:t xml:space="preserve">.</w:t>
      </w:r>
    </w:p>
  </w:footnote>
  <w:footnote w:id="58">
    <w:p>
      <w:pPr>
        <w:pStyle w:val="aa"/>
      </w:pPr>
      <w:r>
        <w:rPr>
          <w:rStyle w:val="ad"/>
        </w:rPr>
        <w:footnoteRef/>
      </w:r>
      <w:r>
        <w:t xml:space="preserve"> </w:t>
      </w:r>
      <w:hyperlink w:anchor="ref-PengBoZhaoJi2019">
        <w:r>
          <w:rPr>
            <w:rStyle w:val="ae"/>
          </w:rPr>
          <w:t xml:space="preserve">彭勃 and 赵吉,</w:t>
        </w:r>
        <w:r>
          <w:rPr>
            <w:rStyle w:val="ae"/>
          </w:rPr>
          <w:t xml:space="preserve"> </w:t>
        </w:r>
        <w:r>
          <w:rPr>
            <w:rStyle w:val="ae"/>
          </w:rPr>
          <w:t xml:space="preserve">“从增长锦标赛到治理竞赛: 我国城市治理方式的转换及其问题,”</w:t>
        </w:r>
        <w:r>
          <w:rPr>
            <w:rStyle w:val="ae"/>
          </w:rPr>
          <w:t xml:space="preserve"> </w:t>
        </w:r>
        <w:r>
          <w:rPr>
            <w:rStyle w:val="ae"/>
            <w:iCs/>
            <w:i/>
          </w:rPr>
          <w:t xml:space="preserve">内蒙古社会科学 (汉文版)</w:t>
        </w:r>
        <w:r>
          <w:rPr>
            <w:rStyle w:val="ae"/>
          </w:rPr>
          <w:t xml:space="preserve">, Vol. 1 (2019), pp. 63–7</w:t>
        </w:r>
      </w:hyperlink>
      <w:r>
        <w:t xml:space="preserve">.</w:t>
      </w:r>
    </w:p>
  </w:footnote>
  <w:footnote w:id="59">
    <w:p>
      <w:pPr>
        <w:pStyle w:val="aa"/>
      </w:pPr>
      <w:r>
        <w:rPr>
          <w:rStyle w:val="ad"/>
        </w:rPr>
        <w:footnoteRef/>
      </w:r>
      <w:r>
        <w:t xml:space="preserve"> </w:t>
      </w:r>
      <w:hyperlink w:anchor="ref-MengTianGuangLiFeng2015">
        <w:r>
          <w:rPr>
            <w:rStyle w:val="ae"/>
          </w:rPr>
          <w:t xml:space="preserve">孟天广 and 李锋,</w:t>
        </w:r>
        <w:r>
          <w:rPr>
            <w:rStyle w:val="ae"/>
          </w:rPr>
          <w:t xml:space="preserve"> </w:t>
        </w:r>
        <w:r>
          <w:rPr>
            <w:rStyle w:val="ae"/>
          </w:rPr>
          <w:t xml:space="preserve">“网络空间的政治互动: 公民诉求与政府回应性</w:t>
        </w:r>
        <w:r>
          <w:rPr>
            <w:rStyle w:val="ae"/>
          </w:rPr>
          <w:t xml:space="preserve">基于全国性网络问政平台的大数据分析,”</w:t>
        </w:r>
        <w:r>
          <w:rPr>
            <w:rStyle w:val="ae"/>
          </w:rPr>
          <w:t xml:space="preserve"> </w:t>
        </w:r>
        <w:r>
          <w:rPr>
            <w:rStyle w:val="ae"/>
            <w:iCs/>
            <w:i/>
          </w:rPr>
          <w:t xml:space="preserve">清华大学学报 (哲学社会科学版)</w:t>
        </w:r>
        <w:r>
          <w:rPr>
            <w:rStyle w:val="ae"/>
          </w:rPr>
          <w:t xml:space="preserve">, Vol. 30, No. 3 (2015), pp. 17–29</w:t>
        </w:r>
      </w:hyperlink>
      <w:r>
        <w:t xml:space="preserve">.</w:t>
      </w:r>
    </w:p>
  </w:footnote>
  <w:footnote w:id="60">
    <w:p>
      <w:pPr>
        <w:pStyle w:val="aa"/>
      </w:pPr>
      <w:r>
        <w:rPr>
          <w:rStyle w:val="ad"/>
        </w:rPr>
        <w:footnoteRef/>
      </w:r>
      <w:r>
        <w:t xml:space="preserve"> </w:t>
      </w:r>
      <w:hyperlink w:anchor="ref-LiZhenEtAl2020">
        <w:r>
          <w:rPr>
            <w:rStyle w:val="ae"/>
          </w:rPr>
          <w:t xml:space="preserve">李振 et al.,</w:t>
        </w:r>
        <w:r>
          <w:rPr>
            <w:rStyle w:val="ae"/>
          </w:rPr>
          <w:t xml:space="preserve"> </w:t>
        </w:r>
        <w:r>
          <w:rPr>
            <w:rStyle w:val="ae"/>
            <w:iCs/>
            <w:i/>
          </w:rPr>
          <w:t xml:space="preserve">“条块并举”</w:t>
        </w:r>
        <w:r>
          <w:rPr>
            <w:rStyle w:val="ae"/>
            <w:iCs/>
            <w:i/>
          </w:rPr>
          <w:t xml:space="preserve">发包制下的基层治理</w:t>
        </w:r>
      </w:hyperlink>
      <w:r>
        <w:t xml:space="preserve">.</w:t>
      </w:r>
    </w:p>
  </w:footnote>
  <w:footnote w:id="61">
    <w:p>
      <w:pPr>
        <w:pStyle w:val="aa"/>
      </w:pPr>
      <w:r>
        <w:rPr>
          <w:rStyle w:val="ad"/>
        </w:rPr>
        <w:footnoteRef/>
      </w:r>
      <w:r>
        <w:t xml:space="preserve"> </w:t>
      </w:r>
      <w:hyperlink w:anchor="ref-WangYuLei2016">
        <w:r>
          <w:rPr>
            <w:rStyle w:val="ae"/>
          </w:rPr>
          <w:t xml:space="preserve">王雨磊,</w:t>
        </w:r>
        <w:r>
          <w:rPr>
            <w:rStyle w:val="ae"/>
          </w:rPr>
          <w:t xml:space="preserve"> </w:t>
        </w:r>
        <w:r>
          <w:rPr>
            <w:rStyle w:val="ae"/>
          </w:rPr>
          <w:t xml:space="preserve">“数字下乡:农村精准扶贫中的技术治理,”</w:t>
        </w:r>
        <w:r>
          <w:rPr>
            <w:rStyle w:val="ae"/>
          </w:rPr>
          <w:t xml:space="preserve"> </w:t>
        </w:r>
        <w:r>
          <w:rPr>
            <w:rStyle w:val="ae"/>
            <w:iCs/>
            <w:i/>
          </w:rPr>
          <w:t xml:space="preserve">社会学研究</w:t>
        </w:r>
        <w:r>
          <w:rPr>
            <w:rStyle w:val="ae"/>
          </w:rPr>
          <w:t xml:space="preserve">, Vol. 31, No. 06 (2016), pp. 119–142+244</w:t>
        </w:r>
      </w:hyperlink>
      <w:r>
        <w:t xml:space="preserve">.</w:t>
      </w:r>
    </w:p>
  </w:footnote>
  <w:footnote w:id="62">
    <w:p>
      <w:pPr>
        <w:pStyle w:val="aa"/>
      </w:pPr>
      <w:r>
        <w:rPr>
          <w:rStyle w:val="ad"/>
        </w:rPr>
        <w:footnoteRef/>
      </w:r>
      <w:r>
        <w:t xml:space="preserve"> </w:t>
      </w:r>
      <w:hyperlink w:anchor="ref-YangYan2018">
        <w:r>
          <w:rPr>
            <w:rStyle w:val="ae"/>
          </w:rPr>
          <w:t xml:space="preserve">Yang and Yan,</w:t>
        </w:r>
        <w:r>
          <w:rPr>
            <w:rStyle w:val="ae"/>
          </w:rPr>
          <w:t xml:space="preserve"> </w:t>
        </w:r>
        <w:r>
          <w:rPr>
            <w:rStyle w:val="ae"/>
            <w:iCs/>
            <w:i/>
          </w:rPr>
          <w:t xml:space="preserve">Top-level design, reform pressures, and local adaptations</w:t>
        </w:r>
      </w:hyperlink>
      <w:r>
        <w:t xml:space="preserve">.</w:t>
      </w:r>
    </w:p>
  </w:footnote>
  <w:footnote w:id="63">
    <w:p>
      <w:pPr>
        <w:pStyle w:val="aa"/>
      </w:pPr>
      <w:r>
        <w:rPr>
          <w:rStyle w:val="ad"/>
        </w:rPr>
        <w:footnoteRef/>
      </w:r>
      <w:r>
        <w:t xml:space="preserve"> </w:t>
      </w:r>
      <w:hyperlink w:anchor="ref-ZhouLiAnEtAl2015">
        <w:r>
          <w:rPr>
            <w:rStyle w:val="ae"/>
          </w:rPr>
          <w:t xml:space="preserve">“</w:t>
        </w:r>
        <w:r>
          <w:rPr>
            <w:rStyle w:val="ae"/>
          </w:rPr>
          <w:t xml:space="preserve">‘层层加码’</w:t>
        </w:r>
        <w:r>
          <w:rPr>
            <w:rStyle w:val="ae"/>
          </w:rPr>
          <w:t xml:space="preserve"> </w:t>
        </w:r>
        <w:r>
          <w:rPr>
            <w:rStyle w:val="ae"/>
          </w:rPr>
          <w:t xml:space="preserve">与官员激励,”</w:t>
        </w:r>
        <w:r>
          <w:rPr>
            <w:rStyle w:val="ae"/>
          </w:rPr>
          <w:t xml:space="preserve"> </w:t>
        </w:r>
        <w:r>
          <w:rPr>
            <w:rStyle w:val="ae"/>
            <w:iCs/>
            <w:i/>
          </w:rPr>
          <w:t xml:space="preserve">世界经济文汇</w:t>
        </w:r>
        <w:r>
          <w:rPr>
            <w:rStyle w:val="ae"/>
          </w:rPr>
          <w:t xml:space="preserve">, Vol. 1, No. 01 (2015), pp. 1–5</w:t>
        </w:r>
      </w:hyperlink>
      <w:r>
        <w:t xml:space="preserve">.</w:t>
      </w:r>
    </w:p>
  </w:footnote>
  <w:footnote w:id="65">
    <w:p>
      <w:pPr>
        <w:pStyle w:val="aa"/>
      </w:pPr>
      <w:r>
        <w:rPr>
          <w:rStyle w:val="ad"/>
        </w:rPr>
        <w:footnoteRef/>
      </w:r>
      <w:r>
        <w:t xml:space="preserve"> </w:t>
      </w:r>
      <w:hyperlink w:anchor="ref-Gilardi2010">
        <w:r>
          <w:rPr>
            <w:rStyle w:val="ae"/>
          </w:rPr>
          <w:t xml:space="preserve">Fabrizio Gilardi,</w:t>
        </w:r>
        <w:r>
          <w:rPr>
            <w:rStyle w:val="ae"/>
          </w:rPr>
          <w:t xml:space="preserve"> </w:t>
        </w:r>
        <w:r>
          <w:rPr>
            <w:rStyle w:val="ae"/>
          </w:rPr>
          <w:t xml:space="preserve">“Who learns from what in policy diffusion processes?”</w:t>
        </w:r>
        <w:r>
          <w:rPr>
            <w:rStyle w:val="ae"/>
          </w:rPr>
          <w:t xml:space="preserve"> </w:t>
        </w:r>
        <w:r>
          <w:rPr>
            <w:rStyle w:val="ae"/>
            <w:iCs/>
            <w:i/>
          </w:rPr>
          <w:t xml:space="preserve">American journal of political science</w:t>
        </w:r>
        <w:r>
          <w:rPr>
            <w:rStyle w:val="ae"/>
          </w:rPr>
          <w:t xml:space="preserve">, Vol. 54, No. 3 (2010), pp. 650–66</w:t>
        </w:r>
      </w:hyperlink>
      <w:r>
        <w:t xml:space="preserve">.</w:t>
      </w:r>
    </w:p>
  </w:footnote>
  <w:footnote w:id="66">
    <w:p>
      <w:pPr>
        <w:pStyle w:val="aa"/>
      </w:pPr>
      <w:r>
        <w:rPr>
          <w:rStyle w:val="ad"/>
        </w:rPr>
        <w:footnoteRef/>
      </w:r>
      <w:r>
        <w:t xml:space="preserve"> </w:t>
      </w:r>
      <w:hyperlink w:anchor="ref-DolowitzMarsh1996">
        <w:r>
          <w:rPr>
            <w:rStyle w:val="ae"/>
          </w:rPr>
          <w:t xml:space="preserve">David Dolowitz and David Marsh,</w:t>
        </w:r>
        <w:r>
          <w:rPr>
            <w:rStyle w:val="ae"/>
          </w:rPr>
          <w:t xml:space="preserve"> </w:t>
        </w:r>
        <w:r>
          <w:rPr>
            <w:rStyle w:val="ae"/>
          </w:rPr>
          <w:t xml:space="preserve">“Who</w:t>
        </w:r>
        <w:r>
          <w:rPr>
            <w:rStyle w:val="ae"/>
          </w:rPr>
          <w:t xml:space="preserve"> </w:t>
        </w:r>
        <w:r>
          <w:rPr>
            <w:rStyle w:val="ae"/>
          </w:rPr>
          <w:t xml:space="preserve">Learns What</w:t>
        </w:r>
        <w:r>
          <w:rPr>
            <w:rStyle w:val="ae"/>
          </w:rPr>
          <w:t xml:space="preserve"> </w:t>
        </w:r>
        <w:r>
          <w:rPr>
            <w:rStyle w:val="ae"/>
          </w:rPr>
          <w:t xml:space="preserve">from</w:t>
        </w:r>
        <w:r>
          <w:rPr>
            <w:rStyle w:val="ae"/>
          </w:rPr>
          <w:t xml:space="preserve"> </w:t>
        </w:r>
        <w:r>
          <w:rPr>
            <w:rStyle w:val="ae"/>
          </w:rPr>
          <w:t xml:space="preserve">Whom</w:t>
        </w:r>
        <w:r>
          <w:rPr>
            <w:rStyle w:val="ae"/>
          </w:rPr>
          <w:t xml:space="preserve">: A</w:t>
        </w:r>
        <w:r>
          <w:rPr>
            <w:rStyle w:val="ae"/>
          </w:rPr>
          <w:t xml:space="preserve"> </w:t>
        </w:r>
        <w:r>
          <w:rPr>
            <w:rStyle w:val="ae"/>
          </w:rPr>
          <w:t xml:space="preserve">Review</w:t>
        </w:r>
        <w:r>
          <w:rPr>
            <w:rStyle w:val="ae"/>
          </w:rPr>
          <w:t xml:space="preserve"> </w:t>
        </w:r>
        <w:r>
          <w:rPr>
            <w:rStyle w:val="ae"/>
          </w:rPr>
          <w:t xml:space="preserve">of the</w:t>
        </w:r>
        <w:r>
          <w:rPr>
            <w:rStyle w:val="ae"/>
          </w:rPr>
          <w:t xml:space="preserve"> </w:t>
        </w:r>
        <w:r>
          <w:rPr>
            <w:rStyle w:val="ae"/>
          </w:rPr>
          <w:t xml:space="preserve">Policy Transfer Literature</w:t>
        </w:r>
        <w:r>
          <w:rPr>
            <w:rStyle w:val="ae"/>
          </w:rPr>
          <w:t xml:space="preserve">,”</w:t>
        </w:r>
        <w:r>
          <w:rPr>
            <w:rStyle w:val="ae"/>
          </w:rPr>
          <w:t xml:space="preserve"> </w:t>
        </w:r>
        <w:r>
          <w:rPr>
            <w:rStyle w:val="ae"/>
            <w:iCs/>
            <w:i/>
          </w:rPr>
          <w:t xml:space="preserve">Political Studies</w:t>
        </w:r>
        <w:r>
          <w:rPr>
            <w:rStyle w:val="ae"/>
          </w:rPr>
          <w:t xml:space="preserve">, Vol. 44, No. 2 (1996), pp. 343–57</w:t>
        </w:r>
      </w:hyperlink>
      <w:r>
        <w:t xml:space="preserve">.</w:t>
      </w:r>
    </w:p>
  </w:footnote>
  <w:footnote w:id="67">
    <w:p>
      <w:pPr>
        <w:pStyle w:val="aa"/>
      </w:pPr>
      <w:r>
        <w:rPr>
          <w:rStyle w:val="ad"/>
        </w:rPr>
        <w:footnoteRef/>
      </w:r>
      <w:r>
        <w:t xml:space="preserve"> </w:t>
      </w:r>
      <w:hyperlink w:anchor="ref-KingdonStano1984">
        <w:r>
          <w:rPr>
            <w:rStyle w:val="ae"/>
          </w:rPr>
          <w:t xml:space="preserve">John W. Kingdon and Eric Stano,</w:t>
        </w:r>
        <w:r>
          <w:rPr>
            <w:rStyle w:val="ae"/>
          </w:rPr>
          <w:t xml:space="preserve"> </w:t>
        </w:r>
        <w:r>
          <w:rPr>
            <w:rStyle w:val="ae"/>
            <w:iCs/>
            <w:i/>
          </w:rPr>
          <w:t xml:space="preserve">Agendas, alternatives, and public policies</w:t>
        </w:r>
        <w:r>
          <w:rPr>
            <w:rStyle w:val="ae"/>
          </w:rPr>
          <w:t xml:space="preserve"> </w:t>
        </w:r>
        <w:r>
          <w:rPr>
            <w:rStyle w:val="ae"/>
          </w:rPr>
          <w:t xml:space="preserve">(</w:t>
        </w:r>
        <w:r>
          <w:rPr>
            <w:rStyle w:val="ae"/>
          </w:rPr>
          <w:t xml:space="preserve">Little, Brown Boston</w:t>
        </w:r>
        <w:r>
          <w:rPr>
            <w:rStyle w:val="ae"/>
          </w:rPr>
          <w:t xml:space="preserve">, 1984)</w:t>
        </w:r>
      </w:hyperlink>
      <w:r>
        <w:t xml:space="preserve">.</w:t>
      </w:r>
    </w:p>
  </w:footnote>
  <w:footnote w:id="68">
    <w:p>
      <w:pPr>
        <w:pStyle w:val="aa"/>
      </w:pPr>
      <w:r>
        <w:rPr>
          <w:rStyle w:val="ad"/>
        </w:rPr>
        <w:footnoteRef/>
      </w:r>
      <w:r>
        <w:t xml:space="preserve"> </w:t>
      </w:r>
      <w:hyperlink w:anchor="ref-MostStarr1980">
        <w:r>
          <w:rPr>
            <w:rStyle w:val="ae"/>
          </w:rPr>
          <w:t xml:space="preserve">Benjamin A. Most and Harvey Starr,</w:t>
        </w:r>
        <w:r>
          <w:rPr>
            <w:rStyle w:val="ae"/>
          </w:rPr>
          <w:t xml:space="preserve"> </w:t>
        </w:r>
        <w:r>
          <w:rPr>
            <w:rStyle w:val="ae"/>
          </w:rPr>
          <w:t xml:space="preserve">“Diffusion, reinforcement, geopolitics, and the spread of war,”</w:t>
        </w:r>
        <w:r>
          <w:rPr>
            <w:rStyle w:val="ae"/>
          </w:rPr>
          <w:t xml:space="preserve"> </w:t>
        </w:r>
        <w:r>
          <w:rPr>
            <w:rStyle w:val="ae"/>
            <w:iCs/>
            <w:i/>
          </w:rPr>
          <w:t xml:space="preserve">American Political Science Review</w:t>
        </w:r>
        <w:r>
          <w:rPr>
            <w:rStyle w:val="ae"/>
          </w:rPr>
          <w:t xml:space="preserve">, Vol. 74, No. 4 (1980), pp. 932–46</w:t>
        </w:r>
      </w:hyperlink>
      <w:r>
        <w:t xml:space="preserve">.</w:t>
      </w:r>
    </w:p>
  </w:footnote>
  <w:footnote w:id="69">
    <w:p>
      <w:pPr>
        <w:pStyle w:val="aa"/>
      </w:pPr>
      <w:r>
        <w:rPr>
          <w:rStyle w:val="ad"/>
        </w:rPr>
        <w:footnoteRef/>
      </w:r>
      <w:r>
        <w:t xml:space="preserve"> </w:t>
      </w:r>
      <w:hyperlink w:anchor="ref-DolowitzMarsh1996">
        <w:r>
          <w:rPr>
            <w:rStyle w:val="ae"/>
          </w:rPr>
          <w:t xml:space="preserve">Dolowitz and Marsh,</w:t>
        </w:r>
        <w:r>
          <w:rPr>
            <w:rStyle w:val="ae"/>
          </w:rPr>
          <w:t xml:space="preserve"> </w:t>
        </w:r>
        <w:r>
          <w:rPr>
            <w:rStyle w:val="ae"/>
            <w:iCs/>
            <w:i/>
          </w:rPr>
          <w:t xml:space="preserve">Who</w:t>
        </w:r>
        <w:r>
          <w:rPr>
            <w:rStyle w:val="ae"/>
            <w:iCs/>
            <w:i/>
          </w:rPr>
          <w:t xml:space="preserve"> </w:t>
        </w:r>
        <w:r>
          <w:rPr>
            <w:rStyle w:val="ae"/>
            <w:iCs/>
            <w:i/>
          </w:rPr>
          <w:t xml:space="preserve">Learns What</w:t>
        </w:r>
        <w:r>
          <w:rPr>
            <w:rStyle w:val="ae"/>
            <w:iCs/>
            <w:i/>
          </w:rPr>
          <w:t xml:space="preserve"> </w:t>
        </w:r>
        <w:r>
          <w:rPr>
            <w:rStyle w:val="ae"/>
            <w:iCs/>
            <w:i/>
          </w:rPr>
          <w:t xml:space="preserve">from</w:t>
        </w:r>
        <w:r>
          <w:rPr>
            <w:rStyle w:val="ae"/>
            <w:iCs/>
            <w:i/>
          </w:rPr>
          <w:t xml:space="preserve"> </w:t>
        </w:r>
        <w:r>
          <w:rPr>
            <w:rStyle w:val="ae"/>
            <w:iCs/>
            <w:i/>
          </w:rPr>
          <w:t xml:space="preserve">Whom</w:t>
        </w:r>
      </w:hyperlink>
      <w:r>
        <w:t xml:space="preserve">.</w:t>
      </w:r>
    </w:p>
  </w:footnote>
  <w:footnote w:id="70">
    <w:p>
      <w:pPr>
        <w:pStyle w:val="aa"/>
      </w:pPr>
      <w:r>
        <w:rPr>
          <w:rStyle w:val="ad"/>
        </w:rPr>
        <w:footnoteRef/>
      </w:r>
      <w:r>
        <w:t xml:space="preserve"> </w:t>
      </w:r>
      <w:hyperlink w:anchor="ref-HuberShipan2002">
        <w:r>
          <w:rPr>
            <w:rStyle w:val="ae"/>
          </w:rPr>
          <w:t xml:space="preserve">John D. Huber and Charles R. Shipan,</w:t>
        </w:r>
        <w:r>
          <w:rPr>
            <w:rStyle w:val="ae"/>
          </w:rPr>
          <w:t xml:space="preserve"> </w:t>
        </w:r>
        <w:r>
          <w:rPr>
            <w:rStyle w:val="ae"/>
            <w:iCs/>
            <w:i/>
          </w:rPr>
          <w:t xml:space="preserve">Deliberate discretion?: The institutional foundations of bureaucratic autonomy</w:t>
        </w:r>
        <w:r>
          <w:rPr>
            <w:rStyle w:val="ae"/>
          </w:rPr>
          <w:t xml:space="preserve"> </w:t>
        </w:r>
        <w:r>
          <w:rPr>
            <w:rStyle w:val="ae"/>
          </w:rPr>
          <w:t xml:space="preserve">(</w:t>
        </w:r>
        <w:r>
          <w:rPr>
            <w:rStyle w:val="ae"/>
          </w:rPr>
          <w:t xml:space="preserve">Cambridge University Press</w:t>
        </w:r>
        <w:r>
          <w:rPr>
            <w:rStyle w:val="ae"/>
          </w:rPr>
          <w:t xml:space="preserve">, 2002)</w:t>
        </w:r>
      </w:hyperlink>
      <w:r>
        <w:t xml:space="preserve">;</w:t>
      </w:r>
      <w:r>
        <w:t xml:space="preserve"> </w:t>
      </w:r>
      <w:hyperlink w:anchor="ref-ShipanVolden2006a">
        <w:r>
          <w:rPr>
            <w:rStyle w:val="ae"/>
          </w:rPr>
          <w:t xml:space="preserve">Charles R. Shipan and Craig Volden,</w:t>
        </w:r>
        <w:r>
          <w:rPr>
            <w:rStyle w:val="ae"/>
          </w:rPr>
          <w:t xml:space="preserve"> </w:t>
        </w:r>
        <w:r>
          <w:rPr>
            <w:rStyle w:val="ae"/>
          </w:rPr>
          <w:t xml:space="preserve">“Bottom-up federalism: The diffusion of antismoking policies from</w:t>
        </w:r>
        <w:r>
          <w:rPr>
            <w:rStyle w:val="ae"/>
          </w:rPr>
          <w:t xml:space="preserve"> </w:t>
        </w:r>
        <w:r>
          <w:rPr>
            <w:rStyle w:val="ae"/>
          </w:rPr>
          <w:t xml:space="preserve">US</w:t>
        </w:r>
        <w:r>
          <w:rPr>
            <w:rStyle w:val="ae"/>
          </w:rPr>
          <w:t xml:space="preserve"> </w:t>
        </w:r>
        <w:r>
          <w:rPr>
            <w:rStyle w:val="ae"/>
          </w:rPr>
          <w:t xml:space="preserve">cities to states,”</w:t>
        </w:r>
        <w:r>
          <w:rPr>
            <w:rStyle w:val="ae"/>
          </w:rPr>
          <w:t xml:space="preserve"> </w:t>
        </w:r>
        <w:r>
          <w:rPr>
            <w:rStyle w:val="ae"/>
            <w:iCs/>
            <w:i/>
          </w:rPr>
          <w:t xml:space="preserve">American journal of political science</w:t>
        </w:r>
        <w:r>
          <w:rPr>
            <w:rStyle w:val="ae"/>
          </w:rPr>
          <w:t xml:space="preserve">, Vol. 50, No. 4 (2006), pp. 825–43</w:t>
        </w:r>
      </w:hyperlink>
      <w:r>
        <w:t xml:space="preserve">.</w:t>
      </w:r>
    </w:p>
  </w:footnote>
  <w:footnote w:id="71">
    <w:p>
      <w:pPr>
        <w:pStyle w:val="aa"/>
      </w:pPr>
      <w:r>
        <w:rPr>
          <w:rStyle w:val="ad"/>
        </w:rPr>
        <w:footnoteRef/>
      </w:r>
      <w:r>
        <w:t xml:space="preserve"> </w:t>
      </w:r>
      <w:hyperlink w:anchor="ref-GrahamEtAl2013a">
        <w:r>
          <w:rPr>
            <w:rStyle w:val="ae"/>
          </w:rPr>
          <w:t xml:space="preserve">Erin R. Graham, Charles R. Shipan, and Craig Volden,</w:t>
        </w:r>
        <w:r>
          <w:rPr>
            <w:rStyle w:val="ae"/>
          </w:rPr>
          <w:t xml:space="preserve"> </w:t>
        </w:r>
        <w:r>
          <w:rPr>
            <w:rStyle w:val="ae"/>
          </w:rPr>
          <w:t xml:space="preserve">“The</w:t>
        </w:r>
        <w:r>
          <w:rPr>
            <w:rStyle w:val="ae"/>
          </w:rPr>
          <w:t xml:space="preserve"> </w:t>
        </w:r>
        <w:r>
          <w:rPr>
            <w:rStyle w:val="ae"/>
          </w:rPr>
          <w:t xml:space="preserve">Diffusion</w:t>
        </w:r>
        <w:r>
          <w:rPr>
            <w:rStyle w:val="ae"/>
          </w:rPr>
          <w:t xml:space="preserve"> </w:t>
        </w:r>
        <w:r>
          <w:rPr>
            <w:rStyle w:val="ae"/>
          </w:rPr>
          <w:t xml:space="preserve">of</w:t>
        </w:r>
        <w:r>
          <w:rPr>
            <w:rStyle w:val="ae"/>
          </w:rPr>
          <w:t xml:space="preserve"> </w:t>
        </w:r>
        <w:r>
          <w:rPr>
            <w:rStyle w:val="ae"/>
          </w:rPr>
          <w:t xml:space="preserve">Policy Diffusion Research</w:t>
        </w:r>
        <w:r>
          <w:rPr>
            <w:rStyle w:val="ae"/>
          </w:rPr>
          <w:t xml:space="preserve"> </w:t>
        </w:r>
        <w:r>
          <w:rPr>
            <w:rStyle w:val="ae"/>
          </w:rPr>
          <w:t xml:space="preserve">in</w:t>
        </w:r>
        <w:r>
          <w:rPr>
            <w:rStyle w:val="ae"/>
          </w:rPr>
          <w:t xml:space="preserve"> </w:t>
        </w:r>
        <w:r>
          <w:rPr>
            <w:rStyle w:val="ae"/>
          </w:rPr>
          <w:t xml:space="preserve">Political Science</w:t>
        </w:r>
        <w:r>
          <w:rPr>
            <w:rStyle w:val="ae"/>
          </w:rPr>
          <w:t xml:space="preserve">,”</w:t>
        </w:r>
        <w:r>
          <w:rPr>
            <w:rStyle w:val="ae"/>
          </w:rPr>
          <w:t xml:space="preserve"> </w:t>
        </w:r>
        <w:r>
          <w:rPr>
            <w:rStyle w:val="ae"/>
            <w:iCs/>
            <w:i/>
          </w:rPr>
          <w:t xml:space="preserve">British Journal of Political Science</w:t>
        </w:r>
        <w:r>
          <w:rPr>
            <w:rStyle w:val="ae"/>
          </w:rPr>
          <w:t xml:space="preserve">, Vol. 43, No. 3 (2013), pp. 673–701</w:t>
        </w:r>
      </w:hyperlink>
      <w:r>
        <w:t xml:space="preserve">.</w:t>
      </w:r>
    </w:p>
  </w:footnote>
  <w:footnote w:id="72">
    <w:p>
      <w:pPr>
        <w:pStyle w:val="aa"/>
      </w:pPr>
      <w:r>
        <w:rPr>
          <w:rStyle w:val="ad"/>
        </w:rPr>
        <w:footnoteRef/>
      </w:r>
      <w:r>
        <w:t xml:space="preserve"> </w:t>
      </w:r>
      <w:hyperlink w:anchor="ref-GrossbackEtAl2004">
        <w:r>
          <w:rPr>
            <w:rStyle w:val="ae"/>
          </w:rPr>
          <w:t xml:space="preserve">Lawrence J. Grossback, Sean Nicholson-Crotty, and David AM Peterson,</w:t>
        </w:r>
        <w:r>
          <w:rPr>
            <w:rStyle w:val="ae"/>
          </w:rPr>
          <w:t xml:space="preserve"> </w:t>
        </w:r>
        <w:r>
          <w:rPr>
            <w:rStyle w:val="ae"/>
          </w:rPr>
          <w:t xml:space="preserve">“Ideology and learning in policy diffusion,”</w:t>
        </w:r>
        <w:r>
          <w:rPr>
            <w:rStyle w:val="ae"/>
          </w:rPr>
          <w:t xml:space="preserve"> </w:t>
        </w:r>
        <w:r>
          <w:rPr>
            <w:rStyle w:val="ae"/>
            <w:iCs/>
            <w:i/>
          </w:rPr>
          <w:t xml:space="preserve">American Politics Research</w:t>
        </w:r>
        <w:r>
          <w:rPr>
            <w:rStyle w:val="ae"/>
          </w:rPr>
          <w:t xml:space="preserve">, Vol. 32, No. 5 (2004), pp. 521–45</w:t>
        </w:r>
      </w:hyperlink>
      <w:r>
        <w:t xml:space="preserve">.</w:t>
      </w:r>
    </w:p>
  </w:footnote>
  <w:footnote w:id="73">
    <w:p>
      <w:pPr>
        <w:pStyle w:val="aa"/>
      </w:pPr>
      <w:r>
        <w:rPr>
          <w:rStyle w:val="ad"/>
        </w:rPr>
        <w:footnoteRef/>
      </w:r>
      <w:r>
        <w:t xml:space="preserve"> </w:t>
      </w:r>
      <w:hyperlink w:anchor="ref-HuberShipan2002">
        <w:r>
          <w:rPr>
            <w:rStyle w:val="ae"/>
          </w:rPr>
          <w:t xml:space="preserve">Huber and Shipan,</w:t>
        </w:r>
        <w:r>
          <w:rPr>
            <w:rStyle w:val="ae"/>
          </w:rPr>
          <w:t xml:space="preserve"> </w:t>
        </w:r>
        <w:r>
          <w:rPr>
            <w:rStyle w:val="ae"/>
            <w:iCs/>
            <w:i/>
          </w:rPr>
          <w:t xml:space="preserve">Deliberate discretion?</w:t>
        </w:r>
      </w:hyperlink>
    </w:p>
  </w:footnote>
  <w:footnote w:id="74">
    <w:p>
      <w:pPr>
        <w:pStyle w:val="aa"/>
      </w:pPr>
      <w:r>
        <w:rPr>
          <w:rStyle w:val="ad"/>
        </w:rPr>
        <w:footnoteRef/>
      </w:r>
      <w:r>
        <w:t xml:space="preserve"> </w:t>
      </w:r>
      <w:hyperlink w:anchor="ref-Weyland2005">
        <w:r>
          <w:rPr>
            <w:rStyle w:val="ae"/>
          </w:rPr>
          <w:t xml:space="preserve">Kurt Weyland,</w:t>
        </w:r>
        <w:r>
          <w:rPr>
            <w:rStyle w:val="ae"/>
          </w:rPr>
          <w:t xml:space="preserve"> </w:t>
        </w:r>
        <w:r>
          <w:rPr>
            <w:rStyle w:val="ae"/>
          </w:rPr>
          <w:t xml:space="preserve">“Theories of policy diffusion lessons from</w:t>
        </w:r>
        <w:r>
          <w:rPr>
            <w:rStyle w:val="ae"/>
          </w:rPr>
          <w:t xml:space="preserve"> </w:t>
        </w:r>
        <w:r>
          <w:rPr>
            <w:rStyle w:val="ae"/>
          </w:rPr>
          <w:t xml:space="preserve">Latin American</w:t>
        </w:r>
        <w:r>
          <w:rPr>
            <w:rStyle w:val="ae"/>
          </w:rPr>
          <w:t xml:space="preserve"> </w:t>
        </w:r>
        <w:r>
          <w:rPr>
            <w:rStyle w:val="ae"/>
          </w:rPr>
          <w:t xml:space="preserve">pension reform,”</w:t>
        </w:r>
        <w:r>
          <w:rPr>
            <w:rStyle w:val="ae"/>
          </w:rPr>
          <w:t xml:space="preserve"> </w:t>
        </w:r>
        <w:r>
          <w:rPr>
            <w:rStyle w:val="ae"/>
            <w:iCs/>
            <w:i/>
          </w:rPr>
          <w:t xml:space="preserve">World politics</w:t>
        </w:r>
        <w:r>
          <w:rPr>
            <w:rStyle w:val="ae"/>
          </w:rPr>
          <w:t xml:space="preserve">, Vol. 57, No. 2 (2005), pp. 262–95</w:t>
        </w:r>
      </w:hyperlink>
      <w:r>
        <w:t xml:space="preserve">.</w:t>
      </w:r>
    </w:p>
  </w:footnote>
  <w:footnote w:id="75">
    <w:p>
      <w:pPr>
        <w:pStyle w:val="aa"/>
      </w:pPr>
      <w:r>
        <w:rPr>
          <w:rStyle w:val="ad"/>
        </w:rPr>
        <w:footnoteRef/>
      </w:r>
      <w:r>
        <w:t xml:space="preserve"> </w:t>
      </w:r>
      <w:hyperlink w:anchor="ref-LiZhenEtAl2020">
        <w:r>
          <w:rPr>
            <w:rStyle w:val="ae"/>
          </w:rPr>
          <w:t xml:space="preserve">李振 et al.,</w:t>
        </w:r>
        <w:r>
          <w:rPr>
            <w:rStyle w:val="ae"/>
          </w:rPr>
          <w:t xml:space="preserve"> </w:t>
        </w:r>
        <w:r>
          <w:rPr>
            <w:rStyle w:val="ae"/>
            <w:iCs/>
            <w:i/>
          </w:rPr>
          <w:t xml:space="preserve">“条块并举”</w:t>
        </w:r>
        <w:r>
          <w:rPr>
            <w:rStyle w:val="ae"/>
            <w:iCs/>
            <w:i/>
          </w:rPr>
          <w:t xml:space="preserve">发包制下的基层治理</w:t>
        </w:r>
      </w:hyperlink>
      <w:r>
        <w:t xml:space="preserve">.</w:t>
      </w:r>
    </w:p>
  </w:footnote>
  <w:footnote w:id="79">
    <w:p>
      <w:pPr>
        <w:pStyle w:val="aa"/>
      </w:pPr>
      <w:r>
        <w:rPr>
          <w:rStyle w:val="ad"/>
        </w:rPr>
        <w:footnoteRef/>
      </w:r>
      <w:r>
        <w:t xml:space="preserve"> </w:t>
      </w:r>
      <w:hyperlink w:anchor="Xf03123715062ffd08c68504b1e6c769f47ed13c">
        <w:r>
          <w:rPr>
            <w:rStyle w:val="ae"/>
          </w:rPr>
          <w:t xml:space="preserve">国务院联防联控机制综合组,</w:t>
        </w:r>
        <w:r>
          <w:rPr>
            <w:rStyle w:val="ae"/>
          </w:rPr>
          <w:t xml:space="preserve"> </w:t>
        </w:r>
        <w:r>
          <w:rPr>
            <w:rStyle w:val="ae"/>
          </w:rPr>
          <w:t xml:space="preserve">“关于做好2021年元旦和春节期间新冠肺炎疫情防控工作的通知,”</w:t>
        </w:r>
        <w:r>
          <w:rPr>
            <w:rStyle w:val="ae"/>
          </w:rPr>
          <w:t xml:space="preserve"> (2020年12月30日)</w:t>
        </w:r>
      </w:hyperlink>
      <w:r>
        <w:t xml:space="preserve">.</w:t>
      </w:r>
    </w:p>
  </w:footnote>
  <w:footnote w:id="80">
    <w:p>
      <w:pPr>
        <w:pStyle w:val="aa"/>
      </w:pPr>
      <w:r>
        <w:rPr>
          <w:rStyle w:val="ad"/>
        </w:rPr>
        <w:footnoteRef/>
      </w:r>
      <w:r>
        <w:t xml:space="preserve"> </w:t>
      </w:r>
      <w:hyperlink w:anchor="ref-YangXueDong2021">
        <w:r>
          <w:rPr>
            <w:rStyle w:val="ae"/>
          </w:rPr>
          <w:t xml:space="preserve">杨雪冬,</w:t>
        </w:r>
        <w:r>
          <w:rPr>
            <w:rStyle w:val="ae"/>
          </w:rPr>
          <w:t xml:space="preserve"> </w:t>
        </w:r>
        <w:r>
          <w:rPr>
            <w:rStyle w:val="ae"/>
          </w:rPr>
          <w:t xml:space="preserve">“疫情防控检验着共同体的韧性,”</w:t>
        </w:r>
        <w:r>
          <w:rPr>
            <w:rStyle w:val="ae"/>
          </w:rPr>
          <w:t xml:space="preserve"> </w:t>
        </w:r>
        <w:r>
          <w:rPr>
            <w:rStyle w:val="ae"/>
            <w:iCs/>
            <w:i/>
          </w:rPr>
          <w:t xml:space="preserve">环球时报</w:t>
        </w:r>
        <w:r>
          <w:rPr>
            <w:rStyle w:val="ae"/>
          </w:rPr>
          <w:t xml:space="preserve">, (2021), p. 015</w:t>
        </w:r>
      </w:hyperlink>
      <w:r>
        <w:t xml:space="preserve">.</w:t>
      </w:r>
    </w:p>
  </w:footnote>
  <w:footnote w:id="81">
    <w:p>
      <w:pPr>
        <w:pStyle w:val="aa"/>
      </w:pPr>
      <w:r>
        <w:rPr>
          <w:rStyle w:val="ad"/>
        </w:rPr>
        <w:footnoteRef/>
      </w:r>
      <w:r>
        <w:t xml:space="preserve"> </w:t>
      </w:r>
      <w:hyperlink w:anchor="Xf03123715062ffd08c68504b1e6c769f47ed13c">
        <w:r>
          <w:rPr>
            <w:rStyle w:val="ae"/>
          </w:rPr>
          <w:t xml:space="preserve">国务院联防联控机制综合组,</w:t>
        </w:r>
        <w:r>
          <w:rPr>
            <w:rStyle w:val="ae"/>
          </w:rPr>
          <w:t xml:space="preserve"> </w:t>
        </w:r>
        <w:r>
          <w:rPr>
            <w:rStyle w:val="ae"/>
            <w:iCs/>
            <w:i/>
          </w:rPr>
          <w:t xml:space="preserve">关于做好2021年元旦和春节期间新冠肺炎疫情防控工作的通知</w:t>
        </w:r>
      </w:hyperlink>
      <w:r>
        <w:t xml:space="preserve">.</w:t>
      </w:r>
    </w:p>
  </w:footnote>
  <w:footnote w:id="82">
    <w:p>
      <w:pPr>
        <w:pStyle w:val="aa"/>
      </w:pPr>
      <w:r>
        <w:rPr>
          <w:rStyle w:val="ad"/>
        </w:rPr>
        <w:footnoteRef/>
      </w:r>
      <w:r>
        <w:t xml:space="preserve"> </w:t>
      </w:r>
      <w:hyperlink w:anchor="ref-GuangMingRiBao2021">
        <w:r>
          <w:rPr>
            <w:rStyle w:val="ae"/>
          </w:rPr>
          <w:t xml:space="preserve">光明日报,</w:t>
        </w:r>
        <w:r>
          <w:rPr>
            <w:rStyle w:val="ae"/>
          </w:rPr>
          <w:t xml:space="preserve"> </w:t>
        </w:r>
        <w:r>
          <w:rPr>
            <w:rStyle w:val="ae"/>
          </w:rPr>
          <w:t xml:space="preserve">“国务院联防联控机制发布会：对</w:t>
        </w:r>
        <w:r>
          <w:rPr>
            <w:rStyle w:val="ae"/>
          </w:rPr>
          <w:t xml:space="preserve">‘层层加码’</w:t>
        </w:r>
        <w:r>
          <w:rPr>
            <w:rStyle w:val="ae"/>
          </w:rPr>
          <w:t xml:space="preserve">的懒政行为进行整改,”</w:t>
        </w:r>
        <w:r>
          <w:rPr>
            <w:rStyle w:val="ae"/>
          </w:rPr>
          <w:t xml:space="preserve"> </w:t>
        </w:r>
        <w:r>
          <w:rPr>
            <w:rStyle w:val="ae"/>
            <w:iCs/>
            <w:i/>
          </w:rPr>
          <w:t xml:space="preserve">光明日报</w:t>
        </w:r>
        <w:r>
          <w:rPr>
            <w:rStyle w:val="ae"/>
          </w:rPr>
          <w:t xml:space="preserve">, (2021)</w:t>
        </w:r>
      </w:hyperlink>
      <w:r>
        <w:t xml:space="preserve">.</w:t>
      </w:r>
    </w:p>
  </w:footnote>
  <w:footnote w:id="85">
    <w:p>
      <w:pPr>
        <w:pStyle w:val="aa"/>
      </w:pPr>
      <w:r>
        <w:rPr>
          <w:rStyle w:val="ad"/>
        </w:rPr>
        <w:footnoteRef/>
      </w:r>
      <w:r>
        <w:t xml:space="preserve"> </w:t>
      </w:r>
      <w:r>
        <w:t xml:space="preserve">请参见国家卫生健康委员会网页：</w:t>
      </w:r>
      <w:hyperlink r:id="rId86">
        <w:r>
          <w:rPr>
            <w:rStyle w:val="ae"/>
          </w:rPr>
          <w:t xml:space="preserve">http://www.nhc.gov.cn/jkj/dongt/202101/4378bd2dd76b4d9a8d995660e90fb4a6.shtml</w:t>
        </w:r>
      </w:hyperlink>
    </w:p>
  </w:footnote>
  <w:footnote w:id="87">
    <w:p>
      <w:pPr>
        <w:pStyle w:val="aa"/>
      </w:pPr>
      <w:r>
        <w:rPr>
          <w:rStyle w:val="ad"/>
        </w:rPr>
        <w:footnoteRef/>
      </w:r>
      <w:r>
        <w:t xml:space="preserve"> </w:t>
      </w:r>
      <w:hyperlink w:anchor="ref-MengTianGuangZhangXiaoJing2021">
        <w:r>
          <w:rPr>
            <w:rStyle w:val="ae"/>
          </w:rPr>
          <w:t xml:space="preserve">孟天广 and 张小劲,</w:t>
        </w:r>
        <w:r>
          <w:rPr>
            <w:rStyle w:val="ae"/>
          </w:rPr>
          <w:t xml:space="preserve"> </w:t>
        </w:r>
        <w:r>
          <w:rPr>
            <w:rStyle w:val="ae"/>
            <w:iCs/>
            <w:i/>
          </w:rPr>
          <w:t xml:space="preserve">中国数字政府发展研究报告（2021）</w:t>
        </w:r>
        <w:r>
          <w:rPr>
            <w:rStyle w:val="ae"/>
          </w:rPr>
          <w:t xml:space="preserve"> </w:t>
        </w:r>
        <w:r>
          <w:rPr>
            <w:rStyle w:val="ae"/>
          </w:rPr>
          <w:t xml:space="preserve">(</w:t>
        </w:r>
        <w:r>
          <w:rPr>
            <w:rStyle w:val="ae"/>
          </w:rPr>
          <w:t xml:space="preserve">经济科学出版社</w:t>
        </w:r>
        <w:r>
          <w:rPr>
            <w:rStyle w:val="ae"/>
          </w:rPr>
          <w:t xml:space="preserve">, 2021)</w:t>
        </w:r>
      </w:hyperlink>
      <w:r>
        <w:t xml:space="preserve">.</w:t>
      </w:r>
    </w:p>
  </w:footnote>
  <w:footnote w:id="88">
    <w:p>
      <w:pPr>
        <w:pStyle w:val="aa"/>
      </w:pPr>
      <w:r>
        <w:rPr>
          <w:rStyle w:val="ad"/>
        </w:rPr>
        <w:footnoteRef/>
      </w:r>
      <w:r>
        <w:t xml:space="preserve"> </w:t>
      </w:r>
      <w:hyperlink w:anchor="ref-ZhouLiAn2007">
        <w:r>
          <w:rPr>
            <w:rStyle w:val="ae"/>
          </w:rPr>
          <w:t xml:space="preserve">周黎安,</w:t>
        </w:r>
        <w:r>
          <w:rPr>
            <w:rStyle w:val="ae"/>
          </w:rPr>
          <w:t xml:space="preserve"> </w:t>
        </w:r>
        <w:r>
          <w:rPr>
            <w:rStyle w:val="ae"/>
            <w:iCs/>
            <w:i/>
          </w:rPr>
          <w:t xml:space="preserve">中国地方官员的晋升锦标赛模式研究</w:t>
        </w:r>
        <w:r>
          <w:rPr>
            <w:rStyle w:val="ae"/>
          </w:rPr>
          <w:t xml:space="preserve">, PhD thesis, 2007</w:t>
        </w:r>
      </w:hyperlink>
      <w:r>
        <w:t xml:space="preserve">.</w:t>
      </w:r>
    </w:p>
  </w:footnote>
  <w:footnote w:id="89">
    <w:p>
      <w:pPr>
        <w:pStyle w:val="aa"/>
      </w:pPr>
      <w:r>
        <w:rPr>
          <w:rStyle w:val="ad"/>
        </w:rPr>
        <w:footnoteRef/>
      </w:r>
      <w:r>
        <w:t xml:space="preserve"> </w:t>
      </w:r>
      <w:r>
        <w:t xml:space="preserve">请参见百度指数网页：</w:t>
      </w:r>
      <w:hyperlink r:id="rId90">
        <w:r>
          <w:rPr>
            <w:rStyle w:val="ae"/>
          </w:rPr>
          <w:t xml:space="preserve">https://zhishu.baidu.com/</w:t>
        </w:r>
      </w:hyperlink>
    </w:p>
  </w:footnote>
  <w:footnote w:id="92">
    <w:p>
      <w:pPr>
        <w:pStyle w:val="aa"/>
      </w:pPr>
      <w:r>
        <w:rPr>
          <w:rStyle w:val="ad"/>
        </w:rPr>
        <w:footnoteRef/>
      </w:r>
      <w:r>
        <w:t xml:space="preserve"> </w:t>
      </w:r>
      <w:r>
        <w:t xml:space="preserve">具体请参见请参见《关于加强春节期间返（来）吉人员管理与服务做好新冠肺炎疫情防控工作的通知》</w:t>
      </w:r>
      <w:hyperlink r:id="rId93">
        <w:r>
          <w:rPr>
            <w:rStyle w:val="ae"/>
          </w:rPr>
          <w:t xml:space="preserve">http://www.jl.gov.cn/zw/tzgg/gsgg/gg/202102/t20210201_7932090.html</w:t>
        </w:r>
      </w:hyperlink>
    </w:p>
  </w:footnote>
  <w:footnote w:id="94">
    <w:p>
      <w:pPr>
        <w:pStyle w:val="aa"/>
      </w:pPr>
      <w:r>
        <w:rPr>
          <w:rStyle w:val="ad"/>
        </w:rPr>
        <w:footnoteRef/>
      </w:r>
      <w:r>
        <w:t xml:space="preserve"> </w:t>
      </w:r>
      <w:hyperlink w:anchor="ref-YangXueDong2012">
        <w:r>
          <w:rPr>
            <w:rStyle w:val="ae"/>
          </w:rPr>
          <w:t xml:space="preserve">杨雪冬,</w:t>
        </w:r>
        <w:r>
          <w:rPr>
            <w:rStyle w:val="ae"/>
          </w:rPr>
          <w:t xml:space="preserve"> </w:t>
        </w:r>
        <w:r>
          <w:rPr>
            <w:rStyle w:val="ae"/>
            <w:iCs/>
            <w:i/>
          </w:rPr>
          <w:t xml:space="preserve">压力型体制</w:t>
        </w:r>
      </w:hyperlink>
      <w:r>
        <w:t xml:space="preserve">.</w:t>
      </w:r>
    </w:p>
  </w:footnote>
  <w:footnote w:id="99">
    <w:p>
      <w:pPr>
        <w:pStyle w:val="aa"/>
      </w:pPr>
      <w:r>
        <w:rPr>
          <w:rStyle w:val="ad"/>
        </w:rPr>
        <w:footnoteRef/>
      </w:r>
      <w:r>
        <w:t xml:space="preserve"> </w:t>
      </w:r>
      <w:hyperlink w:anchor="ref-YangXueDong2012">
        <w:r>
          <w:rPr>
            <w:rStyle w:val="ae"/>
          </w:rPr>
          <w:t xml:space="preserve">杨雪冬,</w:t>
        </w:r>
        <w:r>
          <w:rPr>
            <w:rStyle w:val="ae"/>
          </w:rPr>
          <w:t xml:space="preserve"> </w:t>
        </w:r>
        <w:r>
          <w:rPr>
            <w:rStyle w:val="ae"/>
            <w:iCs/>
            <w:i/>
          </w:rPr>
          <w:t xml:space="preserve">压力型体制</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8"/>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6" Target="media/rId96.png" /><Relationship Type="http://schemas.openxmlformats.org/officeDocument/2006/relationships/image" Id="rId76" Target="media/rId76.png" /><Relationship Type="http://schemas.openxmlformats.org/officeDocument/2006/relationships/hyperlink" Id="rId93" Target="http://www.jl.gov.cn/zw/tzgg/gsgg/gg/202102/t20210201_7932090.html" TargetMode="External" /><Relationship Type="http://schemas.openxmlformats.org/officeDocument/2006/relationships/hyperlink" Id="rId86" Target="http://www.nhc.gov.cn/jkj/dongt/202101/4378bd2dd76b4d9a8d995660e90fb4a6.shtml" TargetMode="External" /><Relationship Type="http://schemas.openxmlformats.org/officeDocument/2006/relationships/hyperlink" Id="rId90" Target="https://zhishu.baidu.com/" TargetMode="External" /><Relationship Type="http://schemas.openxmlformats.org/officeDocument/2006/relationships/hyperlink" Id="rId21" Target="mailto:sunyf20@mails.tsinghua.edu.cn" TargetMode="External" /></Relationships>
</file>

<file path=word/_rels/footnotes.xml.rels><?xml version="1.0" encoding="UTF-8"?><Relationships xmlns="http://schemas.openxmlformats.org/package/2006/relationships"><Relationship Type="http://schemas.openxmlformats.org/officeDocument/2006/relationships/hyperlink" Id="rId93" Target="http://www.jl.gov.cn/zw/tzgg/gsgg/gg/202102/t20210201_7932090.html" TargetMode="External" /><Relationship Type="http://schemas.openxmlformats.org/officeDocument/2006/relationships/hyperlink" Id="rId86" Target="http://www.nhc.gov.cn/jkj/dongt/202101/4378bd2dd76b4d9a8d995660e90fb4a6.shtml" TargetMode="External" /><Relationship Type="http://schemas.openxmlformats.org/officeDocument/2006/relationships/hyperlink" Id="rId90" Target="https://zhishu.baidu.com/"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能力不够压力来凑：能力空间与压力型体制</dc:title>
  <dc:creator>孙宇飞; 杨雪冬</dc:creator>
  <cp:keywords/>
  <dcterms:created xsi:type="dcterms:W3CDTF">2022-02-10T00:48:57Z</dcterms:created>
  <dcterms:modified xsi:type="dcterms:W3CDTF">2022-02-10T00:48:57Z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压力型体制”作为对中国地方治理实践的理论描绘，得到了国内外学者的广泛关注和讨论。十八大以来，党和政府推动的一系列政治体制改革，深刻得改变了“压力型体制”的运行环境，“压力型体制”在保持生动的描述力和较强的解释力的同时，遇到“减压阀失灵”等理论困境和解释力不足等问题。本研究在梳理已有理论的基础上，结合政策扩散和地方治理能力等理论视角，以政策文本在中央-地方和不同地方的扩散和变化作为窗口，以2021年春节期间疫情防控政策在中国293个地级市的差异化制定为案例，通过自然语言处理和回归分析等方法对“压力型体制”进行了理论检验与补充。笔者发现，和原有“压力型体制”的理论一致，上级、同级政府和民众的压力对地方政府的政策加码程度均有显著影响。此外，地方政府的治理能力对“压力型体制”的运行有着明显的“减压阀”效应，这一减压阀的存在使得地方政府在多方的压力下还能保留一定的自主性空间。地方政府的治理能力强弱影响着地方自主性空间的大小，治理能力越强的地方政府的行政自主性就越大，从而能够较为灵活的处理多方压力和政策加码。具体来说，在控制其他变量的前提下，地方政府的数字治理能力和卫生能力对地方政府疫情防控政策加码程度有着显著的负向影响。在此基础上，笔者提出了提出压力型体制运行过程中地方政府“能力空间”的概念，从而实现了对“压力型体制”的理论检验与修正。关键词：压力型体制；政策扩散；能力空间；层层加码。</vt:lpwstr>
  </property>
  <property fmtid="{D5CDD505-2E9C-101B-9397-08002B2CF9AE}" pid="3" name="always_allow_html">
    <vt:lpwstr>True</vt:lpwstr>
  </property>
  <property fmtid="{D5CDD505-2E9C-101B-9397-08002B2CF9AE}" pid="4" name="bibliography">
    <vt:lpwstr>Covid19Policy.bib</vt:lpwstr>
  </property>
  <property fmtid="{D5CDD505-2E9C-101B-9397-08002B2CF9AE}" pid="5" name="colorlinks">
    <vt:lpwstr>True</vt:lpwstr>
  </property>
  <property fmtid="{D5CDD505-2E9C-101B-9397-08002B2CF9AE}" pid="6" name="csl">
    <vt:lpwstr>the-chinese-journal-of-international-politics.csl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indent">
    <vt:lpwstr>True</vt:lpwstr>
  </property>
  <property fmtid="{D5CDD505-2E9C-101B-9397-08002B2CF9AE}" pid="12" name="knit">
    <vt:lpwstr>(function(inputFile, encoding) {rmarkdown::render(inputFile, encoding = encoding, output_format = c(“bookdown::word_document2,” “bookdown::pdf_document2”)) })</vt:lpwstr>
  </property>
  <property fmtid="{D5CDD505-2E9C-101B-9397-08002B2CF9AE}" pid="13" name="link-citations">
    <vt:lpwstr>True</vt:lpwstr>
  </property>
  <property fmtid="{D5CDD505-2E9C-101B-9397-08002B2CF9AE}" pid="14" name="output">
    <vt:lpwstr/>
  </property>
  <property fmtid="{D5CDD505-2E9C-101B-9397-08002B2CF9AE}" pid="15" name="subtitle">
    <vt:lpwstr>——基于2021年春节期间地方疫情防控政策的实证研究</vt:lpwstr>
  </property>
  <property fmtid="{D5CDD505-2E9C-101B-9397-08002B2CF9AE}" pid="16" name="toc">
    <vt:lpwstr>False</vt:lpwstr>
  </property>
</Properties>
</file>