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教育式宣传与宣传式教育：政治宣传效果的整合性框架</w:t>
      </w:r>
    </w:p>
    <w:p>
      <w:pPr>
        <w:pStyle w:val="a6"/>
      </w:pPr>
      <w:r>
        <w:t xml:space="preserve">基于思政课教学的实验研究</w:t>
      </w:r>
    </w:p>
    <w:p>
      <w:pPr>
        <w:pStyle w:val="Author"/>
      </w:pPr>
      <w:r>
        <w:t xml:space="preserve">孙宇飞</w:t>
      </w:r>
      <w:r>
        <w:rPr>
          <w:rStyle w:val="ad"/>
        </w:rPr>
        <w:footnoteReference w:id="20"/>
      </w:r>
    </w:p>
    <w:p>
      <w:pPr>
        <w:pStyle w:val="Author"/>
      </w:pPr>
      <w:r>
        <w:t xml:space="preserve">汤霓</w:t>
      </w:r>
      <w:r>
        <w:rPr>
          <w:rStyle w:val="ad"/>
        </w:rPr>
        <w:footnoteReference w:id="22"/>
      </w:r>
    </w:p>
    <w:p>
      <w:pPr>
        <w:pStyle w:val="Abstract"/>
      </w:pPr>
      <w:r>
        <w:t xml:space="preserve">政治宣传是政府维持统治合法性和提升公众支持的重要手段之一，现有研究从</w:t>
      </w:r>
      <w:r>
        <w:t xml:space="preserve">“</w:t>
      </w:r>
      <w:r>
        <w:t xml:space="preserve">灌输机制</w:t>
      </w:r>
      <w:r>
        <w:t xml:space="preserve">”</w:t>
      </w:r>
      <w:r>
        <w:t xml:space="preserve">和</w:t>
      </w:r>
      <w:r>
        <w:t xml:space="preserve">“</w:t>
      </w:r>
      <w:r>
        <w:t xml:space="preserve">信号机制</w:t>
      </w:r>
      <w:r>
        <w:t xml:space="preserve">”</w:t>
      </w:r>
      <w:r>
        <w:t xml:space="preserve">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w:t>
      </w:r>
      <w:r>
        <w:t xml:space="preserve">“</w:t>
      </w:r>
      <w:r>
        <w:t xml:space="preserve">硬宣传</w:t>
      </w:r>
      <w:r>
        <w:t xml:space="preserve">”</w:t>
      </w:r>
      <w:r>
        <w:t xml:space="preserve">在传递威慑信号之外，还具有一种说服的</w:t>
      </w:r>
      <w:r>
        <w:t xml:space="preserve">“</w:t>
      </w:r>
      <w:r>
        <w:t xml:space="preserve">软效应</w:t>
      </w:r>
      <w:r>
        <w:t xml:space="preserve">”</w:t>
      </w:r>
      <w:r>
        <w:t xml:space="preserve">。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w:t>
      </w:r>
      <w:r>
        <w:t xml:space="preserve">“</w:t>
      </w:r>
      <w:r>
        <w:t xml:space="preserve">课程思政</w:t>
      </w:r>
      <w:r>
        <w:t xml:space="preserve">”</w:t>
      </w:r>
      <w:r>
        <w:t xml:space="preserve">这一</w:t>
      </w:r>
      <w:r>
        <w:t xml:space="preserve">“</w:t>
      </w:r>
      <w:r>
        <w:t xml:space="preserve">宣传式教育</w:t>
      </w:r>
      <w:r>
        <w:t xml:space="preserve">”</w:t>
      </w:r>
      <w:r>
        <w:t xml:space="preserve">的教学效果要好于传统的</w:t>
      </w:r>
      <w:r>
        <w:t xml:space="preserve">“</w:t>
      </w:r>
      <w:r>
        <w:t xml:space="preserve">教育式宣传</w:t>
      </w:r>
      <w:r>
        <w:t xml:space="preserve">”</w:t>
      </w:r>
      <w:r>
        <w:t xml:space="preserve">类型的</w:t>
      </w:r>
      <w:r>
        <w:t xml:space="preserve">“</w:t>
      </w:r>
      <w:r>
        <w:t xml:space="preserve">思政课程</w:t>
      </w:r>
      <w:r>
        <w:t xml:space="preserve">”</w:t>
      </w:r>
      <w:r>
        <w:t xml:space="preserve">。</w:t>
      </w:r>
    </w:p>
    <w:p>
      <w:pPr>
        <w:pStyle w:val="Abstract"/>
      </w:pPr>
      <w:r>
        <w:rPr>
          <w:bCs/>
          <w:b/>
        </w:rPr>
        <w:t xml:space="preserve">关键词</w:t>
      </w:r>
      <w:r>
        <w:t xml:space="preserve">：政治宣传；析因实验；信号机制；国家能力。</w:t>
      </w:r>
    </w:p>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 w:id="22">
    <w:p>
      <w:pPr>
        <w:pStyle w:val="aa"/>
      </w:pPr>
      <w:r>
        <w:rPr>
          <w:rStyle w:val="ad"/>
        </w:rPr>
        <w:footnoteRef/>
      </w:r>
      <w:r>
        <w:t xml:space="preserve"> </w:t>
      </w:r>
      <w:r>
        <w:t xml:space="preserve">教育部职业技术教育中心研究所助理研究员，联系电话：15001918603，邮箱：</w:t>
      </w:r>
      <w:hyperlink r:id="rId23">
        <w:r>
          <w:rPr>
            <w:rStyle w:val="ae"/>
          </w:rPr>
          <w:t xml:space="preserve">tangni510@163.com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1" Target="mailto:sunyf20@mails.tsinghua.edu.cn" TargetMode="External" /><Relationship Type="http://schemas.openxmlformats.org/officeDocument/2006/relationships/hyperlink" Id="rId23" Target="mailto:tangni510@163.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sunyf20@mails.tsinghua.edu.cn" TargetMode="External" /><Relationship Type="http://schemas.openxmlformats.org/officeDocument/2006/relationships/hyperlink" Id="rId23" Target="mailto:tangni510@163.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教育式宣传与宣传式教育：政治宣传效果的整合性框架</dc:title>
  <dc:creator>孙宇飞; 汤霓</dc:creator>
  <cp:keywords/>
  <dcterms:created xsi:type="dcterms:W3CDTF">2021-07-31T13:39:41Z</dcterms:created>
  <dcterms:modified xsi:type="dcterms:W3CDTF">2021-07-31T13:39:41Z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政治宣传是政府维持统治合法性和提升公众支持的重要手段之一，现有研究从“灌输机制”和“信号机制”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硬宣传”在传递威慑信号之外，还具有一种说服的“软效应”。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课程思政”这一“宣传式教育”的教学效果要好于传统的“教育式宣传”类型的“思政课程”。关键词：政治宣传；析因实验；信号机制；国家能力。</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indent">
    <vt:lpwstr>True</vt:lpwstr>
  </property>
  <property fmtid="{D5CDD505-2E9C-101B-9397-08002B2CF9AE}" pid="13" name="knit">
    <vt:lpwstr>(function(inputFile, encoding) {rmarkdown::render(inputFile, encoding = encoding, output_format = c(“bookdown::word_document2”, “bookdown::pdf_document2”)) })</vt:lpwstr>
  </property>
  <property fmtid="{D5CDD505-2E9C-101B-9397-08002B2CF9AE}" pid="14" name="link-citations">
    <vt:lpwstr>True</vt:lpwstr>
  </property>
  <property fmtid="{D5CDD505-2E9C-101B-9397-08002B2CF9AE}" pid="15" name="output">
    <vt:lpwstr/>
  </property>
  <property fmtid="{D5CDD505-2E9C-101B-9397-08002B2CF9AE}" pid="16" name="subtitle">
    <vt:lpwstr>基于思政课教学的实验研究</vt:lpwstr>
  </property>
  <property fmtid="{D5CDD505-2E9C-101B-9397-08002B2CF9AE}" pid="17" name="toc">
    <vt:lpwstr>False</vt:lpwstr>
  </property>
</Properties>
</file>