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Quarto</w:t>
      </w:r>
      <w:r>
        <w:t xml:space="preserve"> </w:t>
      </w:r>
      <w:r>
        <w:t xml:space="preserve">Paper</w:t>
      </w:r>
      <w:r>
        <w:t xml:space="preserve"> </w:t>
      </w:r>
      <w:r>
        <w:t xml:space="preserve">Templete</w:t>
      </w:r>
    </w:p>
    <w:p>
      <w:pPr>
        <w:pStyle w:val="Author"/>
      </w:pPr>
      <w:r>
        <w:t xml:space="preserve">Yufei</w:t>
      </w:r>
      <w:r>
        <w:t xml:space="preserve"> </w:t>
      </w:r>
      <w:r>
        <w:t xml:space="preserve">Sun</w:t>
      </w:r>
    </w:p>
    <w:p>
      <w:pPr>
        <w:pStyle w:val="a7"/>
      </w:pPr>
      <w:r>
        <w:t xml:space="preserve">8/17/22</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Vestibulum</w:t>
      </w:r>
      <w:r>
        <w:t xml:space="preserve"> </w:t>
      </w:r>
      <w:r>
        <w:t xml:space="preserve">augue</w:t>
      </w:r>
      <w:r>
        <w:t xml:space="preserve"> </w:t>
      </w:r>
      <w:r>
        <w:t xml:space="preserve">turpis,</w:t>
      </w:r>
      <w:r>
        <w:t xml:space="preserve"> </w:t>
      </w:r>
      <w:r>
        <w:t xml:space="preserve">dictum</w:t>
      </w:r>
      <w:r>
        <w:t xml:space="preserve"> </w:t>
      </w:r>
      <w:r>
        <w:t xml:space="preserve">non</w:t>
      </w:r>
      <w:r>
        <w:t xml:space="preserve"> </w:t>
      </w:r>
      <w:r>
        <w:t xml:space="preserve">malesuada</w:t>
      </w:r>
      <w:r>
        <w:t xml:space="preserve"> </w:t>
      </w:r>
      <w:r>
        <w:t xml:space="preserve">a,</w:t>
      </w:r>
      <w:r>
        <w:t xml:space="preserve"> </w:t>
      </w:r>
      <w:r>
        <w:t xml:space="preserve">volutpat</w:t>
      </w:r>
      <w:r>
        <w:t xml:space="preserve"> </w:t>
      </w:r>
      <w:r>
        <w:t xml:space="preserve">eget</w:t>
      </w:r>
      <w:r>
        <w:t xml:space="preserve"> </w:t>
      </w:r>
      <w:r>
        <w:t xml:space="preserve">velit.</w:t>
      </w:r>
      <w:r>
        <w:t xml:space="preserve"> </w:t>
      </w:r>
      <w:r>
        <w:t xml:space="preserve">Nam</w:t>
      </w:r>
      <w:r>
        <w:t xml:space="preserve"> </w:t>
      </w:r>
      <w:r>
        <w:t xml:space="preserve">placerat</w:t>
      </w:r>
      <w:r>
        <w:t xml:space="preserve"> </w:t>
      </w:r>
      <w:r>
        <w:t xml:space="preserve">turpis</w:t>
      </w:r>
      <w:r>
        <w:t xml:space="preserve"> </w:t>
      </w:r>
      <w:r>
        <w:t xml:space="preserve">purus,</w:t>
      </w:r>
      <w:r>
        <w:t xml:space="preserve"> </w:t>
      </w:r>
      <w:r>
        <w:t xml:space="preserve">eu</w:t>
      </w:r>
      <w:r>
        <w:t xml:space="preserve"> </w:t>
      </w:r>
      <w:r>
        <w:t xml:space="preserve">tristique</w:t>
      </w:r>
      <w:r>
        <w:t xml:space="preserve"> </w:t>
      </w:r>
      <w:r>
        <w:t xml:space="preserve">ex</w:t>
      </w:r>
      <w:r>
        <w:t xml:space="preserve"> </w:t>
      </w:r>
      <w:r>
        <w:t xml:space="preserve">tincidunt</w:t>
      </w:r>
      <w:r>
        <w:t xml:space="preserve"> </w:t>
      </w:r>
      <w:r>
        <w:t xml:space="preserve">et.</w:t>
      </w:r>
      <w:r>
        <w:t xml:space="preserve"> </w:t>
      </w:r>
      <w:r>
        <w:t xml:space="preserve">Mauris</w:t>
      </w:r>
      <w:r>
        <w:t xml:space="preserve"> </w:t>
      </w:r>
      <w:r>
        <w:t xml:space="preserve">sed</w:t>
      </w:r>
      <w:r>
        <w:t xml:space="preserve"> </w:t>
      </w:r>
      <w:r>
        <w:t xml:space="preserve">augue</w:t>
      </w:r>
      <w:r>
        <w:t xml:space="preserve"> </w:t>
      </w:r>
      <w:r>
        <w:t xml:space="preserve">eget</w:t>
      </w:r>
      <w:r>
        <w:t xml:space="preserve"> </w:t>
      </w:r>
      <w:r>
        <w:t xml:space="preserve">turpis</w:t>
      </w:r>
      <w:r>
        <w:t xml:space="preserve"> </w:t>
      </w:r>
      <w:r>
        <w:t xml:space="preserve">ultrices</w:t>
      </w:r>
      <w:r>
        <w:t xml:space="preserve"> </w:t>
      </w:r>
      <w:r>
        <w:t xml:space="preserve">tincidunt.</w:t>
      </w:r>
      <w:r>
        <w:t xml:space="preserve"> </w:t>
      </w:r>
      <w:r>
        <w:t xml:space="preserve">Sed</w:t>
      </w:r>
      <w:r>
        <w:t xml:space="preserve"> </w:t>
      </w:r>
      <w:r>
        <w:t xml:space="preserve">et</w:t>
      </w:r>
      <w:r>
        <w:t xml:space="preserve"> </w:t>
      </w:r>
      <w:r>
        <w:t xml:space="preserve">mi</w:t>
      </w:r>
      <w:r>
        <w:t xml:space="preserve"> </w:t>
      </w:r>
      <w:r>
        <w:t xml:space="preserve">in</w:t>
      </w:r>
      <w:r>
        <w:t xml:space="preserve"> </w:t>
      </w:r>
      <w:r>
        <w:t xml:space="preserve">leo</w:t>
      </w:r>
      <w:r>
        <w:t xml:space="preserve"> </w:t>
      </w:r>
      <w:r>
        <w:t xml:space="preserve">porta</w:t>
      </w:r>
      <w:r>
        <w:t xml:space="preserve"> </w:t>
      </w:r>
      <w:r>
        <w:t xml:space="preserve">egestas.</w:t>
      </w:r>
      <w:r>
        <w:t xml:space="preserve"> </w:t>
      </w:r>
      <w:r>
        <w:t xml:space="preserve">Aliquam</w:t>
      </w:r>
      <w:r>
        <w:t xml:space="preserve"> </w:t>
      </w:r>
      <w:r>
        <w:t xml:space="preserve">non</w:t>
      </w:r>
      <w:r>
        <w:t xml:space="preserve"> </w:t>
      </w:r>
      <w:r>
        <w:t xml:space="preserve">laoreet</w:t>
      </w:r>
      <w:r>
        <w:t xml:space="preserve"> </w:t>
      </w:r>
      <w:r>
        <w:t xml:space="preserve">velit.</w:t>
      </w:r>
      <w:r>
        <w:t xml:space="preserve"> </w:t>
      </w:r>
      <w:r>
        <w:t xml:space="preserve">Nunc</w:t>
      </w:r>
      <w:r>
        <w:t xml:space="preserve"> </w:t>
      </w:r>
      <w:r>
        <w:t xml:space="preserve">quis</w:t>
      </w:r>
      <w:r>
        <w:t xml:space="preserve"> </w:t>
      </w:r>
      <w:r>
        <w:t xml:space="preserve">ex</w:t>
      </w:r>
      <w:r>
        <w:t xml:space="preserve"> </w:t>
      </w:r>
      <w:r>
        <w:t xml:space="preserve">vitae</w:t>
      </w:r>
      <w:r>
        <w:t xml:space="preserve"> </w:t>
      </w:r>
      <w:r>
        <w:t xml:space="preserve">eros</w:t>
      </w:r>
      <w:r>
        <w:t xml:space="preserve"> </w:t>
      </w:r>
      <w:r>
        <w:t xml:space="preserve">aliquet</w:t>
      </w:r>
      <w:r>
        <w:t xml:space="preserve"> </w:t>
      </w:r>
      <w:r>
        <w:t xml:space="preserve">auctor</w:t>
      </w:r>
      <w:r>
        <w:t xml:space="preserve"> </w:t>
      </w:r>
      <w:r>
        <w:t xml:space="preserve">nec</w:t>
      </w:r>
      <w:r>
        <w:t xml:space="preserve"> </w:t>
      </w:r>
      <w:r>
        <w:t xml:space="preserve">ac</w:t>
      </w:r>
      <w:r>
        <w:t xml:space="preserve"> </w:t>
      </w:r>
      <w:r>
        <w:t xml:space="preserve">libero.</w:t>
      </w:r>
      <w:r>
        <w:t xml:space="preserve"> </w:t>
      </w:r>
      <w:r>
        <w:t xml:space="preserve">Duis</w:t>
      </w:r>
      <w:r>
        <w:t xml:space="preserve"> </w:t>
      </w:r>
      <w:r>
        <w:t xml:space="preserve">laoreet</w:t>
      </w:r>
      <w:r>
        <w:t xml:space="preserve"> </w:t>
      </w:r>
      <w:r>
        <w:t xml:space="preserve">sapien</w:t>
      </w:r>
      <w:r>
        <w:t xml:space="preserve"> </w:t>
      </w:r>
      <w:r>
        <w:t xml:space="preserve">eu</w:t>
      </w:r>
      <w:r>
        <w:t xml:space="preserve"> </w:t>
      </w:r>
      <w:r>
        <w:t xml:space="preserve">mi</w:t>
      </w:r>
      <w:r>
        <w:t xml:space="preserve"> </w:t>
      </w:r>
      <w:r>
        <w:t xml:space="preserve">luctus,</w:t>
      </w:r>
      <w:r>
        <w:t xml:space="preserve"> </w:t>
      </w:r>
      <w:r>
        <w:t xml:space="preserve">in</w:t>
      </w:r>
      <w:r>
        <w:t xml:space="preserve"> </w:t>
      </w:r>
      <w:r>
        <w:t xml:space="preserve">bibendum</w:t>
      </w:r>
      <w:r>
        <w:t xml:space="preserve"> </w:t>
      </w:r>
      <w:r>
        <w:t xml:space="preserve">leo</w:t>
      </w:r>
      <w:r>
        <w:t xml:space="preserve"> </w:t>
      </w:r>
      <w:r>
        <w:t xml:space="preserve">molestie.</w:t>
      </w:r>
      <w:r>
        <w:t xml:space="preserve"> </w:t>
      </w:r>
      <w:r>
        <w:t xml:space="preserve">Sed</w:t>
      </w:r>
      <w:r>
        <w:t xml:space="preserve"> </w:t>
      </w:r>
      <w:r>
        <w:t xml:space="preserve">hendrerit</w:t>
      </w:r>
      <w:r>
        <w:t xml:space="preserve"> </w:t>
      </w:r>
      <w:r>
        <w:t xml:space="preserve">diam</w:t>
      </w:r>
      <w:r>
        <w:t xml:space="preserve"> </w:t>
      </w:r>
      <w:r>
        <w:t xml:space="preserve">diam,</w:t>
      </w:r>
      <w:r>
        <w:t xml:space="preserve"> </w:t>
      </w:r>
      <w:r>
        <w:t xml:space="preserve">ac</w:t>
      </w:r>
      <w:r>
        <w:t xml:space="preserve"> </w:t>
      </w:r>
      <w:r>
        <w:t xml:space="preserve">dapibus</w:t>
      </w:r>
      <w:r>
        <w:t xml:space="preserve"> </w:t>
      </w:r>
      <w:r>
        <w:t xml:space="preserve">nisl</w:t>
      </w:r>
      <w:r>
        <w:t xml:space="preserve"> </w:t>
      </w:r>
      <w:r>
        <w:t xml:space="preserve">volutpat</w:t>
      </w:r>
      <w:r>
        <w:t xml:space="preserve"> </w:t>
      </w:r>
      <w:r>
        <w:t xml:space="preserve">vitae.</w:t>
      </w:r>
      <w:r>
        <w:t xml:space="preserve"> </w:t>
      </w:r>
      <w:r>
        <w:t xml:space="preserve">Aliquam</w:t>
      </w:r>
      <w:r>
        <w:t xml:space="preserve"> </w:t>
      </w:r>
      <w:r>
        <w:t xml:space="preserve">bibendum</w:t>
      </w:r>
      <w:r>
        <w:t xml:space="preserve"> </w:t>
      </w:r>
      <w:r>
        <w:t xml:space="preserve">varius</w:t>
      </w:r>
      <w:r>
        <w:t xml:space="preserve"> </w:t>
      </w:r>
      <w:r>
        <w:t xml:space="preserve">libero,</w:t>
      </w:r>
      <w:r>
        <w:t xml:space="preserve"> </w:t>
      </w:r>
      <w:r>
        <w:t xml:space="preserve">eu</w:t>
      </w:r>
      <w:r>
        <w:t xml:space="preserve"> </w:t>
      </w:r>
      <w:r>
        <w:t xml:space="preserve">efficitur</w:t>
      </w:r>
      <w:r>
        <w:t xml:space="preserve"> </w:t>
      </w:r>
      <w:r>
        <w:t xml:space="preserve">justo</w:t>
      </w:r>
      <w:r>
        <w:t xml:space="preserve"> </w:t>
      </w:r>
      <w:r>
        <w:t xml:space="preserve">rutrum</w:t>
      </w:r>
      <w:r>
        <w:t xml:space="preserve"> </w:t>
      </w:r>
      <w:r>
        <w:t xml:space="preserve">at.</w:t>
      </w:r>
      <w:r>
        <w:t xml:space="preserve"> </w:t>
      </w:r>
      <w:r>
        <w:t xml:space="preserve">Sed</w:t>
      </w:r>
      <w:r>
        <w:t xml:space="preserve"> </w:t>
      </w:r>
      <w:r>
        <w:t xml:space="preserve">at</w:t>
      </w:r>
      <w:r>
        <w:t xml:space="preserve"> </w:t>
      </w:r>
      <w:r>
        <w:t xml:space="preserve">tempus</w:t>
      </w:r>
      <w:r>
        <w:t xml:space="preserve"> </w:t>
      </w:r>
      <w:r>
        <w:t xml:space="preserve">elit.</w:t>
      </w:r>
    </w:p>
    <w:p>
      <w:pPr>
        <w:pStyle w:val="FirstParagraph"/>
      </w:pPr>
      <w:r>
        <w:t xml:space="preserve">Please make sure that your manuscript follows the guidelines in the</w:t>
      </w:r>
      <w:r>
        <w:t xml:space="preserve"> </w:t>
      </w:r>
      <w:r>
        <w:t xml:space="preserve">Guide for Authors of the relevant journal. It is not necessary to</w:t>
      </w:r>
      <w:r>
        <w:t xml:space="preserve"> </w:t>
      </w:r>
      <w:r>
        <w:t xml:space="preserve">typeset your manuscript in exactly the same way as an article,</w:t>
      </w:r>
      <w:r>
        <w:t xml:space="preserve"> </w:t>
      </w:r>
      <w:r>
        <w:t xml:space="preserve">unless you are submitting to a camera-ready copy (CRC) journal.</w:t>
      </w:r>
    </w:p>
    <w:p>
      <w:pPr>
        <w:pStyle w:val="a0"/>
      </w:pPr>
      <w:r>
        <w:t xml:space="preserve">For detailed instructions regarding the elsevier article class, see</w:t>
      </w:r>
      <w:r>
        <w:t xml:space="preserve"> </w:t>
      </w:r>
      <w:hyperlink r:id="rId20">
        <w:r>
          <w:rPr>
            <w:rStyle w:val="ae"/>
          </w:rPr>
          <w:t xml:space="preserve">https://www.elsevier.com/authors/policies-and-guidelines/latex-instructions</w:t>
        </w:r>
      </w:hyperlink>
    </w:p>
    <w:bookmarkStart w:id="24" w:name="bibliography-styles"/>
    <w:p>
      <w:pPr>
        <w:pStyle w:val="1"/>
      </w:pPr>
      <w:r>
        <w:t xml:space="preserve">Bibliography styles</w:t>
      </w:r>
    </w:p>
    <w:p>
      <w:pPr>
        <w:pStyle w:val="FirstParagraph"/>
      </w:pPr>
      <w:r>
        <w:t xml:space="preserve">Here are two sample references:</w:t>
      </w:r>
      <w:r>
        <w:t xml:space="preserve"> </w:t>
      </w:r>
      <w:r>
        <w:t xml:space="preserve">Feynman and Vernon Jr. (1963)</w:t>
      </w:r>
      <w:r>
        <w:t xml:space="preserve"> </w:t>
      </w:r>
      <w:r>
        <w:t xml:space="preserve">Dirac (1953)</w:t>
      </w:r>
      <w:r>
        <w:t xml:space="preserve">.</w:t>
      </w:r>
    </w:p>
    <w:p>
      <w:pPr>
        <w:pStyle w:val="a0"/>
      </w:pPr>
      <w:r>
        <w:t xml:space="preserve">By default, natbib will be used with the</w:t>
      </w:r>
      <w:r>
        <w:t xml:space="preserve"> </w:t>
      </w:r>
      <w:r>
        <w:rPr>
          <w:rStyle w:val="VerbatimChar"/>
        </w:rPr>
        <w:t xml:space="preserve">authoryear</w:t>
      </w:r>
      <w:r>
        <w:t xml:space="preserve"> </w:t>
      </w:r>
      <w:r>
        <w:t xml:space="preserve">style, set in</w:t>
      </w:r>
      <w:r>
        <w:t xml:space="preserve"> </w:t>
      </w:r>
      <w:r>
        <w:rPr>
          <w:rStyle w:val="VerbatimChar"/>
        </w:rPr>
        <w:t xml:space="preserve">classoption</w:t>
      </w:r>
      <w:r>
        <w:t xml:space="preserve"> </w:t>
      </w:r>
      <w:r>
        <w:t xml:space="preserve">variable in YAML.</w:t>
      </w:r>
      <w:r>
        <w:t xml:space="preserve"> </w:t>
      </w:r>
      <w:r>
        <w:t xml:space="preserve">You can sets extra options with</w:t>
      </w:r>
      <w:r>
        <w:t xml:space="preserve"> </w:t>
      </w:r>
      <w:r>
        <w:rPr>
          <w:rStyle w:val="VerbatimChar"/>
        </w:rPr>
        <w:t xml:space="preserve">natbiboptions</w:t>
      </w:r>
      <w:r>
        <w:t xml:space="preserve"> </w:t>
      </w:r>
      <w:r>
        <w:t xml:space="preserve">variable in YAML header. Example</w:t>
      </w:r>
    </w:p>
    <w:p>
      <w:pPr>
        <w:pStyle w:val="SourceCode"/>
      </w:pPr>
      <w:r>
        <w:rPr>
          <w:rStyle w:val="VerbatimChar"/>
        </w:rPr>
        <w:t xml:space="preserve">natbiboptions: longnamesfirst,angle,semicolon</w:t>
      </w:r>
    </w:p>
    <w:p>
      <w:pPr>
        <w:pStyle w:val="FirstParagraph"/>
      </w:pPr>
      <w:r>
        <w:t xml:space="preserve">There are various more specific bibliography styles available at</w:t>
      </w:r>
      <w:r>
        <w:t xml:space="preserve"> </w:t>
      </w:r>
      <w:hyperlink r:id="rId21">
        <w:r>
          <w:rPr>
            <w:rStyle w:val="ae"/>
          </w:rPr>
          <w:t xml:space="preserve">https://support.stmdocs.in/wiki/index.php?title=Model-wise_bibliographic_style_files</w:t>
        </w:r>
      </w:hyperlink>
      <w:r>
        <w:t xml:space="preserve">.</w:t>
      </w:r>
      <w:r>
        <w:t xml:space="preserve"> </w:t>
      </w:r>
      <w:r>
        <w:t xml:space="preserve">To use one of these, add it in the header using, for example,</w:t>
      </w:r>
      <w:r>
        <w:t xml:space="preserve"> </w:t>
      </w:r>
      <w:r>
        <w:rPr>
          <w:rStyle w:val="VerbatimChar"/>
        </w:rPr>
        <w:t xml:space="preserve">biblio-style: model1-num-names</w:t>
      </w:r>
      <w:r>
        <w:t xml:space="preserve">.</w:t>
      </w:r>
    </w:p>
    <w:bookmarkStart w:id="23" w:name="using-csl"/>
    <w:p>
      <w:pPr>
        <w:pStyle w:val="2"/>
      </w:pPr>
      <w:r>
        <w:t xml:space="preserve">Using CSL</w:t>
      </w:r>
    </w:p>
    <w:p>
      <w:pPr>
        <w:pStyle w:val="FirstParagraph"/>
      </w:pPr>
      <w:r>
        <w:t xml:space="preserve">If</w:t>
      </w:r>
      <w:r>
        <w:t xml:space="preserve"> </w:t>
      </w:r>
      <w:r>
        <w:rPr>
          <w:rStyle w:val="VerbatimChar"/>
        </w:rPr>
        <w:t xml:space="preserve">cite-method</w:t>
      </w:r>
      <w:r>
        <w:t xml:space="preserve"> </w:t>
      </w:r>
      <w:r>
        <w:t xml:space="preserve">is set to</w:t>
      </w:r>
      <w:r>
        <w:t xml:space="preserve"> </w:t>
      </w:r>
      <w:r>
        <w:rPr>
          <w:rStyle w:val="VerbatimChar"/>
        </w:rPr>
        <w:t xml:space="preserve">citeproc</w:t>
      </w:r>
      <w:r>
        <w:t xml:space="preserve"> </w:t>
      </w:r>
      <w:r>
        <w:t xml:space="preserve">in</w:t>
      </w:r>
      <w:r>
        <w:t xml:space="preserve"> </w:t>
      </w:r>
      <w:r>
        <w:rPr>
          <w:rStyle w:val="VerbatimChar"/>
        </w:rPr>
        <w:t xml:space="preserve">elsevier_article()</w:t>
      </w:r>
      <w:r>
        <w:t xml:space="preserve">, then pandoc is used for citations instead of</w:t>
      </w:r>
      <w:r>
        <w:t xml:space="preserve"> </w:t>
      </w:r>
      <w:r>
        <w:rPr>
          <w:rStyle w:val="VerbatimChar"/>
        </w:rPr>
        <w:t xml:space="preserve">natbib</w:t>
      </w:r>
      <w:r>
        <w:t xml:space="preserve">. In this case, the</w:t>
      </w:r>
      <w:r>
        <w:t xml:space="preserve"> </w:t>
      </w:r>
      <w:r>
        <w:rPr>
          <w:rStyle w:val="VerbatimChar"/>
        </w:rPr>
        <w:t xml:space="preserve">csl</w:t>
      </w:r>
      <w:r>
        <w:t xml:space="preserve"> </w:t>
      </w:r>
      <w:r>
        <w:t xml:space="preserve">option is used to format the references. By default, this template will provide an appropriate style, but alternative</w:t>
      </w:r>
      <w:r>
        <w:t xml:space="preserve"> </w:t>
      </w:r>
      <w:r>
        <w:rPr>
          <w:rStyle w:val="VerbatimChar"/>
        </w:rPr>
        <w:t xml:space="preserve">csl</w:t>
      </w:r>
      <w:r>
        <w:t xml:space="preserve"> </w:t>
      </w:r>
      <w:r>
        <w:t xml:space="preserve">files are available from</w:t>
      </w:r>
      <w:r>
        <w:t xml:space="preserve"> </w:t>
      </w:r>
      <w:hyperlink r:id="rId22">
        <w:r>
          <w:rPr>
            <w:rStyle w:val="ae"/>
          </w:rPr>
          <w:t xml:space="preserve">https://www.zotero.org/styles?q=elsevier</w:t>
        </w:r>
      </w:hyperlink>
      <w:r>
        <w:t xml:space="preserve">. These can be downloaded</w:t>
      </w:r>
      <w:r>
        <w:t xml:space="preserve"> </w:t>
      </w:r>
      <w:r>
        <w:t xml:space="preserve">and stored locally, or the url can be used as in the example header.</w:t>
      </w:r>
    </w:p>
    <w:bookmarkEnd w:id="23"/>
    <w:bookmarkEnd w:id="24"/>
    <w:bookmarkStart w:id="25" w:name="equations"/>
    <w:p>
      <w:pPr>
        <w:pStyle w:val="1"/>
      </w:pPr>
      <w:r>
        <w:t xml:space="preserve">Equations</w:t>
      </w:r>
    </w:p>
    <w:p>
      <w:pPr>
        <w:pStyle w:val="FirstParagraph"/>
      </w:pPr>
      <w:r>
        <w:t xml:space="preserve">Here is an equation:</w:t>
      </w:r>
    </w:p>
    <w:p>
      <w:pPr>
        <w:pStyle w:val="a0"/>
      </w:pPr>
      <m:oMathPara>
        <m:oMathParaPr>
          <m:jc m:val="center"/>
        </m:oMathParaPr>
        <m:oMath>
          <m:sSub>
            <m:e>
              <m:r>
                <m:t>f</m:t>
              </m:r>
            </m:e>
            <m:sub>
              <m:r>
                <m:t>X</m:t>
              </m:r>
            </m:sub>
          </m:sSub>
          <m:d>
            <m:dPr>
              <m:begChr m:val="("/>
              <m:endChr m:val=")"/>
              <m:sepChr m:val=""/>
              <m:grow/>
            </m:dPr>
            <m:e>
              <m:r>
                <m:t>x</m:t>
              </m:r>
            </m:e>
          </m:d>
          <m:r>
            <m:rPr>
              <m:sty m:val="p"/>
            </m:rPr>
            <m:t>=</m:t>
          </m:r>
          <m:d>
            <m:dPr>
              <m:begChr m:val="("/>
              <m:endChr m:val=")"/>
              <m:sepChr m:val=""/>
              <m:grow/>
            </m:dPr>
            <m:e>
              <m:f>
                <m:fPr>
                  <m:type m:val="bar"/>
                </m:fPr>
                <m:num>
                  <m:r>
                    <m:t>α</m:t>
                  </m:r>
                </m:num>
                <m:den>
                  <m:r>
                    <m:t>β</m:t>
                  </m:r>
                </m:den>
              </m:f>
            </m:e>
          </m:d>
          <m:sSup>
            <m:e>
              <m:d>
                <m:dPr>
                  <m:begChr m:val="("/>
                  <m:endChr m:val=")"/>
                  <m:sepChr m:val=""/>
                  <m:grow/>
                </m:dPr>
                <m:e>
                  <m:f>
                    <m:fPr>
                      <m:type m:val="bar"/>
                    </m:fPr>
                    <m:num>
                      <m:r>
                        <m:t>x</m:t>
                      </m:r>
                    </m:num>
                    <m:den>
                      <m:r>
                        <m:t>β</m:t>
                      </m:r>
                    </m:den>
                  </m:f>
                </m:e>
              </m:d>
            </m:e>
            <m:sup>
              <m:r>
                <m:t>α</m:t>
              </m:r>
              <m:r>
                <m:rPr>
                  <m:sty m:val="p"/>
                </m:rPr>
                <m:t>−</m:t>
              </m:r>
              <m:r>
                <m:t>1</m:t>
              </m:r>
            </m:sup>
          </m:sSup>
          <m:sSup>
            <m:e>
              <m:r>
                <m:t>e</m:t>
              </m:r>
            </m:e>
            <m:sup>
              <m:r>
                <m:rPr>
                  <m:sty m:val="p"/>
                </m:rPr>
                <m:t>−</m:t>
              </m:r>
              <m:sSup>
                <m:e>
                  <m:d>
                    <m:dPr>
                      <m:begChr m:val="("/>
                      <m:endChr m:val=")"/>
                      <m:sepChr m:val=""/>
                      <m:grow/>
                    </m:dPr>
                    <m:e>
                      <m:f>
                        <m:fPr>
                          <m:type m:val="bar"/>
                        </m:fPr>
                        <m:num>
                          <m:r>
                            <m:t>x</m:t>
                          </m:r>
                        </m:num>
                        <m:den>
                          <m:r>
                            <m:t>β</m:t>
                          </m:r>
                        </m:den>
                      </m:f>
                    </m:e>
                  </m:d>
                </m:e>
                <m:sup>
                  <m:r>
                    <m:t>α</m:t>
                  </m:r>
                </m:sup>
              </m:sSup>
            </m:sup>
          </m:sSup>
          <m:r>
            <m:rPr>
              <m:sty m:val="p"/>
            </m:rPr>
            <m:t>;</m:t>
          </m:r>
          <m:r>
            <m:t>α</m:t>
          </m:r>
          <m:r>
            <m:rPr>
              <m:sty m:val="p"/>
            </m:rPr>
            <m:t>,</m:t>
          </m:r>
          <m:r>
            <m:t>β</m:t>
          </m:r>
          <m:r>
            <m:rPr>
              <m:sty m:val="p"/>
            </m:rPr>
            <m:t>,</m:t>
          </m:r>
          <m:r>
            <m:t>x</m:t>
          </m:r>
          <m:r>
            <m:rPr>
              <m:sty m:val="p"/>
            </m:rPr>
            <m:t>&gt;</m:t>
          </m:r>
          <m:r>
            <m:t>0</m:t>
          </m:r>
          <m:r>
            <m:rPr>
              <m:sty m:val="p"/>
            </m:rPr>
            <m:t>.</m:t>
          </m:r>
        </m:oMath>
      </m:oMathPara>
    </w:p>
    <w:p>
      <w:pPr>
        <w:pStyle w:val="FirstParagraph"/>
      </w:pPr>
      <w:r>
        <w:t xml:space="preserve">Inline equations work as well:</w:t>
      </w:r>
      <w:r>
        <w:t xml:space="preserve"> </w:t>
      </w:r>
      <m:oMath>
        <m:nary>
          <m:naryPr>
            <m:chr m:val="∑"/>
            <m:limLoc m:val="undOvr"/>
            <m:subHide m:val="0"/>
            <m:supHide m:val="0"/>
          </m:naryPr>
          <m:sub>
            <m:r>
              <m:t>i</m:t>
            </m:r>
            <m:r>
              <m:rPr>
                <m:sty m:val="p"/>
              </m:rPr>
              <m:t>=</m:t>
            </m:r>
            <m:r>
              <m:t>2</m:t>
            </m:r>
          </m:sub>
          <m:sup>
            <m:r>
              <m:rPr>
                <m:sty m:val="p"/>
              </m:rPr>
              <m:t>∞</m:t>
            </m:r>
          </m:sup>
          <m:e>
            <m:r>
              <m:rPr>
                <m:sty m:val="p"/>
              </m:rPr>
              <m:t>{</m:t>
            </m:r>
          </m:e>
        </m:nary>
        <m:sSubSup>
          <m:e>
            <m:r>
              <m:t>α</m:t>
            </m:r>
          </m:e>
          <m:sub>
            <m:r>
              <m:t>i</m:t>
            </m:r>
          </m:sub>
          <m:sup>
            <m:r>
              <m:t>β</m:t>
            </m:r>
          </m:sup>
        </m:sSubSup>
        <m:r>
          <m:rPr>
            <m:sty m:val="p"/>
          </m:rPr>
          <m:t>}</m:t>
        </m:r>
      </m:oMath>
    </w:p>
    <w:bookmarkEnd w:id="25"/>
    <w:bookmarkStart w:id="30" w:name="figures-and-tables"/>
    <w:p>
      <w:pPr>
        <w:pStyle w:val="1"/>
      </w:pPr>
      <w:r>
        <w:t xml:space="preserve">Figures and tables</w:t>
      </w:r>
    </w:p>
    <w:p>
      <w:pPr>
        <w:pStyle w:val="FirstParagraph"/>
      </w:pPr>
      <w:hyperlink w:anchor="fig-meaningless">
        <w:r>
          <w:rPr>
            <w:rStyle w:val="ae"/>
          </w:rPr>
          <w:t xml:space="preserve">Figure 1</w:t>
        </w:r>
      </w:hyperlink>
      <w:r>
        <w:t xml:space="preserve"> </w:t>
      </w:r>
      <w:r>
        <w:t xml:space="preserve">is generated using an R chunk.</w:t>
      </w:r>
    </w:p>
    <w:tbl>
      <w:tblPr>
        <w:tblStyle w:val="Table"/>
        <w:tblW w:type="pct" w:w="5000"/>
        <w:tblLook w:firstRow="0" w:lastRow="0" w:firstColumn="0" w:lastColumn="0" w:noHBand="0" w:noVBand="0" w:val="0000"/>
      </w:tblPr>
      <w:tblGrid>
        <w:gridCol w:w="7920"/>
      </w:tblGrid>
      <w:tr>
        <w:tc>
          <w:tcPr/>
          <w:bookmarkStart w:id="29" w:name="fig-meaningless"/>
          <w:p>
            <w:pPr>
              <w:pStyle w:val="Figure"/>
              <w:jc w:val="center"/>
            </w:pPr>
            <w:r>
              <w:drawing>
                <wp:inline>
                  <wp:extent cx="5943600" cy="5943600"/>
                  <wp:effectExtent b="0" l="0" r="0" t="0"/>
                  <wp:docPr descr="" title="" id="27" name="Picture"/>
                  <a:graphic>
                    <a:graphicData uri="http://schemas.openxmlformats.org/drawingml/2006/picture">
                      <pic:pic>
                        <pic:nvPicPr>
                          <pic:cNvPr descr="template_files/figure-docx/fig-meaningless-1.png" id="28"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meaningless scatterplot</w:t>
            </w:r>
          </w:p>
          <w:bookmarkEnd w:id="29"/>
        </w:tc>
      </w:tr>
    </w:tbl>
    <w:bookmarkEnd w:id="30"/>
    <w:bookmarkStart w:id="32" w:name="tables-coming-from-r"/>
    <w:p>
      <w:pPr>
        <w:pStyle w:val="1"/>
      </w:pPr>
      <w:r>
        <w:t xml:space="preserve">Tables coming from R</w:t>
      </w:r>
    </w:p>
    <w:p>
      <w:pPr>
        <w:pStyle w:val="FirstParagraph"/>
      </w:pPr>
      <w:r>
        <w:t xml:space="preserve">Tables can also be generated using R chunks, as shown in</w:t>
      </w:r>
      <w:r>
        <w:t xml:space="preserve"> </w:t>
      </w:r>
      <w:hyperlink w:anchor="tbl-simple">
        <w:r>
          <w:rPr>
            <w:rStyle w:val="ae"/>
          </w:rPr>
          <w:t xml:space="preserve">Table 1</w:t>
        </w:r>
      </w:hyperlink>
      <w:r>
        <w:t xml:space="preserve"> </w:t>
      </w:r>
      <w:r>
        <w:t xml:space="preserve">example.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(mtcars)[,</w:t>
      </w:r>
      <w:r>
        <w:rPr>
          <w:rStyle w:val="DecValTok"/>
        </w:rPr>
        <w:t xml:space="preserve">1</w:t>
      </w:r>
      <w:r>
        <w:rPr>
          <w:rStyle w:val="SpecialCharTok"/>
        </w:rPr>
        <w:t xml:space="preserve">:</w:t>
      </w:r>
      <w:r>
        <w:rPr>
          <w:rStyle w:val="DecValTok"/>
        </w:rPr>
        <w:t xml:space="preserve">4</w:t>
      </w:r>
      <w:r>
        <w:rPr>
          <w:rStyle w:val="NormalTok"/>
        </w:rPr>
        <w:t xml:space="preserve">])</w:t>
      </w:r>
    </w:p>
    <w:bookmarkStart w:id="31" w:name="tbl-simple"/>
    <w:p>
      <w:pPr>
        <w:pStyle w:val="TableCaption"/>
      </w:pPr>
      <w:r>
        <w:t xml:space="preserve">Table 1: Caption centered above table</w:t>
      </w:r>
    </w:p>
    <w:tbl>
      <w:tblPr>
        <w:tblStyle w:val="Table"/>
        <w:tblW w:type="auto" w:w="0"/>
        <w:tblLook w:firstRow="1" w:lastRow="0" w:firstColumn="0" w:lastColumn="0" w:noHBand="0" w:noVBand="0" w:val="0020"/>
        <w:tblCaption w:val="Table 1: Caption centered above table"/>
      </w:tblPr>
      <w:tblGrid>
        <w:gridCol w:w="1584"/>
        <w:gridCol w:w="1584"/>
        <w:gridCol w:w="1584"/>
        <w:gridCol w:w="1584"/>
        <w:gridCol w:w="1584"/>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r>
    </w:tbl>
    <w:bookmarkEnd w:id="31"/>
    <w:bookmarkEnd w:id="32"/>
    <w:bookmarkStart w:id="38" w:name="references"/>
    <w:p>
      <w:pPr>
        <w:pStyle w:val="1"/>
      </w:pPr>
      <w:r>
        <w:t xml:space="preserve">References</w:t>
      </w:r>
    </w:p>
    <w:bookmarkStart w:id="37" w:name="refs"/>
    <w:bookmarkStart w:id="34" w:name="ref-Dirac1953888"/>
    <w:p>
      <w:pPr>
        <w:pStyle w:val="a8"/>
      </w:pPr>
      <w:r>
        <w:t xml:space="preserve">Dirac, P. A. M. 1953.</w:t>
      </w:r>
      <w:r>
        <w:t xml:space="preserve"> </w:t>
      </w:r>
      <w:r>
        <w:t xml:space="preserve">“The</w:t>
      </w:r>
      <w:r>
        <w:t xml:space="preserve"> </w:t>
      </w:r>
      <w:r>
        <w:t xml:space="preserve">Lorentz</w:t>
      </w:r>
      <w:r>
        <w:t xml:space="preserve"> </w:t>
      </w:r>
      <w:r>
        <w:t xml:space="preserve">Transformation and Absolute Time.”</w:t>
      </w:r>
      <w:r>
        <w:t xml:space="preserve"> </w:t>
      </w:r>
      <w:r>
        <w:rPr>
          <w:iCs/>
          <w:i/>
        </w:rPr>
        <w:t xml:space="preserve">Physica</w:t>
      </w:r>
      <w:r>
        <w:t xml:space="preserve"> </w:t>
      </w:r>
      <w:r>
        <w:t xml:space="preserve">19 (1-–12): 888–96.</w:t>
      </w:r>
      <w:r>
        <w:t xml:space="preserve"> </w:t>
      </w:r>
      <w:hyperlink r:id="rId33">
        <w:r>
          <w:rPr>
            <w:rStyle w:val="ae"/>
          </w:rPr>
          <w:t xml:space="preserve">https://doi.org/10.1016/S0031-8914(53)80099-6</w:t>
        </w:r>
      </w:hyperlink>
      <w:r>
        <w:t xml:space="preserve">.</w:t>
      </w:r>
    </w:p>
    <w:bookmarkEnd w:id="34"/>
    <w:bookmarkStart w:id="36" w:name="ref-Feynman1963118"/>
    <w:p>
      <w:pPr>
        <w:pStyle w:val="a8"/>
      </w:pPr>
      <w:r>
        <w:t xml:space="preserve">Feynman, R. P, and F. L Vernon Jr. 1963.</w:t>
      </w:r>
      <w:r>
        <w:t xml:space="preserve"> </w:t>
      </w:r>
      <w:r>
        <w:t xml:space="preserve">“The Theory of a General Quantum System Interacting with a Linear Dissipative System.”</w:t>
      </w:r>
      <w:r>
        <w:t xml:space="preserve"> </w:t>
      </w:r>
      <w:r>
        <w:rPr>
          <w:iCs/>
          <w:i/>
        </w:rPr>
        <w:t xml:space="preserve">Annals of Physics</w:t>
      </w:r>
      <w:r>
        <w:t xml:space="preserve"> </w:t>
      </w:r>
      <w:r>
        <w:t xml:space="preserve">24: 118–73.</w:t>
      </w:r>
      <w:r>
        <w:t xml:space="preserve"> </w:t>
      </w:r>
      <w:hyperlink r:id="rId35">
        <w:r>
          <w:rPr>
            <w:rStyle w:val="ae"/>
          </w:rPr>
          <w:t xml:space="preserve">https://doi.org/10.1016/0003-4916(63)90068-X</w:t>
        </w:r>
      </w:hyperlink>
      <w:r>
        <w:t xml:space="preserve">.</w:t>
      </w:r>
    </w:p>
    <w:bookmarkEnd w:id="36"/>
    <w:bookmarkEnd w:id="37"/>
    <w:bookmarkEnd w:id="38"/>
    <w:sectPr w:rsidR="00903422" w:rsidSect="003501AD">
      <w:footerReference r:id="rId9" w:type="default"/>
      <w:footnotePr>
        <w:numFmt w:val="decimalEnclosedCircleChinese"/>
      </w:footnotePr>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3140CF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A02A2D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112177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3A860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9F8DA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398B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E880AD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53829D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3501A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D0CFB1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0F2301"/>
    <w:multiLevelType w:val="multilevel"/>
    <w:tmpl w:val="1F7EAC2E"/>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11">
    <w:nsid w:val="252E1555"/>
    <w:multiLevelType w:val="hybridMultilevel"/>
    <w:tmpl w:val="7276B042"/>
    <w:lvl w:ilvl="0" w:tplc="36D027F0">
      <w:start w:val="1"/>
      <w:numFmt w:val="chineseCountingThousand"/>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B18AD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3CA300DB"/>
    <w:multiLevelType w:val="multilevel"/>
    <w:tmpl w:val="A5E257F8"/>
    <w:lvl w:ilvl="0">
      <w:start w:val="1"/>
      <w:numFmt w:val="chineseCountingThousand"/>
      <w:pStyle w:val="1"/>
      <w:lvlText w:val="%1、"/>
      <w:lvlJc w:val="left"/>
      <w:pPr>
        <w:ind w:hanging="360" w:left="360"/>
      </w:pPr>
      <w:rPr>
        <w:rFonts w:hint="default"/>
      </w:rPr>
    </w:lvl>
    <w:lvl w:ilvl="1">
      <w:start w:val="1"/>
      <w:numFmt w:val="chineseCountingThousand"/>
      <w:pStyle w:val="2"/>
      <w:lvlText w:val="（%2）"/>
      <w:lvlJc w:val="left"/>
      <w:pPr>
        <w:ind w:hanging="400" w:left="400"/>
      </w:pPr>
      <w:rPr>
        <w:rFonts w:hint="default"/>
      </w:rPr>
    </w:lvl>
    <w:lvl w:ilvl="2">
      <w:start w:val="1"/>
      <w:numFmt w:val="decimal"/>
      <w:lvlText w:val="%3."/>
      <w:lvlJc w:val="left"/>
      <w:pPr>
        <w:ind w:hanging="400" w:left="40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15:restartNumberingAfterBreak="0" w:abstractNumId="14">
    <w:nsid w:val="3CD0383A"/>
    <w:multiLevelType w:val="multilevel"/>
    <w:tmpl w:val="811ED32A"/>
    <w:lvl w:ilvl="0">
      <w:start w:val="1"/>
      <w:numFmt w:val="decimal"/>
      <w:lvlText w:val="%1"/>
      <w:lvlJc w:val="left"/>
      <w:pPr>
        <w:ind w:hanging="720" w:left="72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5">
    <w:nsid w:val="664124FE"/>
    <w:multiLevelType w:val="multilevel"/>
    <w:tmpl w:val="E948F896"/>
    <w:lvl w:ilvl="0">
      <w:start w:val="1"/>
      <w:numFmt w:val="chineseCountingThousand"/>
      <w:lvlText w:val="%1、"/>
      <w:lvlJc w:val="left"/>
      <w:pPr>
        <w:ind w:hanging="360" w:left="36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6">
    <w:nsid w:val="6E0A48AD"/>
    <w:multiLevelType w:val="hybridMultilevel"/>
    <w:tmpl w:val="AAF60F6C"/>
    <w:lvl w:ilvl="0" w:tplc="2B583C18">
      <w:start w:val="1"/>
      <w:numFmt w:val="decimal"/>
      <w:pStyle w:val="3"/>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7F3C7095"/>
    <w:multiLevelType w:val="multilevel"/>
    <w:tmpl w:val="33E08568"/>
    <w:lvl w:ilvl="0">
      <w:start w:val="1"/>
      <w:numFmt w:val="chineseCountingThousand"/>
      <w:lvlText w:val="%1、"/>
      <w:lvlJc w:val="left"/>
      <w:pPr>
        <w:ind w:hanging="360" w:left="360"/>
      </w:pPr>
      <w:rPr>
        <w:rFonts w:hint="default"/>
      </w:rPr>
    </w:lvl>
    <w:lvl w:ilvl="1">
      <w:start w:val="1"/>
      <w:numFmt w:val="chineseCountingThousand"/>
      <w:lvlText w:val="（%2）"/>
      <w:lvlJc w:val="left"/>
      <w:pPr>
        <w:ind w:firstLine="0" w:left="0"/>
      </w:pPr>
      <w:rPr>
        <w:rFonts w:hint="default"/>
      </w:rPr>
    </w:lvl>
    <w:lvl w:ilvl="2">
      <w:start w:val="1"/>
      <w:numFmt w:val="decimal"/>
      <w:lvlText w:val="%3."/>
      <w:lvlJc w:val="left"/>
      <w:pPr>
        <w:ind w:firstLine="0" w:left="0"/>
      </w:pPr>
      <w:rPr>
        <w:rFonts w:hint="default"/>
      </w:rPr>
    </w:lvl>
    <w:lvl w:ilvl="3">
      <w:start w:val="1"/>
      <w:numFmt w:val="decimal"/>
      <w:lvlText w:val="（%4）"/>
      <w:lvlJc w:val="left"/>
      <w:pPr>
        <w:ind w:firstLine="0" w:left="0"/>
      </w:pPr>
      <w:rPr>
        <w:rFonts w:hint="default"/>
      </w:rPr>
    </w:lvl>
    <w:lvl w:ilvl="4">
      <w:start w:val="1"/>
      <w:numFmt w:val="lowerLetter"/>
      <w:lvlText w:val="%5."/>
      <w:lvlJc w:val="left"/>
      <w:pPr>
        <w:ind w:hanging="360" w:left="3600"/>
      </w:pPr>
      <w:rPr>
        <w:rFonts w:hint="default"/>
      </w:rPr>
    </w:lvl>
    <w:lvl w:ilvl="5">
      <w:start w:val="1"/>
      <w:numFmt w:val="lowerRoman"/>
      <w:lvlText w:val="%6."/>
      <w:lvlJc w:val="right"/>
      <w:pPr>
        <w:ind w:hanging="180" w:left="4320"/>
      </w:pPr>
      <w:rPr>
        <w:rFonts w:hint="default"/>
      </w:rPr>
    </w:lvl>
    <w:lvl w:ilvl="6">
      <w:start w:val="1"/>
      <w:numFmt w:val="decimal"/>
      <w:lvlText w:val="%7."/>
      <w:lvlJc w:val="left"/>
      <w:pPr>
        <w:ind w:hanging="360" w:left="5040"/>
      </w:pPr>
      <w:rPr>
        <w:rFonts w:hint="default"/>
      </w:rPr>
    </w:lvl>
    <w:lvl w:ilvl="7">
      <w:start w:val="1"/>
      <w:numFmt w:val="lowerLetter"/>
      <w:lvlText w:val="%8."/>
      <w:lvlJc w:val="left"/>
      <w:pPr>
        <w:ind w:hanging="360" w:left="5760"/>
      </w:pPr>
      <w:rPr>
        <w:rFonts w:hint="default"/>
      </w:rPr>
    </w:lvl>
    <w:lvl w:ilvl="8">
      <w:start w:val="1"/>
      <w:numFmt w:val="lowerRoman"/>
      <w:lvlText w:val="%9."/>
      <w:lvlJc w:val="right"/>
      <w:pPr>
        <w:ind w:hanging="180" w:left="64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29401014" w:numId="1">
    <w:abstractNumId w:val="12"/>
  </w:num>
  <w:num w16cid:durableId="1189873085" w:numId="2">
    <w:abstractNumId w:val="8"/>
  </w:num>
  <w:num w16cid:durableId="2039157652" w:numId="3">
    <w:abstractNumId w:val="3"/>
  </w:num>
  <w:num w16cid:durableId="508717552" w:numId="4">
    <w:abstractNumId w:val="2"/>
  </w:num>
  <w:num w16cid:durableId="444008450" w:numId="5">
    <w:abstractNumId w:val="1"/>
  </w:num>
  <w:num w16cid:durableId="1184176200" w:numId="6">
    <w:abstractNumId w:val="0"/>
  </w:num>
  <w:num w16cid:durableId="1009481482" w:numId="7">
    <w:abstractNumId w:val="9"/>
  </w:num>
  <w:num w16cid:durableId="182593869" w:numId="8">
    <w:abstractNumId w:val="7"/>
  </w:num>
  <w:num w16cid:durableId="252472161" w:numId="9">
    <w:abstractNumId w:val="6"/>
  </w:num>
  <w:num w16cid:durableId="1595479136" w:numId="10">
    <w:abstractNumId w:val="5"/>
  </w:num>
  <w:num w16cid:durableId="819541725" w:numId="11">
    <w:abstractNumId w:val="4"/>
  </w:num>
  <w:num w16cid:durableId="166755358" w:numId="12">
    <w:abstractNumId w:val="13"/>
  </w:num>
  <w:num w16cid:durableId="547376216" w:numId="13">
    <w:abstractNumId w:val="15"/>
  </w:num>
  <w:num w16cid:durableId="1557737490" w:numId="14">
    <w:abstractNumId w:val="14"/>
  </w:num>
  <w:num w16cid:durableId="913661287" w:numId="15">
    <w:abstractNumId w:val="10"/>
  </w:num>
  <w:num w16cid:durableId="1786000880" w:numId="16">
    <w:abstractNumId w:val="11"/>
  </w:num>
  <w:num w16cid:durableId="260335644" w:numId="17">
    <w:abstractNumId w:val="16"/>
  </w:num>
  <w:num w16cid:durableId="376512726" w:numId="18">
    <w:abstractNumId w:val="1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8"/>
  <w:embedSystemFonts/>
  <w:proofState w:grammar="clean" w:spelling="clean"/>
  <w:defaultTabStop w:val="288"/>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5A0C9D"/>
    <w:pPr>
      <w:spacing w:after="0"/>
    </w:pPr>
    <w:rPr>
      <w:rFonts w:asciiTheme="minorEastAsia" w:hAnsiTheme="minorEastAsia"/>
    </w:rPr>
  </w:style>
  <w:style w:styleId="1" w:type="paragraph">
    <w:name w:val="heading 1"/>
    <w:basedOn w:val="a"/>
    <w:next w:val="a0"/>
    <w:autoRedefine/>
    <w:uiPriority w:val="9"/>
    <w:qFormat/>
    <w:rsid w:val="00B90F50"/>
    <w:pPr>
      <w:keepNext/>
      <w:keepLines/>
      <w:numPr>
        <w:numId w:val="12"/>
      </w:numPr>
      <w:spacing w:before="480"/>
      <w:outlineLvl w:val="0"/>
    </w:pPr>
    <w:rPr>
      <w:rFonts w:asciiTheme="majorEastAsia" w:cstheme="majorBidi" w:eastAsiaTheme="majorEastAsia" w:hAnsiTheme="majorEastAsia"/>
      <w:b/>
      <w:bCs/>
      <w:sz w:val="28"/>
      <w:szCs w:val="32"/>
      <w:lang w:eastAsia="zh-CN"/>
    </w:rPr>
  </w:style>
  <w:style w:styleId="2" w:type="paragraph">
    <w:name w:val="heading 2"/>
    <w:basedOn w:val="a"/>
    <w:next w:val="a0"/>
    <w:autoRedefine/>
    <w:uiPriority w:val="9"/>
    <w:unhideWhenUsed/>
    <w:qFormat/>
    <w:rsid w:val="00B90F50"/>
    <w:pPr>
      <w:keepNext/>
      <w:keepLines/>
      <w:numPr>
        <w:ilvl w:val="1"/>
        <w:numId w:val="12"/>
      </w:numPr>
      <w:spacing w:before="200"/>
      <w:ind w:firstLine="200" w:firstLineChars="200" w:left="0"/>
      <w:outlineLvl w:val="1"/>
    </w:pPr>
    <w:rPr>
      <w:rFonts w:asciiTheme="majorEastAsia" w:cstheme="majorBidi" w:eastAsiaTheme="majorEastAsia" w:hAnsiTheme="majorEastAsia"/>
      <w:b/>
      <w:bCs/>
      <w:szCs w:val="28"/>
      <w:lang w:eastAsia="zh-CN"/>
    </w:rPr>
  </w:style>
  <w:style w:styleId="3" w:type="paragraph">
    <w:name w:val="heading 3"/>
    <w:basedOn w:val="a"/>
    <w:next w:val="a0"/>
    <w:autoRedefine/>
    <w:uiPriority w:val="9"/>
    <w:unhideWhenUsed/>
    <w:qFormat/>
    <w:rsid w:val="00AE4ACA"/>
    <w:pPr>
      <w:keepNext/>
      <w:keepLines/>
      <w:numPr>
        <w:numId w:val="17"/>
      </w:numPr>
      <w:spacing w:before="200"/>
      <w:outlineLvl w:val="2"/>
    </w:pPr>
    <w:rPr>
      <w:rFonts w:asciiTheme="majorEastAsia" w:cstheme="majorBidi" w:eastAsiaTheme="majorEastAsia" w:hAnsiTheme="majorEastAsia"/>
      <w:b/>
      <w:bCs/>
      <w:sz w:val="21"/>
    </w:rPr>
  </w:style>
  <w:style w:styleId="4" w:type="paragraph">
    <w:name w:val="heading 4"/>
    <w:basedOn w:val="a"/>
    <w:next w:val="a0"/>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autoRedefine/>
    <w:qFormat/>
    <w:rsid w:val="00D61ADC"/>
    <w:pPr>
      <w:spacing w:after="180" w:before="180"/>
      <w:ind w:firstLine="475"/>
    </w:pPr>
    <w:rPr>
      <w:rFonts w:cs="MS Gothic"/>
      <w:lang w:eastAsia="zh-CN"/>
    </w:rPr>
  </w:style>
  <w:style w:customStyle="1" w:styleId="FirstParagraph" w:type="paragraph">
    <w:name w:val="First Paragraph"/>
    <w:basedOn w:val="a0"/>
    <w:next w:val="a0"/>
    <w:qFormat/>
  </w:style>
  <w:style w:customStyle="1" w:styleId="Compact" w:type="paragraph">
    <w:name w:val="Compact"/>
    <w:basedOn w:val="a0"/>
    <w:qFormat/>
    <w:rsid w:val="005A0C9D"/>
    <w:pPr>
      <w:spacing w:after="36" w:before="36"/>
      <w:ind w:firstLine="0"/>
    </w:pPr>
  </w:style>
  <w:style w:styleId="a5" w:type="paragraph">
    <w:name w:val="Title"/>
    <w:basedOn w:val="a"/>
    <w:next w:val="a0"/>
    <w:autoRedefine/>
    <w:qFormat/>
    <w:rsid w:val="00AE4ACA"/>
    <w:pPr>
      <w:keepNext/>
      <w:keepLines/>
      <w:spacing w:after="240" w:before="480"/>
      <w:jc w:val="center"/>
    </w:pPr>
    <w:rPr>
      <w:rFonts w:asciiTheme="majorEastAsia" w:cstheme="majorBidi" w:eastAsiaTheme="majorEastAsia" w:hAnsiTheme="majorEastAsia"/>
      <w:b/>
      <w:bCs/>
      <w:sz w:val="32"/>
      <w:szCs w:val="36"/>
    </w:rPr>
  </w:style>
  <w:style w:styleId="a6" w:type="paragraph">
    <w:name w:val="Subtitle"/>
    <w:basedOn w:val="a5"/>
    <w:next w:val="a0"/>
    <w:qFormat/>
    <w:rsid w:val="00AE4ACA"/>
    <w:pPr>
      <w:spacing w:before="240"/>
    </w:pPr>
    <w:rPr>
      <w:sz w:val="28"/>
      <w:szCs w:val="30"/>
    </w:rPr>
  </w:style>
  <w:style w:customStyle="1" w:styleId="Author" w:type="paragraph">
    <w:name w:val="Author"/>
    <w:next w:val="a0"/>
    <w:autoRedefine/>
    <w:qFormat/>
    <w:rsid w:val="00AE4ACA"/>
    <w:pPr>
      <w:keepNext/>
      <w:keepLines/>
      <w:jc w:val="center"/>
    </w:pPr>
    <w:rPr>
      <w:rFonts w:asciiTheme="majorEastAsia" w:hAnsiTheme="majorEastAsia"/>
      <w:sz w:val="21"/>
    </w:r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autoRedefine/>
    <w:uiPriority w:val="9"/>
    <w:unhideWhenUsed/>
    <w:qFormat/>
    <w:rsid w:val="001463CD"/>
    <w:rPr>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autoRedefine/>
    <w:rsid w:val="00147881"/>
    <w:pPr>
      <w:keepNext/>
      <w:jc w:val="center"/>
    </w:pPr>
  </w:style>
  <w:style w:customStyle="1" w:styleId="ImageCaption" w:type="paragraph">
    <w:name w:val="Image Caption"/>
    <w:basedOn w:val="ab"/>
    <w:autoRedefine/>
    <w:rsid w:val="00147881"/>
    <w:pPr>
      <w:jc w:val="center"/>
    </w:pPr>
  </w:style>
  <w:style w:customStyle="1" w:styleId="Figure" w:type="paragraph">
    <w:name w:val="Figure"/>
    <w:basedOn w:val="a"/>
  </w:style>
  <w:style w:customStyle="1" w:styleId="CaptionedFigure" w:type="paragraph">
    <w:name w:val="Captioned Figure"/>
    <w:basedOn w:val="Figure"/>
    <w:autoRedefine/>
    <w:rsid w:val="008460C9"/>
    <w:pPr>
      <w:keepNext/>
      <w:jc w:val="center"/>
    </w:pPr>
  </w:style>
  <w:style w:customStyle="1" w:styleId="ac" w:type="character">
    <w:name w:val="题注 字符"/>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sid w:val="00A3445E"/>
    <w:rPr>
      <w:color w:val="auto"/>
    </w:rPr>
  </w:style>
  <w:style w:styleId="TOC" w:type="paragraph">
    <w:name w:val="TOC Heading"/>
    <w:basedOn w:val="1"/>
    <w:next w:val="a0"/>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af" w:type="paragraph">
    <w:name w:val="header"/>
    <w:basedOn w:val="a"/>
    <w:link w:val="af0"/>
    <w:unhideWhenUsed/>
    <w:rsid w:val="005A0C9D"/>
    <w:pPr>
      <w:tabs>
        <w:tab w:pos="4320" w:val="center"/>
        <w:tab w:pos="8640" w:val="right"/>
      </w:tabs>
    </w:pPr>
  </w:style>
  <w:style w:customStyle="1" w:styleId="af0" w:type="character">
    <w:name w:val="页眉 字符"/>
    <w:basedOn w:val="a1"/>
    <w:link w:val="af"/>
    <w:rsid w:val="005A0C9D"/>
  </w:style>
  <w:style w:styleId="af1" w:type="paragraph">
    <w:name w:val="footer"/>
    <w:basedOn w:val="a"/>
    <w:link w:val="af2"/>
    <w:uiPriority w:val="99"/>
    <w:unhideWhenUsed/>
    <w:rsid w:val="005A0C9D"/>
    <w:pPr>
      <w:tabs>
        <w:tab w:pos="4320" w:val="center"/>
        <w:tab w:pos="8640" w:val="right"/>
      </w:tabs>
    </w:pPr>
  </w:style>
  <w:style w:customStyle="1" w:styleId="af2" w:type="character">
    <w:name w:val="页脚 字符"/>
    <w:basedOn w:val="a1"/>
    <w:link w:val="af1"/>
    <w:uiPriority w:val="99"/>
    <w:rsid w:val="005A0C9D"/>
  </w:style>
  <w:style w:customStyle="1" w:styleId="a4" w:type="character">
    <w:name w:val="正文文本 字符"/>
    <w:basedOn w:val="a1"/>
    <w:link w:val="a0"/>
    <w:rsid w:val="00D61ADC"/>
    <w:rPr>
      <w:rFonts w:asciiTheme="minorEastAsia" w:cs="MS Gothic" w:eastAsiaTheme="minorEastAsia" w:hAnsi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35" Target="https://doi.org/10.1016/0003-4916(63)90068-X" TargetMode="External" /><Relationship Type="http://schemas.openxmlformats.org/officeDocument/2006/relationships/hyperlink" Id="rId33" Target="https://doi.org/10.1016/S0031-8914(53)80099-6" TargetMode="External" /><Relationship Type="http://schemas.openxmlformats.org/officeDocument/2006/relationships/hyperlink" Id="rId21" Target="https://support.stmdocs.in/wiki/index.php?title=Model-wise_bibliographic_style_files" TargetMode="External" /><Relationship Type="http://schemas.openxmlformats.org/officeDocument/2006/relationships/hyperlink" Id="rId20" Target="https://www.elsevier.com/authors/policies-and-guidelines/latex-instructions" TargetMode="External" /><Relationship Type="http://schemas.openxmlformats.org/officeDocument/2006/relationships/hyperlink" Id="rId22" Target="https://www.zotero.org/styles?q=elsevier" TargetMode="External" /></Relationships>
</file>

<file path=word/_rels/footnotes.xml.rels><?xml version="1.0" encoding="UTF-8"?><Relationships xmlns="http://schemas.openxmlformats.org/package/2006/relationships"><Relationship Type="http://schemas.openxmlformats.org/officeDocument/2006/relationships/hyperlink" Id="rId35" Target="https://doi.org/10.1016/0003-4916(63)90068-X" TargetMode="External" /><Relationship Type="http://schemas.openxmlformats.org/officeDocument/2006/relationships/hyperlink" Id="rId33" Target="https://doi.org/10.1016/S0031-8914(53)80099-6" TargetMode="External" /><Relationship Type="http://schemas.openxmlformats.org/officeDocument/2006/relationships/hyperlink" Id="rId21" Target="https://support.stmdocs.in/wiki/index.php?title=Model-wise_bibliographic_style_files" TargetMode="External" /><Relationship Type="http://schemas.openxmlformats.org/officeDocument/2006/relationships/hyperlink" Id="rId20" Target="https://www.elsevier.com/authors/policies-and-guidelines/latex-instructions" TargetMode="External" /><Relationship Type="http://schemas.openxmlformats.org/officeDocument/2006/relationships/hyperlink" Id="rId22" Target="https://www.zotero.org/styles?q=elsev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Paper Templete</dc:title>
  <dc:creator>Yufei Sun</dc:creator>
  <cp:keywords>keyword1, keyword2</cp:keywords>
  <dcterms:created xsi:type="dcterms:W3CDTF">2022-08-17T03:58:20Z</dcterms:created>
  <dcterms:modified xsi:type="dcterms:W3CDTF">2022-08-17T03:58:20Z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Lorem ipsum dolor sit amet, consectetur adipiscing elit. Vestibulum augue turpis, dictum non malesuada a, volutpat eget velit. Nam placerat turpis purus, eu tristique ex tincidunt et. Mauris sed augue eget turpis ultrices tincidunt. Sed et mi in leo porta egestas. Aliquam non laoreet velit. Nunc quis ex vitae eros aliquet auctor nec ac libero. Duis laoreet sapien eu mi luctus, in bibendum leo molestie. Sed hendrerit diam diam, ac dapibus nisl volutpat vitae. Aliquam bibendum varius libero, eu efficitur justo rutrum at. Sed at tempus elit.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8/17/22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