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报告三持续学习启发的近似遗忘ssd-与模型分层"/>
    <w:p>
      <w:pPr>
        <w:pStyle w:val="Heading1"/>
      </w:pPr>
      <w:r>
        <w:t xml:space="preserve">报告三｜持续学习启发的近似遗忘：SSD 与模型分层</w:t>
      </w:r>
    </w:p>
    <w:p>
      <w:pPr>
        <w:pStyle w:val="FirstParagraph"/>
      </w:pPr>
      <w:r>
        <w:rPr>
          <w:b/>
          <w:bCs/>
        </w:rPr>
        <w:t xml:space="preserve">代表论文：Fast Machine Unlearning without Retraining through Selective Synaptic Dampening。</w:t>
      </w:r>
      <w:r>
        <w:t xml:space="preserve"> </w:t>
      </w:r>
      <w:r>
        <w:t xml:space="preserve">Jack Foster、Stefan Schoepf、Alexandra Brintrup，AAAI 2024，38(11)：12043–12051。</w:t>
      </w:r>
    </w:p>
    <w:p>
      <w:pPr>
        <w:pStyle w:val="BodyText"/>
      </w:pPr>
      <w:hyperlink r:id="rId20">
        <w:r>
          <w:rPr>
            <w:rStyle w:val="Hyperlink"/>
          </w:rPr>
          <w:t xml:space="preserve">论文入口</w:t>
        </w:r>
      </w:hyperlink>
      <w:r>
        <w:t xml:space="preserve">　</w:t>
      </w:r>
      <w:hyperlink r:id="rId21">
        <w:r>
          <w:rPr>
            <w:rStyle w:val="Hyperlink"/>
          </w:rPr>
          <w:t xml:space="preserve">正式发表 DOI</w:t>
        </w:r>
      </w:hyperlink>
      <w:r>
        <w:t xml:space="preserve">　</w:t>
      </w:r>
      <w:hyperlink r:id="rId22">
        <w:r>
          <w:rPr>
            <w:rStyle w:val="Hyperlink"/>
          </w:rPr>
          <w:t xml:space="preserve">作者代码</w:t>
        </w:r>
      </w:hyperlink>
    </w:p>
    <w:p>
      <w:pPr>
        <w:pStyle w:val="BodyText"/>
      </w:pPr>
      <w:r>
        <w:rPr>
          <w:b/>
          <w:bCs/>
        </w:rPr>
        <w:t xml:space="preserve">一句话：借用持续学习中“判断哪些参数重要”的思路，找出特别依赖删除数据的参数，再选择性削弱它们。</w:t>
      </w:r>
    </w:p>
    <w:bookmarkStart w:id="23" w:name="为什么选它作为第三条路线"/>
    <w:p>
      <w:pPr>
        <w:pStyle w:val="Heading2"/>
      </w:pPr>
      <w:r>
        <w:t xml:space="preserve">为什么选它作为第三条路线</w:t>
      </w:r>
    </w:p>
    <w:p>
      <w:pPr>
        <w:pStyle w:val="FirstParagraph"/>
      </w:pPr>
      <w:r>
        <w:t xml:space="preserve">你的重点是 approximate unlearning、持续学习和模型分层。SSD 在参数重要性上与持续学习直接衔接；作者</w:t>
      </w:r>
      <w:r>
        <w:t xml:space="preserve"> </w:t>
      </w:r>
      <w:r>
        <w:rPr>
          <w:rStyle w:val="VerbatimChar"/>
        </w:rPr>
        <w:t xml:space="preserve">ssd.py</w:t>
      </w:r>
      <w:r>
        <w:t xml:space="preserve"> </w:t>
      </w:r>
      <w:r>
        <w:t xml:space="preserve">明确注明重要性计算改编自 Avalanche 持续学习库。它也适合讨论先改预测头、再改高层模块，而非人工逐个寻找“某个数据对应的唯一权重”。</w:t>
      </w:r>
    </w:p>
    <w:p>
      <w:pPr>
        <w:pStyle w:val="BodyText"/>
      </w:pPr>
      <w:r>
        <w:rPr>
          <w:b/>
          <w:bCs/>
        </w:rPr>
        <w:t xml:space="preserve">术语边界。</w:t>
      </w:r>
      <w:r>
        <w:t xml:space="preserve"> </w:t>
      </w:r>
      <w:r>
        <w:t xml:space="preserve">这里选择的是“持续学习启发的近似遗忘”，SSD 本身不是完整的多任务持续学习训练流程；重要性估计来自该方向，并不意味着 EWC 正则项就是 SSD 删除算法。若导师要求严格的流式持续学习任务协议，还需补充任务序列和对应基线。</w:t>
      </w:r>
    </w:p>
    <w:p>
      <w:pPr>
        <w:pStyle w:val="BodyText"/>
      </w:pPr>
      <w:r>
        <w:rPr>
          <w:b/>
          <w:bCs/>
        </w:rPr>
        <w:t xml:space="preserve">证据范围。</w:t>
      </w:r>
      <w:r>
        <w:t xml:space="preserve"> </w:t>
      </w:r>
      <w:r>
        <w:t xml:space="preserve">已读取作者 README、核心</w:t>
      </w:r>
      <w:r>
        <w:t xml:space="preserve"> </w:t>
      </w:r>
      <w:r>
        <w:rPr>
          <w:rStyle w:val="VerbatimChar"/>
        </w:rPr>
        <w:t xml:space="preserve">ssd.py</w:t>
      </w:r>
      <w:r>
        <w:t xml:space="preserve">、策略入口并固定提交。arXiv / AAAI 全文访问返回 403，未取得全文；因此本报告的公式与流程以作者代码为依据，持续学习解释和电网迁移属于独立分析，不提供未核实的原论文实验数值。</w:t>
      </w:r>
    </w:p>
    <w:p>
      <w:pPr>
        <w:pStyle w:val="BodyText"/>
      </w:pPr>
      <w:r>
        <w:t xml:space="preserve">本轮不重新训练、不修改已有 CNN 权重、不产生新的电网 Cost 结果；完成的是报告和数学教学校验。</w:t>
      </w:r>
    </w:p>
    <w:bookmarkEnd w:id="23"/>
    <w:bookmarkEnd w:id="24"/>
    <w:bookmarkStart w:id="28" w:name="持续学习的保留怎样联系到遗忘"/>
    <w:p>
      <w:pPr>
        <w:pStyle w:val="Heading1"/>
        <w:pageBreakBefore/>
      </w:pPr>
      <w:r>
        <w:t xml:space="preserve">1｜持续学习的“保留”怎样联系到“遗忘”</w:t>
      </w:r>
    </w:p>
    <w:p>
      <w:pPr>
        <w:pStyle w:val="FirstParagraph"/>
      </w:pPr>
      <w:r>
        <w:t xml:space="preserve">持续学习关心模型学新任务时如何保留旧能力。机器遗忘则要求移除指定数据影响，同时保留其余能力。两者都涉及：哪些参数承载哪些信息，修改它们会伤及多少其他任务。</w:t>
      </w:r>
    </w:p>
    <w:p>
      <w:pPr>
        <w:pStyle w:val="BodyText"/>
      </w:pPr>
      <w:r>
        <w:t xml:space="preserve">建议铺垫：</w:t>
      </w:r>
      <w:hyperlink r:id="rId25">
        <w:r>
          <w:rPr>
            <w:rStyle w:val="Hyperlink"/>
          </w:rPr>
          <w:t xml:space="preserve">Overcoming catastrophic forgetting in neural networks（EWC）</w:t>
        </w:r>
      </w:hyperlink>
      <w:r>
        <w:t xml:space="preserve">。下式是对 EWC 思路的教学表达，不是 SSD 的目标函数：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d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描述旧任务对第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个参数的敏感程度。重要参数动得越多，代价越大，所以倾向于保留。</w:t>
      </w:r>
      <m:oMath>
        <m:r>
          <m:t>β</m:t>
        </m:r>
      </m:oMath>
      <w:r>
        <w:t xml:space="preserve"> </w:t>
      </w:r>
      <w:r>
        <w:t xml:space="preserve">控制保留强度。</w:t>
      </w:r>
    </w:p>
    <w:p>
      <w:pPr>
        <w:pStyle w:val="BodyText"/>
      </w:pPr>
      <w:r>
        <w:t xml:space="preserve">SSD 借用“参数重要性”这个工具，却用它回答不同的问题：一个参数是否对删除集特别重要，相对于整个训练集又有多突出？如果突出，就考虑衰减该参数。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方法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重要性在做什么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EWC 的教学理解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保护旧任务重要参数，减少灾难性遗忘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SSD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识别偏向删除集的参数，并进行选择性衰减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本项目层分析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记录激活、输出归因、内部消融；用途不同于删除集重要性</w:t>
            </w:r>
          </w:p>
        </w:tc>
      </w:tr>
    </w:tbl>
    <w:p>
      <w:pPr>
        <w:pStyle w:val="BodyText"/>
      </w:pPr>
      <w:r>
        <w:t xml:space="preserve">一个通道对某次预测贡献大，并不表示它只记住了删除样本。Captum 归因不能直接替代 SSD 的删除集梯度统计。</w:t>
      </w:r>
    </w:p>
    <w:p>
      <w:pPr>
        <w:pStyle w:val="BodyText"/>
      </w:pPr>
      <w:r>
        <w:t xml:space="preserve">综述入口：</w:t>
      </w:r>
      <w:hyperlink r:id="rId26">
        <w:r>
          <w:rPr>
            <w:rStyle w:val="Hyperlink"/>
          </w:rPr>
          <w:t xml:space="preserve">Nguyen 等</w:t>
        </w:r>
      </w:hyperlink>
      <w:r>
        <w:t xml:space="preserve">、</w:t>
      </w:r>
      <w:hyperlink r:id="rId27">
        <w:r>
          <w:rPr>
            <w:rStyle w:val="Hyperlink"/>
          </w:rPr>
          <w:t xml:space="preserve">Jiang 等 CSUR</w:t>
        </w:r>
      </w:hyperlink>
      <w:r>
        <w:t xml:space="preserve">。两篇全文本轮未取得，本文只用公开索引建立阅读路线。</w:t>
      </w:r>
    </w:p>
    <w:bookmarkEnd w:id="28"/>
    <w:bookmarkStart w:id="29" w:name="ssd-的核心选择参数再衰减参数"/>
    <w:p>
      <w:pPr>
        <w:pStyle w:val="Heading1"/>
        <w:pageBreakBefore/>
      </w:pPr>
      <w:r>
        <w:t xml:space="preserve">2｜SSD 的核心：选择参数，再衰减参数</w:t>
      </w:r>
    </w:p>
    <w:p>
      <w:pPr>
        <w:pStyle w:val="FirstParagraph"/>
      </w:pPr>
      <w:r>
        <w:t xml:space="preserve">先用梯度平方估计参数在数据集合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上的重要性。理想的逐样本统计可写为：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|</m:t>
              </m:r>
              <m:r>
                <m:t>S</m:t>
              </m:r>
              <m: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ℓ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θ</m:t>
                              </m:r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原实现使用 batch 平均损失梯度的平方，再对 batch 求平均，区别见下一页。令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是完整训练集重要性，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是删除集重要性，</w:t>
      </w:r>
      <m:oMath>
        <m:r>
          <m:t>α</m:t>
        </m:r>
      </m:oMath>
      <w:r>
        <w:t xml:space="preserve"> </w:t>
      </w:r>
      <w:r>
        <w:t xml:space="preserve">是选择阈值。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j</m:t>
          </m:r>
          <m:r>
            <m:rPr>
              <m:sty m:val="p"/>
            </m:rPr>
            <m:t>: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&gt;</m:t>
          </m:r>
          <m:r>
            <m:t>α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这些位置对删除集“相对更突出”。作者默认 exponent=1、裁剪上界=1 时，所选参数乘上：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D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j</m:t>
                      </m:r>
                    </m:e>
                  </m:d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f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j</m:t>
                      </m:r>
                    </m:e>
                  </m:d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J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J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  <m:scr m:val="script"/>
                </m:rPr>
                <m:t>J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α</m:t>
        </m:r>
      </m:oMath>
      <w:r>
        <w:t xml:space="preserve"> </w:t>
      </w:r>
      <w:r>
        <w:t xml:space="preserve">控制选哪些参数；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控制衰减幅度，不是前一报告的 L2 正则系数。代码还提供 exponent 等设置，以上只对应所见默认策略，不混用其他 SSD 变体。</w:t>
      </w:r>
    </w:p>
    <w:p>
      <w:pPr>
        <w:pStyle w:val="BodyText"/>
      </w:pPr>
      <w:r>
        <w:t xml:space="preserve">完整集重要性可提前缓存；删除时计算删除集重要性，再做逐坐标乘法。提前缓存本身也有成本，不能将总成本写成“只访问删除集”。</w:t>
      </w:r>
    </w:p>
    <w:p>
      <w:pPr>
        <w:pStyle w:val="BodyText"/>
      </w:pPr>
      <w:r>
        <w:t xml:space="preserve">该方法不把参数更新到剩余集最优解，也不自动保证与重训分布接近。它是需要经验验证的近似删除。</w:t>
      </w:r>
    </w:p>
    <w:bookmarkEnd w:id="29"/>
    <w:bookmarkStart w:id="33" w:name="作者实现的细节会怎样影响结果"/>
    <w:p>
      <w:pPr>
        <w:pStyle w:val="Heading1"/>
        <w:pageBreakBefore/>
      </w:pPr>
      <w:r>
        <w:t xml:space="preserve">3｜作者实现的细节会怎样影响结果</w:t>
      </w:r>
    </w:p>
    <w:p>
      <w:pPr>
        <w:pStyle w:val="FirstParagraph"/>
      </w:pPr>
      <w:r>
        <w:t xml:space="preserve">固定提交：</w:t>
      </w:r>
      <w:r>
        <w:rPr>
          <w:rStyle w:val="VerbatimChar"/>
        </w:rPr>
        <w:t xml:space="preserve">cdfdc0e35c1908e032a6e150d882b0fa17833f85</w:t>
      </w:r>
      <w:r>
        <w:t xml:space="preserve">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作者代码位置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实际行为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hyperlink r:id="rId30">
              <w:r>
                <w:rPr>
                  <w:rStyle w:val="Hyperlink"/>
                </w:rPr>
                <w:t xml:space="preserve">ssd.py：calc_importance</w:t>
              </w:r>
            </w:hyperlink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CrossEntropyLoss；每个 batch 反传后累积 p.grad²，再除以 batch 数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hyperlink r:id="rId31">
              <w:r>
                <w:rPr>
                  <w:rStyle w:val="Hyperlink"/>
                </w:rPr>
                <w:t xml:space="preserve">ssd.py：modify_weight</w:t>
              </w:r>
            </w:hyperlink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按删除 / 全集重要性比较，选择位置并乘衰减系数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hyperlink r:id="rId32">
              <w:r>
                <w:rPr>
                  <w:rStyle w:val="Hyperlink"/>
                </w:rPr>
                <w:t xml:space="preserve">forget_random_strategies.py：ssd_tuning</w:t>
              </w:r>
            </w:hyperlink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model.eval()；依次统计删除集、全集重要性并修改权重</w:t>
            </w:r>
          </w:p>
        </w:tc>
      </w:tr>
    </w:tbl>
    <w:p>
      <w:pPr>
        <w:pStyle w:val="BodyText"/>
      </w:pPr>
      <w:r>
        <w:rPr>
          <w:b/>
          <w:bCs/>
        </w:rPr>
        <w:t xml:space="preserve">最容易忽略的统计差异：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两个样本的梯度为 +1、−1 时，左边为 0，右边为 1。batch 划分、样本排列和最后一个 batch 的大小都能影响统计。若迁移时改成逐样本梯度，必须记录为估计器变化，并与原 batch 版本做对照。</w:t>
      </w:r>
    </w:p>
    <w:p>
      <w:pPr>
        <w:pStyle w:val="BodyText"/>
      </w:pPr>
      <w:r>
        <w:rPr>
          <w:b/>
          <w:bCs/>
        </w:rPr>
        <w:t xml:space="preserve">分层限制不能只看参数名字。</w:t>
      </w:r>
      <w:r>
        <w:t xml:space="preserve"> </w:t>
      </w:r>
      <w:r>
        <w:t xml:space="preserve">类初始化读取了 min_layer、max_layer 等字段，但所见 modify_weight 循环没有用这些字段过滤层。因此把两个值设置好，并不意味着实际只改指定层。迁移时应显式传入参数名白名单，并检查未开放层的哈希完全不变。</w:t>
      </w:r>
    </w:p>
    <w:p>
      <w:pPr>
        <w:pStyle w:val="BodyText"/>
      </w:pPr>
      <w:r>
        <w:t xml:space="preserve">原数据循环解包</w:t>
      </w:r>
      <w:r>
        <w:t xml:space="preserve"> </w:t>
      </w:r>
      <w:r>
        <w:rPr>
          <w:rStyle w:val="VerbatimChar"/>
        </w:rPr>
        <w:t xml:space="preserve">x, _, y</w:t>
      </w:r>
      <w:r>
        <w:t xml:space="preserve">，损失是分类交叉熵。本项目数据格式和 14 维连续目标不同，不能不经适配直接调用。报告没有执行原图像分类基准。</w:t>
      </w:r>
    </w:p>
    <w:bookmarkEnd w:id="33"/>
    <w:bookmarkStart w:id="37" w:name="用模型分层控制遗忘范围"/>
    <w:p>
      <w:pPr>
        <w:pStyle w:val="Heading1"/>
        <w:pageBreakBefore/>
      </w:pPr>
      <w:r>
        <w:t xml:space="preserve">4｜用模型分层控制遗忘范围</w:t>
      </w:r>
    </w:p>
    <w:p>
      <w:pPr>
        <w:pStyle w:val="CaptionedFigure"/>
      </w:pPr>
      <w:r>
        <w:drawing>
          <wp:inline>
            <wp:extent cx="6080760" cy="1640370"/>
            <wp:effectExtent b="0" l="0" r="0" t="0"/>
            <wp:docPr descr="持续学习启发的 SSD 与 CNN 分层方案" title="" id="35" name="Picture"/>
            <a:graphic>
              <a:graphicData uri="http://schemas.openxmlformats.org/drawingml/2006/picture">
                <pic:pic>
                  <pic:nvPicPr>
                    <pic:cNvPr descr="assets/03_ssd_layer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640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持续学习启发的 SSD 与 CNN 分层方案</w:t>
      </w:r>
    </w:p>
    <w:p>
      <w:pPr>
        <w:pStyle w:val="BodyText"/>
      </w:pPr>
      <w:r>
        <w:t xml:space="preserve">当前已有模型的可学习模块为 Conv1、Conv2、lin1 和 64→14 预测头；ReLU、Flatten、Tanh 在这里没有独立可训练权重。模型内部激活和贡献已在此前报告中分析，本轮沿用其结构记录。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329"/>
        <w:gridCol w:w="3231"/>
        <w:gridCol w:w="3231"/>
      </w:tblGrid>
      <w:tr>
        <w:trPr>
          <w:cantSplit/>
          <w:tblHeader/>
        </w:trPr>
        <w:tc>
          <w:tcPr>
            <w:tcW w:type="dxa" w:w="3329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迁移阶段</w:t>
            </w:r>
          </w:p>
        </w:tc>
        <w:tc>
          <w:tcPr>
            <w:tcW w:type="dxa" w:w="3231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开放的参数</w:t>
            </w:r>
          </w:p>
        </w:tc>
        <w:tc>
          <w:tcPr>
            <w:tcW w:type="dxa" w:w="3231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能回答什么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L0：head-only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预测头的 910 个参数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是否可与已有直接遗忘 / 重拟合 / TAMU 比较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L1：head + lin1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再开放高层特征融合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高层表示改变是否改善删除与保留折中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L2：再开放 Conv2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加入较深卷积通道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是否需要修改局部组合特征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L3：全模型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所有 20006 个参数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全网干预收益能否抵消保留能力损伤</w:t>
            </w:r>
          </w:p>
        </w:tc>
      </w:tr>
    </w:tbl>
    <w:p>
      <w:pPr>
        <w:pStyle w:val="BodyText"/>
      </w:pPr>
      <w:r>
        <w:t xml:space="preserve">这是一组待验证的分层方案，不是 SSD 原论文已经证明的推荐顺序。每层都应单独选择验证集超参数，并与相同训练范围的剩余集重训基线比较。</w:t>
      </w:r>
    </w:p>
    <w:p>
      <w:pPr>
        <w:pStyle w:val="BodyText"/>
      </w:pPr>
      <w:r>
        <w:t xml:space="preserve">单个参数会同时影响多个样本和多个节点。分层、通道或参数组更便于控制实验规模，但不能据此宣称某层独占“温度知识”或“删除样本记忆”。</w:t>
      </w:r>
    </w:p>
    <w:p>
      <w:pPr>
        <w:pStyle w:val="BodyText"/>
      </w:pPr>
      <w:r>
        <w:t xml:space="preserve">如果开放原来冻结的核心，原有 head-only 重拟合不再是匹配的重训参考。必须先定义新的训练算法，不能沿用旧标签后直接横向排名。</w:t>
      </w:r>
    </w:p>
    <w:bookmarkEnd w:id="37"/>
    <w:bookmarkStart w:id="38" w:name="从图像分类适配到负荷回归"/>
    <w:p>
      <w:pPr>
        <w:pStyle w:val="Heading1"/>
        <w:pageBreakBefore/>
      </w:pPr>
      <w:r>
        <w:t xml:space="preserve">5｜从图像分类适配到负荷回归</w:t>
      </w:r>
    </w:p>
    <w:p>
      <w:pPr>
        <w:pStyle w:val="FirstParagraph"/>
      </w:pPr>
      <w:r>
        <w:t xml:space="preserve">当前任务输出 14 个连续负荷，不使用分类交叉熵。一个清楚的迁移起点是：在现有标准化输出空间，采用与既有训练相同的 MSE，计算梯度重要性。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14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14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这是本项目适配方案。若用高斯观测模型解释 Fisher，应明确噪声方差与似然；在未推导概率模型前，应称为“梯度平方重要性”，不要直接宣称就是严格 Fisher 信息。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选择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实际影响与记录要求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标准化空间 MSE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各节点尺度按原训练协议处理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MW 空间 MSE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大负荷节点可能占更大比重；目标已改变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每样本 vs batch 统计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重要性估计不同，必须区分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完整集 vs 保留集作分母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原 SSD 使用完整集；换成保留集是变体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用 Cost 梯度选参数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属于任务感知新变体，应另列实验，不冒充原 SSD</w:t>
            </w:r>
          </w:p>
        </w:tc>
      </w:tr>
    </w:tbl>
    <w:p>
      <w:pPr>
        <w:pStyle w:val="BodyText"/>
      </w:pPr>
      <w:r>
        <w:t xml:space="preserve">第一轮建议保持原 MSE 训练约定，只改变参数选择和衰减机制，随后用固定两阶段优化独立评价 Cost。先建立一个可解释、可复算的基线，再讨论 Cost-aware 分层选择。</w:t>
      </w:r>
    </w:p>
    <w:p>
      <w:pPr>
        <w:pStyle w:val="BodyText"/>
      </w:pPr>
      <w:r>
        <w:t xml:space="preserve">数值处理也要写清：只有选中且分母为正的位置才计算比例；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的位置不选；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时按默认规则可衰减为零。若添加 epsilon 稳定项，其大小与影响必须记录。</w:t>
      </w:r>
    </w:p>
    <w:p>
      <w:pPr>
        <w:pStyle w:val="BodyText"/>
      </w:pPr>
      <w:r>
        <w:t xml:space="preserve">乘法衰减不能把原本为零的参数更新成非零，也不一定向剩余集最优解移动。这是它与 Newton 更新的重要区别。</w:t>
      </w:r>
    </w:p>
    <w:bookmarkEnd w:id="38"/>
    <w:bookmarkStart w:id="39" w:name="电网实验怎样设计才公平"/>
    <w:p>
      <w:pPr>
        <w:pStyle w:val="Heading1"/>
        <w:pageBreakBefore/>
      </w:pPr>
      <w:r>
        <w:t xml:space="preserve">6｜电网实验怎样设计才公平</w:t>
      </w:r>
    </w:p>
    <w:p>
      <w:pPr>
        <w:pStyle w:val="FirstParagraph"/>
      </w:pPr>
      <w:r>
        <w:t xml:space="preserve">固定 TX-123BT / case14、已有 CNN、删除比例 20% 和相同删除 ID。第一阶段只做 head-only SSD；参数选择使用验证集，不根据最终测试 Cost 调参。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对照方法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原始模型、no-op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基准与空删除一致性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剩余集直接重拟合头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head-only 任务的参考重训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现有直接遗忘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与影响函数路线比较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SSD-head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持续学习启发的参数重要性路线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TAMU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下游成本导向重加权对照；不自动拥有同一删除保证</w:t>
            </w:r>
          </w:p>
        </w:tc>
      </w:tr>
    </w:tbl>
    <w:p>
      <w:pPr>
        <w:pStyle w:val="BodyText"/>
      </w:pPr>
      <w:r>
        <w:t xml:space="preserve">建议初步网格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，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。这是待验证的起始设置，不是原文最优超参数；如没有参数被选中，要报告 no-op，不能当作遗忘成功。</w:t>
      </w:r>
    </w:p>
    <w:p>
      <w:pPr>
        <w:pStyle w:val="BodyText"/>
      </w:pPr>
      <w:r>
        <w:t xml:space="preserve">需要同时报告：与参考预测的差异；保留集和独立测试 MSE / MAPE；cost1 / cost2 / 总 Cost；求解状态和约束残差；被选参数比例、每层改动比例、未开放层哈希；全集重要性预计算、删除统计与更新总耗时。</w:t>
      </w:r>
    </w:p>
    <w:p>
      <w:pPr>
        <w:pStyle w:val="BodyText"/>
      </w:pPr>
      <w:r>
        <w:t xml:space="preserve">如评估成员推断，攻击应区分成员和非成员、按日期或负荷条件匹配并报告与重训的差异。单个攻击接近随机，只能说明该攻击未发现泄漏，不能替代认证。</w:t>
      </w:r>
    </w:p>
    <w:p>
      <w:pPr>
        <w:pStyle w:val="BodyText"/>
      </w:pPr>
      <w:r>
        <w:t xml:space="preserve">沿用五档温度扰动检查模型响应，并扩展多个日期、负荷区间和种子。比较成本曲线的同时保留预测误差、保留能力与遗忘接近度，不能把“对温度反应更平”直接解释为更好。</w:t>
      </w:r>
    </w:p>
    <w:p>
      <w:pPr>
        <w:pStyle w:val="BodyText"/>
      </w:pPr>
      <w:r>
        <w:t xml:space="preserve">以上均为后续实施计划，本轮未产生 SSD 电网结果。</w:t>
      </w:r>
    </w:p>
    <w:bookmarkEnd w:id="39"/>
    <w:bookmarkStart w:id="40" w:name="本轮实际教学检查规则是否按预期工作"/>
    <w:p>
      <w:pPr>
        <w:pStyle w:val="Heading1"/>
        <w:pageBreakBefore/>
      </w:pPr>
      <w:r>
        <w:t xml:space="preserve">7｜本轮实际教学检查：规则是否按预期工作</w:t>
      </w:r>
    </w:p>
    <w:p>
      <w:pPr>
        <w:pStyle w:val="FirstParagraph"/>
      </w:pPr>
      <w:r>
        <w:t xml:space="preserve">合成例子中，五个参数的原值为</w:t>
      </w:r>
      <w:r>
        <w:t xml:space="preserve"> </w:t>
      </w:r>
      <w:r>
        <w:rPr>
          <w:rStyle w:val="VerbatimChar"/>
        </w:rPr>
        <w:t xml:space="preserve">[2, −3, 0.5, 4, 7]</w:t>
      </w:r>
      <w:r>
        <w:t xml:space="preserve">；全集重要性为</w:t>
      </w:r>
      <w:r>
        <w:t xml:space="preserve"> </w:t>
      </w:r>
      <w:r>
        <w:rPr>
          <w:rStyle w:val="VerbatimChar"/>
        </w:rPr>
        <w:t xml:space="preserve">[1, 4, 0, 2, 0]</w:t>
      </w:r>
      <w:r>
        <w:t xml:space="preserve">，删除集重要性为</w:t>
      </w:r>
      <w:r>
        <w:t xml:space="preserve"> </w:t>
      </w:r>
      <w:r>
        <w:rPr>
          <w:rStyle w:val="VerbatimChar"/>
        </w:rPr>
        <w:t xml:space="preserve">[10, 1, 5, 0, 0]</w:t>
      </w:r>
      <w:r>
        <w:t xml:space="preserve">。设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2644"/>
        <w:gridCol w:w="2448"/>
        <w:gridCol w:w="2350"/>
        <w:gridCol w:w="2350"/>
      </w:tblGrid>
      <w:tr>
        <w:trPr>
          <w:cantSplit/>
          <w:tblHeader/>
        </w:trPr>
        <w:tc>
          <w:tcPr>
            <w:tcW w:type="dxa" w:w="2644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参数位置</w:t>
            </w:r>
          </w:p>
        </w:tc>
        <w:tc>
          <w:tcPr>
            <w:tcW w:type="dxa" w:w="2448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是否选中</w:t>
            </w:r>
          </w:p>
        </w:tc>
        <w:tc>
          <w:tcPr>
            <w:tcW w:type="dxa" w:w="2350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乘数</w:t>
            </w:r>
          </w:p>
        </w:tc>
        <w:tc>
          <w:tcPr>
            <w:tcW w:type="dxa" w:w="2350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更新后</w:t>
            </w:r>
          </w:p>
        </w:tc>
      </w:tr>
      <w:tr>
        <w:trPr>
          <w:cantSplit/>
        </w:trPr>
        <w:tc>
          <w:tcPr>
            <w:tcW w:type="dxa" w:w="2644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448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是</w:t>
            </w:r>
          </w:p>
        </w:tc>
        <w:tc>
          <w:tcPr>
            <w:tcW w:type="dxa" w:w="2350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>
            <w:tcW w:type="dxa" w:w="2350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2644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448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type="dxa" w:w="2350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50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−3</w:t>
            </w:r>
          </w:p>
        </w:tc>
      </w:tr>
      <w:tr>
        <w:trPr>
          <w:cantSplit/>
        </w:trPr>
        <w:tc>
          <w:tcPr>
            <w:tcW w:type="dxa" w:w="2644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448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是</w:t>
            </w:r>
          </w:p>
        </w:tc>
        <w:tc>
          <w:tcPr>
            <w:tcW w:type="dxa" w:w="2350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2350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44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2448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type="dxa" w:w="2350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50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44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2448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否，两个重要性均为零</w:t>
            </w:r>
          </w:p>
        </w:tc>
        <w:tc>
          <w:tcPr>
            <w:tcW w:type="dxa" w:w="2350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50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7</w:t>
            </w:r>
          </w:p>
        </w:tc>
      </w:tr>
    </w:tbl>
    <w:p>
      <w:pPr>
        <w:pStyle w:val="BodyText"/>
      </w:pPr>
      <w:r>
        <w:t xml:space="preserve">显式增加层白名单后，若前两个参数属于冻结核心，则它们保持</w:t>
      </w:r>
      <w:r>
        <w:t xml:space="preserve"> </w:t>
      </w:r>
      <w:r>
        <w:rPr>
          <w:rStyle w:val="VerbatimChar"/>
        </w:rPr>
        <w:t xml:space="preserve">[2,−3]</w:t>
      </w:r>
      <w:r>
        <w:t xml:space="preserve">；这检验的是分层过滤逻辑，不是原代码已有的层限制功能。</w:t>
      </w:r>
    </w:p>
    <w:p>
      <w:pPr>
        <w:pStyle w:val="BodyText"/>
      </w:pPr>
      <w:r>
        <w:t xml:space="preserve">另外两个检查：逐样本梯度</w:t>
      </w:r>
      <w:r>
        <w:t xml:space="preserve"> </w:t>
      </w:r>
      <w:r>
        <w:rPr>
          <w:rStyle w:val="VerbatimChar"/>
        </w:rPr>
        <w:t xml:space="preserve">[+1,−1]</w:t>
      </w:r>
      <w:r>
        <w:t xml:space="preserve"> </w:t>
      </w:r>
      <w:r>
        <w:t xml:space="preserve">的平均平方为 1，但 batch 平均梯度的平方为 0；EWC 二次教学问题中，重要性为</w:t>
      </w:r>
      <w:r>
        <w:t xml:space="preserve"> </w:t>
      </w:r>
      <w:r>
        <w:rPr>
          <w:rStyle w:val="VerbatimChar"/>
        </w:rPr>
        <w:t xml:space="preserve">[100,1]</w:t>
      </w:r>
      <w:r>
        <w:t xml:space="preserve"> </w:t>
      </w:r>
      <w:r>
        <w:t xml:space="preserve">时，对旧参数的保护强度不同，解约为</w:t>
      </w:r>
      <w:r>
        <w:t xml:space="preserve"> </w:t>
      </w:r>
      <w:r>
        <w:rPr>
          <w:rStyle w:val="VerbatimChar"/>
        </w:rPr>
        <w:t xml:space="preserve">[0.990099,0.5]</w:t>
      </w:r>
      <w:r>
        <w:t xml:space="preserve">。</w:t>
      </w:r>
    </w:p>
    <w:p>
      <w:pPr>
        <w:pStyle w:val="BodyText"/>
      </w:pPr>
      <w:r>
        <w:t xml:space="preserve">复算：</w:t>
      </w:r>
      <w:r>
        <w:rPr>
          <w:rStyle w:val="VerbatimChar"/>
        </w:rPr>
        <w:t xml:space="preserve">python experiments/verify_unlearning_reports.py</w:t>
      </w:r>
      <w:r>
        <w:t xml:space="preserve">。这些是对源码默认公式的独立 NumPy 实现与数学校验，不是对原 SSD 程序的端到端执行，不证明其遗忘质量，也不是原论文结果。</w:t>
      </w:r>
    </w:p>
    <w:p>
      <w:pPr>
        <w:pStyle w:val="BodyText"/>
      </w:pPr>
      <w:r>
        <w:t xml:space="preserve">全部三篇报告共 14 项教学检查通过，0 项失败；记录见</w:t>
      </w:r>
      <w:r>
        <w:t xml:space="preserve"> </w:t>
      </w:r>
      <w:r>
        <w:rPr>
          <w:rStyle w:val="VerbatimChar"/>
        </w:rPr>
        <w:t xml:space="preserve">numerical_checks.json</w:t>
      </w:r>
      <w:r>
        <w:t xml:space="preserve">。</w:t>
      </w:r>
    </w:p>
    <w:bookmarkEnd w:id="40"/>
    <w:bookmarkStart w:id="43" w:name="局限潜在创新与研究边界"/>
    <w:p>
      <w:pPr>
        <w:pStyle w:val="Heading1"/>
        <w:pageBreakBefore/>
      </w:pPr>
      <w:r>
        <w:t xml:space="preserve">8｜局限、潜在创新与研究边界</w:t>
      </w:r>
    </w:p>
    <w:p>
      <w:pPr>
        <w:pStyle w:val="FirstParagraph"/>
      </w:pPr>
      <w:r>
        <w:rPr>
          <w:b/>
          <w:bCs/>
        </w:rPr>
        <w:t xml:space="preserve">参数重要性不等于独占记忆。</w:t>
      </w:r>
      <w:r>
        <w:t xml:space="preserve"> </w:t>
      </w:r>
      <w:r>
        <w:t xml:space="preserve">同一参数可能同时服务删除集与保留集；衰减可能损伤正常负荷预测。对角统计忽略参数间相关性，对参数重标定也敏感。</w:t>
      </w:r>
    </w:p>
    <w:p>
      <w:pPr>
        <w:pStyle w:val="BodyText"/>
      </w:pPr>
      <w:r>
        <w:rPr>
          <w:b/>
          <w:bCs/>
        </w:rPr>
        <w:t xml:space="preserve">输出贡献不等于训练记忆。</w:t>
      </w:r>
      <w:r>
        <w:t xml:space="preserve"> </w:t>
      </w:r>
      <w:r>
        <w:t xml:space="preserve">一个隐藏单元对节点 4 贡献大，不等于它主要承载删除数据。已有内部消融图可以帮助定位干预后哪里改变，但不能当成删除证书。</w:t>
      </w:r>
    </w:p>
    <w:p>
      <w:pPr>
        <w:pStyle w:val="BodyText"/>
      </w:pPr>
      <w:r>
        <w:rPr>
          <w:b/>
          <w:bCs/>
        </w:rPr>
        <w:t xml:space="preserve">多次删除会改变重要性。</w:t>
      </w:r>
      <w:r>
        <w:t xml:space="preserve"> </w:t>
      </w:r>
      <w:r>
        <w:t xml:space="preserve">在旧参数上计算的完整集缓存可能逐渐失效。连续删除协议需要说明何时重新估计、何时回到重训，不能无限复用首轮统计。</w:t>
      </w:r>
    </w:p>
    <w:p>
      <w:pPr>
        <w:pStyle w:val="BodyText"/>
      </w:pPr>
      <w:r>
        <w:rPr>
          <w:b/>
          <w:bCs/>
        </w:rPr>
        <w:t xml:space="preserve">Cost 改善不保证遗忘更好。</w:t>
      </w:r>
      <w:r>
        <w:t xml:space="preserve"> </w:t>
      </w:r>
      <w:r>
        <w:t xml:space="preserve">SSD 可能降低保留能力，TAMU 可能改善经济性，但二者均需单独对照重训参考。电网中的约束活跃变化也使参数衰减与成本之间不呈简单线性关系。</w:t>
      </w:r>
    </w:p>
    <w:bookmarkStart w:id="41" w:name="可以形成的研究问题"/>
    <w:p>
      <w:pPr>
        <w:pStyle w:val="Heading2"/>
      </w:pPr>
      <w:r>
        <w:t xml:space="preserve">可以形成的研究问题</w:t>
      </w:r>
    </w:p>
    <w:p>
      <w:pPr>
        <w:pStyle w:val="FirstParagraph"/>
      </w:pPr>
      <w:r>
        <w:t xml:space="preserve">“</w:t>
      </w:r>
      <w:r>
        <w:t xml:space="preserve">在相同删除集和保留能力约束下，按层限制的梯度重要性遗忘，能否比全参数衰减更接近参考重训，并减少电网运行成本波动？</w:t>
      </w:r>
      <w:r>
        <w:t xml:space="preserve">”</w:t>
      </w:r>
    </w:p>
    <w:p>
      <w:pPr>
        <w:pStyle w:val="BodyText"/>
      </w:pPr>
      <w:r>
        <w:t xml:space="preserve">一个可能的新方向是把保留集重要性和 Cost 敏感性共同用于层或通道选择。但这是研究设想，必须与原 SSD、随机层选择、只改头和匹配重训进行消融，不能作为已有论文结论。</w:t>
      </w:r>
    </w:p>
    <w:bookmarkEnd w:id="41"/>
    <w:bookmarkStart w:id="42" w:name="当前最合理的实施顺序"/>
    <w:p>
      <w:pPr>
        <w:pStyle w:val="Heading2"/>
      </w:pPr>
      <w:r>
        <w:t xml:space="preserve">当前最合理的实施顺序</w:t>
      </w:r>
    </w:p>
    <w:p>
      <w:pPr>
        <w:pStyle w:val="FirstParagraph"/>
      </w:pPr>
      <w:r>
        <w:t xml:space="preserve">先完成 head-only SSD 与现有四模型的匹配比较；验证统计、参数白名单和独立评估均正确后，再开放 lin1 或 Conv2。若明确目标是用户隐私删除，应先处理核心和预处理对删除记录的依赖范围。</w:t>
      </w:r>
    </w:p>
    <w:bookmarkEnd w:id="42"/>
    <w:bookmarkEnd w:id="43"/>
    <w:bookmarkStart w:id="50" w:name="组会讲法结论与阅读链接"/>
    <w:p>
      <w:pPr>
        <w:pStyle w:val="Heading1"/>
        <w:pageBreakBefore/>
      </w:pPr>
      <w:r>
        <w:t xml:space="preserve">9｜组会讲法、结论与阅读链接</w:t>
      </w:r>
    </w:p>
    <w:p>
      <w:pPr>
        <w:pStyle w:val="FirstParagraph"/>
      </w:pPr>
      <w:r>
        <w:rPr>
          <w:b/>
          <w:bCs/>
        </w:rPr>
        <w:t xml:space="preserve">两分钟讲法。</w:t>
      </w:r>
      <w:r>
        <w:t xml:space="preserve"> </w:t>
      </w:r>
      <w:r>
        <w:t xml:space="preserve">持续学习为了防止模型忘掉旧任务，会估计哪些参数重要。SSD 借用这个工具，把删除集与完整集的重要性进行比较，找出对删除数据特别敏感的参数，然后乘一个不大于 1 的系数。</w:t>
      </w:r>
    </w:p>
    <w:p>
      <w:pPr>
        <w:pStyle w:val="BodyText"/>
      </w:pPr>
      <w:r>
        <w:t xml:space="preserve">对我的 CNN，可以先只开放 64→14 预测头，保留卷积核心，再逐步开放 lin1、Conv2；但每次都要有匹配的剩余集重训参考。原源码并没有自动执行字段中写出的层过滤，因此需要显式参数白名单和哈希核验。</w:t>
      </w:r>
    </w:p>
    <w:p>
      <w:pPr>
        <w:pStyle w:val="BodyText"/>
      </w:pPr>
      <w:r>
        <w:rPr>
          <w:b/>
          <w:bCs/>
        </w:rPr>
        <w:t xml:space="preserve">本篇结论。</w:t>
      </w:r>
      <w:r>
        <w:t xml:space="preserve"> </w:t>
      </w:r>
      <w:r>
        <w:t xml:space="preserve">这条路线的价值是低成本的参数选择和分层干预；局限是不能自动保证删除、保持精度或降低 Cost。应把它作为新的经验基线，通过预测、遗忘接近度和两阶段运行成本共同评价。</w:t>
      </w:r>
    </w:p>
    <w:bookmarkStart w:id="49" w:name="论文与铺垫链接"/>
    <w:p>
      <w:pPr>
        <w:pStyle w:val="Heading2"/>
      </w:pPr>
      <w:r>
        <w:t xml:space="preserve">论文与铺垫链接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Foster 等，SSD 论文入口</w:t>
        </w:r>
      </w:hyperlink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</w:rPr>
          <w:t xml:space="preserve">AAAI 正式发表页面</w:t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作者代码，固定版本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Kirkpatrick 等，EWC：Overcoming catastrophic forgetting</w:t>
        </w:r>
      </w:hyperlink>
    </w:p>
    <w:p>
      <w:pPr>
        <w:pStyle w:val="Compact"/>
        <w:numPr>
          <w:ilvl w:val="0"/>
          <w:numId w:val="1001"/>
        </w:numPr>
      </w:pPr>
      <w:hyperlink r:id="rId46">
        <w:r>
          <w:rPr>
            <w:rStyle w:val="Hyperlink"/>
          </w:rPr>
          <w:t xml:space="preserve">Avalanche 持续学习库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Nguyen 等，机器遗忘综述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Jiang 等，CSUR 综述</w:t>
        </w:r>
      </w:hyperlink>
    </w:p>
    <w:p>
      <w:pPr>
        <w:pStyle w:val="Compact"/>
        <w:numPr>
          <w:ilvl w:val="0"/>
          <w:numId w:val="1001"/>
        </w:numPr>
      </w:pPr>
      <w:hyperlink r:id="rId47">
        <w:r>
          <w:rPr>
            <w:rStyle w:val="Hyperlink"/>
          </w:rPr>
          <w:t xml:space="preserve">Shibata 等，Learning with Selective Forgetting，IJCAI 2021</w:t>
        </w:r>
      </w:hyperlink>
    </w:p>
    <w:p>
      <w:pPr>
        <w:pStyle w:val="Compact"/>
        <w:numPr>
          <w:ilvl w:val="0"/>
          <w:numId w:val="1001"/>
        </w:numPr>
      </w:pPr>
      <w:hyperlink r:id="rId48">
        <w:r>
          <w:rPr>
            <w:rStyle w:val="Hyperlink"/>
          </w:rPr>
          <w:t xml:space="preserve">Guo 等，认证删除，作为保证边界对照</w:t>
        </w:r>
      </w:hyperlink>
    </w:p>
    <w:p>
      <w:pPr>
        <w:pStyle w:val="FirstParagraph"/>
      </w:pPr>
      <w:r>
        <w:t xml:space="preserve">第 8 项是进一步研究持续学习与选择性遗忘结合的阅读入口，本轮未读全文。SSD 全文受限，本文依据作者实现；不声称完成其论文全部实证结论的复核。日期：2026-10-22（北京时间）。</w:t>
      </w:r>
    </w:p>
    <w:bookmarkEnd w:id="49"/>
    <w:bookmarkEnd w:id="50"/>
    <w:sectPr w:rsidR="00FC693F" w:rsidRPr="0006063C" w:rsidSect="00034616">
      <w:headerReference r:id="rId9" w:type="default"/>
      <w:footerReference r:id="rId10" w:type="default"/>
      <w:pgSz w:h="16838" w:w="11905"/>
      <w:pgMar w:bottom="965" w:footer="403" w:gutter="0" w:header="403" w:left="1051" w:right="1051" w:top="96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文献与方法报告 · 2026-10-22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机器遗忘文献研究  |  SISA · Influence Function · 持续学习启发的 SSD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8" w:lineRule="auto"/>
    </w:pPr>
    <w:rPr>
      <w:rFonts w:ascii="Noto Sans CJK SC" w:eastAsia="Noto Sans CJK SC" w:hAnsi="Noto Sans CJK SC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eastAsia="Noto Sans CJK SC" w:hAnsi="Noto Sans CJK SC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Noto Sans CJK SC" w:eastAsia="Noto Sans CJK SC" w:hAnsi="Noto Sans CJK SC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eastAsia="Noto Sans CJK SC" w:hAnsi="Noto Sans CJK SC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Noto Sans CJK SC" w:eastAsia="Noto Sans CJK SC" w:hAnsi="Noto Sans CJK SC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0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B5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B50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B5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Noto Sans CJK SC" w:asciiTheme="majorHAnsi" w:cstheme="majorBidi" w:eastAsia="Noto Sans CJK SC" w:eastAsiaTheme="majorEastAsia" w:hAnsi="Noto Sans CJK SC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Noto Sans CJK SC" w:asciiTheme="majorHAnsi" w:cstheme="majorBidi" w:eastAsia="Noto Sans CJK SC" w:eastAsiaTheme="majorEastAsia" w:hAnsi="Noto Sans CJK SC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Noto Sans CJK SC" w:eastAsia="Noto Sans CJK SC" w:hAnsi="Noto Sans CJK SC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Noto Sans CJK SC" w:eastAsia="Noto Sans CJK SC" w:hAnsi="Noto Sans CJK SC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eastAsia="Noto Sans CJK SC" w:hAnsi="Noto Sans CJK SC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278" w:lineRule="auto"/>
    </w:pPr>
    <w:rPr>
      <w:rFonts w:ascii="Noto Sans CJK SC" w:eastAsia="Noto Sans CJK SC" w:hAnsi="Noto Sans CJK SC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Noto Sans CJK SC" w:eastAsia="Noto Sans CJK SC" w:hAnsi="Noto Sans CJK SC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eastAsia="Noto Sans CJK SC" w:hAnsi="Noto Sans CJK SC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Noto Sans CJK SC" w:eastAsia="Noto Sans CJK SC" w:hAnsi="Noto Sans CJK SC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eastAsia="Noto Sans CJK SC" w:hAnsi="Noto Sans CJK SC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Noto Sans CJK SC" w:eastAsia="Noto Sans CJK SC" w:hAnsi="Noto Sans CJK SC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Noto Sans CJK SC" w:eastAsia="Noto Sans CJK SC" w:hAnsi="Noto Sans CJK SC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Noto Sans CJK SC" w:eastAsia="Noto Sans CJK SC" w:hAnsi="Noto Sans CJK SC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Noto Sans CJK SC" w:eastAsia="Noto Sans CJK SC" w:hAnsi="Noto Sans CJK SC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eastAsia="Noto Sans CJK SC" w:hAnsi="Noto Sans CJK SC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eastAsia="Noto Sans CJK SC" w:hAnsi="Noto Sans CJK SC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eastAsia="Noto Sans CJK SC" w:hAnsi="Noto Sans CJK SC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eastAsia="Noto Sans CJK SC" w:hAnsi="Noto Sans CJK SC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eastAsia="Noto Sans CJK SC" w:hAnsi="Noto Sans CJK SC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eastAsia="Noto Sans CJK SC" w:hAnsi="Noto Sans CJK SC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eastAsia="Noto Sans CJK SC" w:hAnsi="Noto Sans CJK SC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eastAsia="Noto Sans CJK SC" w:hAnsi="Noto Sans CJK SC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eastAsia="Noto Sans CJK SC" w:hAnsi="Noto Sans CJK SC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Noto Sans CJK SC" w:eastAsia="Noto Sans CJK SC" w:hAnsi="Noto Sans CJK SC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Noto Sans CJK SC" w:eastAsia="Noto Sans CJK SC" w:hAnsi="Noto Sans CJK SC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Noto Sans CJK SC" w:eastAsia="Noto Sans CJK SC" w:hAnsi="Noto Sans CJK SC"/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Noto Sans CJK SC" w:eastAsia="Noto Sans CJK SC" w:hAnsi="Noto Sans CJK SC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eastAsia="Noto Sans CJK SC" w:hAnsi="Noto Sans CJK SC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Noto Sans CJK SC" w:eastAsia="Noto Sans CJK SC" w:hAnsi="Noto Sans CJK SC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ascii="Noto Sans CJK SC" w:eastAsia="Noto Sans CJK SC" w:hAnsi="Noto Sans CJK SC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Noto Sans CJK SC" w:eastAsia="Noto Sans CJK SC" w:hAnsi="Noto Sans CJK SC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Noto Sans CJK SC" w:eastAsia="Noto Sans CJK SC" w:hAnsi="Noto Sans CJK SC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Noto Sans CJK SC" w:eastAsia="Noto Sans CJK SC" w:hAnsi="Noto Sans CJK SC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Noto Sans CJK SC" w:eastAsia="Noto Sans CJK SC" w:hAnsi="Noto Sans CJK SC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Noto Sans CJK SC" w:eastAsia="Noto Sans CJK SC" w:hAnsi="Noto Sans CJK SC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Noto Sans CJK SC" w:eastAsia="Noto Sans CJK SC" w:hAnsi="Noto Sans CJK SC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Noto Sans CJK SC" w:eastAsia="Noto Sans CJK SC" w:hAnsi="Noto Sans CJK SC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eastAsia="Noto Sans CJK SC" w:hAnsi="Noto Sans CJK SC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4" Type="http://schemas.openxmlformats.org/officeDocument/2006/relationships/image" Target="media/rId34.png"/><Relationship Id="rId25" Type="http://schemas.openxmlformats.org/officeDocument/2006/relationships/hyperlink" Target="https://arxiv.org/abs/1612.00796" TargetMode="External"/><Relationship Id="rId26" Type="http://schemas.openxmlformats.org/officeDocument/2006/relationships/hyperlink" Target="https://arxiv.org/abs/2209.02299" TargetMode="External"/><Relationship Id="rId20" Type="http://schemas.openxmlformats.org/officeDocument/2006/relationships/hyperlink" Target="https://arxiv.org/abs/2308.07707" TargetMode="External"/><Relationship Id="rId27" Type="http://schemas.openxmlformats.org/officeDocument/2006/relationships/hyperlink" Target="https://doi.org/10.1145/3603620" TargetMode="External"/><Relationship Id="rId21" Type="http://schemas.openxmlformats.org/officeDocument/2006/relationships/hyperlink" Target="https://doi.org/10.1609/aaai.v38i11.29092" TargetMode="External"/><Relationship Id="rId46" Type="http://schemas.openxmlformats.org/officeDocument/2006/relationships/hyperlink" Target="https://github.com/ContinualAI/avalanche" TargetMode="External"/><Relationship Id="rId22" Type="http://schemas.openxmlformats.org/officeDocument/2006/relationships/hyperlink" Target="https://github.com/if-loops/selective-synaptic-dampening" TargetMode="External"/><Relationship Id="rId32" Type="http://schemas.openxmlformats.org/officeDocument/2006/relationships/hyperlink" Target="https://github.com/if-loops/selective-synaptic-dampening/blob/cdfdc0e35c1908e032a6e150d882b0fa17833f85/src/forget_random_strategies.py#L311" TargetMode="External"/><Relationship Id="rId30" Type="http://schemas.openxmlformats.org/officeDocument/2006/relationships/hyperlink" Target="https://github.com/if-loops/selective-synaptic-dampening/blob/cdfdc0e35c1908e032a6e150d882b0fa17833f85/src/ssd.py#L160" TargetMode="External"/><Relationship Id="rId31" Type="http://schemas.openxmlformats.org/officeDocument/2006/relationships/hyperlink" Target="https://github.com/if-loops/selective-synaptic-dampening/blob/cdfdc0e35c1908e032a6e150d882b0fa17833f85/src/ssd.py#L198" TargetMode="External"/><Relationship Id="rId45" Type="http://schemas.openxmlformats.org/officeDocument/2006/relationships/hyperlink" Target="https://github.com/if-loops/selective-synaptic-dampening/tree/cdfdc0e35c1908e032a6e150d882b0fa17833f85" TargetMode="External"/><Relationship Id="rId44" Type="http://schemas.openxmlformats.org/officeDocument/2006/relationships/hyperlink" Target="https://ojs.aaai.org/index.php/AAAI/article/view/29092" TargetMode="External"/><Relationship Id="rId48" Type="http://schemas.openxmlformats.org/officeDocument/2006/relationships/hyperlink" Target="https://proceedings.mlr.press/v119/guo20c.html" TargetMode="External"/><Relationship Id="rId47" Type="http://schemas.openxmlformats.org/officeDocument/2006/relationships/hyperlink" Target="https://www.ijcai.org/proceedings/2021/137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https://arxiv.org/abs/1612.00796" TargetMode="External"/><Relationship Id="rId26" Type="http://schemas.openxmlformats.org/officeDocument/2006/relationships/hyperlink" Target="https://arxiv.org/abs/2209.02299" TargetMode="External"/><Relationship Id="rId20" Type="http://schemas.openxmlformats.org/officeDocument/2006/relationships/hyperlink" Target="https://arxiv.org/abs/2308.07707" TargetMode="External"/><Relationship Id="rId27" Type="http://schemas.openxmlformats.org/officeDocument/2006/relationships/hyperlink" Target="https://doi.org/10.1145/3603620" TargetMode="External"/><Relationship Id="rId21" Type="http://schemas.openxmlformats.org/officeDocument/2006/relationships/hyperlink" Target="https://doi.org/10.1609/aaai.v38i11.29092" TargetMode="External"/><Relationship Id="rId46" Type="http://schemas.openxmlformats.org/officeDocument/2006/relationships/hyperlink" Target="https://github.com/ContinualAI/avalanche" TargetMode="External"/><Relationship Id="rId22" Type="http://schemas.openxmlformats.org/officeDocument/2006/relationships/hyperlink" Target="https://github.com/if-loops/selective-synaptic-dampening" TargetMode="External"/><Relationship Id="rId32" Type="http://schemas.openxmlformats.org/officeDocument/2006/relationships/hyperlink" Target="https://github.com/if-loops/selective-synaptic-dampening/blob/cdfdc0e35c1908e032a6e150d882b0fa17833f85/src/forget_random_strategies.py#L311" TargetMode="External"/><Relationship Id="rId30" Type="http://schemas.openxmlformats.org/officeDocument/2006/relationships/hyperlink" Target="https://github.com/if-loops/selective-synaptic-dampening/blob/cdfdc0e35c1908e032a6e150d882b0fa17833f85/src/ssd.py#L160" TargetMode="External"/><Relationship Id="rId31" Type="http://schemas.openxmlformats.org/officeDocument/2006/relationships/hyperlink" Target="https://github.com/if-loops/selective-synaptic-dampening/blob/cdfdc0e35c1908e032a6e150d882b0fa17833f85/src/ssd.py#L198" TargetMode="External"/><Relationship Id="rId45" Type="http://schemas.openxmlformats.org/officeDocument/2006/relationships/hyperlink" Target="https://github.com/if-loops/selective-synaptic-dampening/tree/cdfdc0e35c1908e032a6e150d882b0fa17833f85" TargetMode="External"/><Relationship Id="rId44" Type="http://schemas.openxmlformats.org/officeDocument/2006/relationships/hyperlink" Target="https://ojs.aaai.org/index.php/AAAI/article/view/29092" TargetMode="External"/><Relationship Id="rId48" Type="http://schemas.openxmlformats.org/officeDocument/2006/relationships/hyperlink" Target="https://proceedings.mlr.press/v119/guo20c.html" TargetMode="External"/><Relationship Id="rId47" Type="http://schemas.openxmlformats.org/officeDocument/2006/relationships/hyperlink" Target="https://www.ijcai.org/proceedings/2021/1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报告三_Approximate遗忘_持续学习启发的SSD与模型分层</dc:title>
  <dc:creator>task_aware_machine_unlearning 项目研究材料</dc:creator>
  <cp:keywords/>
  <dcterms:created xsi:type="dcterms:W3CDTF">2026-10-22T07:05:32Z</dcterms:created>
  <dcterms:modified xsi:type="dcterms:W3CDTF">2026-10-22T07:05:32Z</dcterms:modified>
  <dc:subject>机器遗忘算法、数学推导、源码核对与电网迁移设计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