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实验报告一｜单节点温度扰动</w:t>
      </w:r>
    </w:p>
    <w:p>
      <w:r>
        <w:rPr>
          <w:rFonts w:ascii="Noto Sans CJK SC" w:hAnsi="Noto Sans CJK SC" w:eastAsia="Noto Sans CJK SC"/>
          <w:b/>
        </w:rPr>
        <w:t>CNN 单输入特征扰动—负荷预测—电网运行成本</w:t>
      </w:r>
    </w:p>
    <w:p>
      <w:r>
        <w:rPr>
          <w:rFonts w:ascii="Noto Sans CJK SC" w:hAnsi="Noto Sans CJK SC" w:eastAsia="Noto Sans CJK SC"/>
          <w:b w:val="0"/>
        </w:rPr>
        <w:t>实验类型：固定模型的数值干预与两阶段运行成本评估。整理日期：2026-10-17。本报告汇编既有实测记录，没有重新训练模型或重新生成实验结果。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5"/>
        <w:gridCol w:w="7366"/>
      </w:tblGrid>
      <w:tr>
        <w:trPr>
          <w:tblHeader w:val="true"/>
          <w:cantSplit/>
        </w:trPr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736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结果版本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analysis/cnn-temperature-response；提交 b5fd9f1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数据与系统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官方 TX-123BT 2019 合成测试系统数据；case14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固定条件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seed=42，helpful，删除20%敏感样本；TAMU 平均L1=0.1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参考样本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test index 0，源 Day 1 / Hour 1；不推断数据时区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实验规模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4模型 × 5档 = 20场景；280个逐节点预测；48次QP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文档定位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本报告只讨论单样本；多日期验证见实验报告二</w:t>
            </w:r>
          </w:p>
        </w:tc>
      </w:tr>
    </w:tbl>
    <w:p>
      <w:pPr>
        <w:spacing w:after="0"/>
      </w:pPr>
    </w:p>
    <w:p>
      <w:pPr>
        <w:pStyle w:val="Heading2"/>
      </w:pPr>
      <w:r>
        <w:t>摘要</w:t>
      </w:r>
    </w:p>
    <w:p>
      <w:r>
        <w:rPr>
          <w:rFonts w:ascii="Noto Sans CJK SC" w:hAnsi="Noto Sans CJK SC" w:eastAsia="Noto Sans CJK SC"/>
          <w:b w:val="0"/>
        </w:rPr>
        <w:t>以已有CNN为基础，仅改变输入电网节点1的温度，幅度为训练集标准差的−1、−0.5、0、+0.5、+1倍。其他输入、模型权重及该样本真实负荷不变。实验贯通了输入编码、CNN前向传播、14节点负荷预测、阶段一调度和阶段二再调度的完整路径。</w:t>
      </w:r>
    </w:p>
    <w:p>
      <w:r>
        <w:rPr>
          <w:rFonts w:ascii="Noto Sans CJK SC" w:hAnsi="Noto Sans CJK SC" w:eastAsia="Noto Sans CJK SC"/>
          <w:b w:val="0"/>
        </w:rPr>
        <w:t>在原始CNN上，+1σ使总预测负荷变化−0.827542 MW，总Cost变化−6.778363；最大输出变化为节点4的−0.278248 MW。直接遗忘与剩余样本重拟合预测头的响应近乎重叠。TAMU在+1σ方向的Cost响应幅度较小，在−1σ方向反而更大，因此不能认定它全面降低敏感性。</w:t>
      </w:r>
    </w:p>
    <w:p>
      <w:pPr>
        <w:pStyle w:val="Heading2"/>
      </w:pPr>
      <w:r>
        <w:t>本轮可支持的结论</w:t>
      </w:r>
    </w:p>
    <w:p>
      <w:pPr>
        <w:pStyle w:val="ListBullet"/>
      </w:pPr>
      <w:r>
        <w:rPr>
          <w:rFonts w:ascii="Noto Sans CJK SC" w:hAnsi="Noto Sans CJK SC" w:eastAsia="Noto Sans CJK SC"/>
        </w:rPr>
        <w:t>一个温度输入会通过CNN的隐藏表示影响多个输出节点，并进一步改变两阶段运行成本。</w:t>
      </w:r>
    </w:p>
    <w:p>
      <w:pPr>
        <w:pStyle w:val="ListBullet"/>
      </w:pPr>
      <w:r>
        <w:rPr>
          <w:rFonts w:ascii="Noto Sans CJK SC" w:hAnsi="Noto Sans CJK SC" w:eastAsia="Noto Sans CJK SC"/>
        </w:rPr>
        <w:t>绝对经济性与相对自身基准的响应幅度必须分别报告。</w:t>
      </w:r>
    </w:p>
    <w:p>
      <w:pPr>
        <w:pStyle w:val="ListBullet"/>
      </w:pPr>
      <w:r>
        <w:rPr>
          <w:rFonts w:ascii="Noto Sans CJK SC" w:hAnsi="Noto Sans CJK SC" w:eastAsia="Noto Sans CJK SC"/>
        </w:rPr>
        <w:t>单点干预不代表真实天气事件，也不构成温度对实际负荷的因果证据。</w:t>
      </w:r>
    </w:p>
    <w:p>
      <w:r>
        <w:br w:type="page"/>
      </w:r>
    </w:p>
    <w:p>
      <w:pPr>
        <w:pStyle w:val="Heading1"/>
      </w:pPr>
      <w:r>
        <w:t>1  数据、输入结构与标准化</w:t>
      </w:r>
    </w:p>
    <w:p>
      <w:r>
        <w:rPr>
          <w:rFonts w:ascii="Noto Sans CJK SC" w:hAnsi="Noto Sans CJK SC" w:eastAsia="Noto Sans CJK SC"/>
          <w:b w:val="0"/>
        </w:rPr>
        <w:t>原始CNN输入为(batch,1,14,10)，按预处理bus文件编号的数值顺序排列。140个原始编码值进入卷积网络，64维是学习到的tanh隐藏表示，不是64种物理特征。Load列是预测目标，不属于输入。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5"/>
        <w:gridCol w:w="4270"/>
        <w:gridCol w:w="3416"/>
      </w:tblGrid>
      <w:tr>
        <w:trPr>
          <w:tblHeader w:val="true"/>
          <w:cantSplit/>
        </w:trPr>
        <w:tc>
          <w:tcPr>
            <w:tcW w:type="dxa" w:w="213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节点内零基索引</w:t>
            </w:r>
          </w:p>
        </w:tc>
        <w:tc>
          <w:tcPr>
            <w:tcW w:type="dxa" w:w="4270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输入特征</w:t>
            </w:r>
          </w:p>
        </w:tc>
        <w:tc>
          <w:tcPr>
            <w:tcW w:type="dxa" w:w="341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模型所见表示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</w:t>
            </w:r>
          </w:p>
        </w:tc>
        <w:tc>
          <w:tcPr>
            <w:tcW w:type="dxa" w:w="427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星期正弦</w:t>
            </w:r>
          </w:p>
        </w:tc>
        <w:tc>
          <w:tcPr>
            <w:tcW w:type="dxa" w:w="341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周期编码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1</w:t>
            </w:r>
          </w:p>
        </w:tc>
        <w:tc>
          <w:tcPr>
            <w:tcW w:type="dxa" w:w="427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星期余弦</w:t>
            </w:r>
          </w:p>
        </w:tc>
        <w:tc>
          <w:tcPr>
            <w:tcW w:type="dxa" w:w="341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周期编码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2</w:t>
            </w:r>
          </w:p>
        </w:tc>
        <w:tc>
          <w:tcPr>
            <w:tcW w:type="dxa" w:w="427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小时正弦</w:t>
            </w:r>
          </w:p>
        </w:tc>
        <w:tc>
          <w:tcPr>
            <w:tcW w:type="dxa" w:w="341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周期编码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427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小时余弦</w:t>
            </w:r>
          </w:p>
        </w:tc>
        <w:tc>
          <w:tcPr>
            <w:tcW w:type="dxa" w:w="341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周期编码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4</w:t>
            </w:r>
          </w:p>
        </w:tc>
        <w:tc>
          <w:tcPr>
            <w:tcW w:type="dxa" w:w="427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温度 / 原单位K</w:t>
            </w:r>
          </w:p>
        </w:tc>
        <w:tc>
          <w:tcPr>
            <w:tcW w:type="dxa" w:w="341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5</w:t>
            </w:r>
          </w:p>
        </w:tc>
        <w:tc>
          <w:tcPr>
            <w:tcW w:type="dxa" w:w="427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短波辐射 / W·m⁻²</w:t>
            </w:r>
          </w:p>
        </w:tc>
        <w:tc>
          <w:tcPr>
            <w:tcW w:type="dxa" w:w="341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6</w:t>
            </w:r>
          </w:p>
        </w:tc>
        <w:tc>
          <w:tcPr>
            <w:tcW w:type="dxa" w:w="427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长波辐射 / W·m⁻²</w:t>
            </w:r>
          </w:p>
        </w:tc>
        <w:tc>
          <w:tcPr>
            <w:tcW w:type="dxa" w:w="341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7</w:t>
            </w:r>
          </w:p>
        </w:tc>
        <w:tc>
          <w:tcPr>
            <w:tcW w:type="dxa" w:w="427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纬向风速 / m·s⁻¹</w:t>
            </w:r>
          </w:p>
        </w:tc>
        <w:tc>
          <w:tcPr>
            <w:tcW w:type="dxa" w:w="341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8</w:t>
            </w:r>
          </w:p>
        </w:tc>
        <w:tc>
          <w:tcPr>
            <w:tcW w:type="dxa" w:w="427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经向风速 / m·s⁻¹</w:t>
            </w:r>
          </w:p>
        </w:tc>
        <w:tc>
          <w:tcPr>
            <w:tcW w:type="dxa" w:w="341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</w:t>
            </w:r>
          </w:p>
        </w:tc>
        <w:tc>
          <w:tcPr>
            <w:tcW w:type="dxa" w:w="427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风速 / m·s⁻¹</w:t>
            </w:r>
          </w:p>
        </w:tc>
        <w:tc>
          <w:tcPr>
            <w:tcW w:type="dxa" w:w="341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节点全年z-score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5"/>
        <w:gridCol w:w="7366"/>
      </w:tblGrid>
      <w:tr>
        <w:trPr>
          <w:tblHeader w:val="true"/>
          <w:cantSplit/>
        </w:trPr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关键核验项</w:t>
            </w:r>
          </w:p>
        </w:tc>
        <w:tc>
          <w:tcPr>
            <w:tcW w:type="dxa" w:w="736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实际值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本次温度位置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input[0,0,0,4]；140维展开零基索引4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节点对应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电网节点1 → bus_2.csv → 原TX零基索引2 / 标签3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训练/测试划分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训练7008行：全年行1752..8759；测试1752行：全年行0..1751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训练σ（ddof=0）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0.935414141938 编码单位；7.936348491 K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原全年统计（ddof=1）</w:t>
            </w:r>
          </w:p>
        </w:tc>
        <w:tc>
          <w:tcPr>
            <w:tcW w:type="dxa" w:w="73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均值291.742801955 K；标准差8.484315268 K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参考温度</w:t>
            </w:r>
          </w:p>
        </w:tc>
        <w:tc>
          <w:tcPr>
            <w:tcW w:type="dxa" w:w="73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277.344451904 K；float32编码-1.697055101395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训练σ仅由原训练段计算；原模型使用的全年归一化保持不变。选中节点8760小时原温度已与365个官方工作簿及预处理CSV逐小时核对。原项目先全年归一化再划分数据的限制仍存在。</w:t>
      </w:r>
    </w:p>
    <w:p>
      <w:r>
        <w:br w:type="page"/>
      </w:r>
    </w:p>
    <w:p>
      <w:pPr>
        <w:pStyle w:val="Heading1"/>
      </w:pPr>
      <w:r>
        <w:t>2  方法：从输入到运行成本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562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_influence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6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真实代码对应的输入—预测—运行成本路径</w:t>
      </w:r>
    </w:p>
    <w:p>
      <w:r>
        <w:rPr>
          <w:rFonts w:ascii="Noto Sans CJK SC" w:hAnsi="Noto Sans CJK SC" w:eastAsia="Noto Sans CJK SC"/>
          <w:b w:val="0"/>
        </w:rPr>
        <w:t>CNN核心为两层卷积与ReLU，展平为280维，经线性层和tanh得到64维特征；再由仿射预测头输出14维标准化负荷。目标反标准化后以p.u.进入运行优化，MW仅用于结果展示。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x_temperature(k) = x_temperature(0) + k * sigma_train</w:t>
        <w:br/>
        <w:t>k in {-1, -0.5, 0, +0.5, +1}</w:t>
        <w:br/>
        <w:t>forecast_pu = output_z * target_std + target_mean</w:t>
        <w:br/>
        <w:t>forecast_MW = forecast_pu * 100</w:t>
      </w:r>
    </w:p>
    <w:p>
      <w:pPr>
        <w:pStyle w:val="Heading2"/>
      </w:pPr>
      <w:r>
        <w:t>保留原始两阶段目标函数</w:t>
      </w:r>
    </w:p>
    <w:p>
      <w:r>
        <w:rPr>
          <w:rFonts w:ascii="Noto Sans CJK SC" w:hAnsi="Noto Sans CJK SC" w:eastAsia="Noto Sans CJK SC"/>
          <w:b w:val="0"/>
        </w:rPr>
        <w:t>阶段一：C1 = PGᵀ diag(q) PG + cᵀ PG + λ ΣLS1。阶段二：C2 = λ ΣLS2 + κ ΣLS2² + ρ ΣGS + η ΣGS²。总Cost=C1+C2。参数λ=3500、κ=1250、ρ=700、η=250。Cost沿用仓库目标函数单位，不解释为实际市场电价或美元/小时。</w:t>
      </w:r>
    </w:p>
    <w:p>
      <w:r>
        <w:rPr>
          <w:rFonts w:ascii="Noto Sans CJK SC" w:hAnsi="Noto Sans CJK SC" w:eastAsia="Noto Sans CJK SC"/>
          <w:b w:val="0"/>
        </w:rPr>
        <w:t>阶段一使用预测负荷；阶段二固定该样本真实负荷，并使用阶段一的PG。发电上下限、线路双向限额、功率平衡、LS/GS非负与参考角约束全部沿用原实现，未新增LS≤负荷或GS≤PG等约束。负预测沿用原逻辑截为0。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6696"/>
      </w:tblGrid>
      <w:tr>
        <w:trPr>
          <w:tblHeader w:val="true"/>
          <w:cantSplit/>
        </w:trPr>
        <w:tc>
          <w:tcPr>
            <w:tcW w:type="dxa" w:w="312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669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本轮使用方式</w:t>
            </w:r>
          </w:p>
        </w:tc>
      </w:tr>
      <w:tr>
        <w:trPr>
          <w:cantSplit/>
        </w:trPr>
        <w:tc>
          <w:tcPr>
            <w:tcW w:type="dxa" w:w="312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原始 CNN</w:t>
            </w:r>
          </w:p>
        </w:tc>
        <w:tc>
          <w:tcPr>
            <w:tcW w:type="dxa" w:w="6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敏感集拟合的原始预测头</w:t>
            </w:r>
          </w:p>
        </w:tc>
      </w:tr>
      <w:tr>
        <w:trPr>
          <w:cantSplit/>
        </w:trPr>
        <w:tc>
          <w:tcPr>
            <w:tcW w:type="dxa" w:w="312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直接遗忘20%</w:t>
            </w:r>
          </w:p>
        </w:tc>
        <w:tc>
          <w:tcPr>
            <w:tcW w:type="dxa" w:w="6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20% helpful直接遗忘后的预测头</w:t>
            </w:r>
          </w:p>
        </w:tc>
      </w:tr>
      <w:tr>
        <w:trPr>
          <w:cantSplit/>
        </w:trPr>
        <w:tc>
          <w:tcPr>
            <w:tcW w:type="dxa" w:w="312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剩余样本重拟合头</w:t>
            </w:r>
          </w:p>
        </w:tc>
        <w:tc>
          <w:tcPr>
            <w:tcW w:type="dxa" w:w="6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剩余3925条敏感样本上重新拟合的预测头</w:t>
            </w:r>
          </w:p>
        </w:tc>
      </w:tr>
      <w:tr>
        <w:trPr>
          <w:cantSplit/>
        </w:trPr>
        <w:tc>
          <w:tcPr>
            <w:tcW w:type="dxa" w:w="312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TAMU（L1=0.1）</w:t>
            </w:r>
          </w:p>
        </w:tc>
        <w:tc>
          <w:tcPr>
            <w:tcW w:type="dxa" w:w="6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按Cost分数、平均L1=0.1重加权恢复的预测头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四模型共享同一个冻结CNN核心。“重新训练CNN”在这里仅指原项目协议下910个仿射参数的重新拟合，不是从头训练整个卷积网络。</w:t>
      </w:r>
    </w:p>
    <w:p>
      <w:r>
        <w:br w:type="page"/>
      </w:r>
    </w:p>
    <w:p>
      <w:pPr>
        <w:pStyle w:val="Heading1"/>
      </w:pPr>
      <w:r>
        <w:t>3  原始CNN的负荷预测响应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74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prediction_five_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7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五档温度扰动引起的14个输出节点变化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tblHeader w:val="true"/>
          <w:cantSplit/>
        </w:trPr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扰动/σ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总预测变化/MW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MSE/p.u.²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MAPE/%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-1.448131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0.006174719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9.388702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-0.5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-0.433243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0.006306180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9.345251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+0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+0.000000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0.006372556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9.347309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+0.5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-0.323389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0.006311210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9.304290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-0.827542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0.006291866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9.384601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MSE和MAPE均对同一条样本的14个输出节点计算；它们不是全测试集平均指标。所有扰动保持真实负荷不变，仅评价预测器对编码温度变化的响应。</w:t>
      </w:r>
    </w:p>
    <w:p>
      <w:r>
        <w:rPr>
          <w:rFonts w:ascii="Noto Sans CJK SC" w:hAnsi="Noto Sans CJK SC" w:eastAsia="Noto Sans CJK SC"/>
          <w:b w:val="0"/>
        </w:rPr>
        <w:t>+1σ时，全部14个输出节点变化超过1e−6 MW，最大绝对变化出现在节点4，为−0.278248 MW。负荷总量的变化为−0.827542 MW。曲线在正、负扰动方向呈非对称响应，不宜以单一线性斜率概括。</w:t>
      </w:r>
    </w:p>
    <w:p>
      <w:r>
        <w:br w:type="page"/>
      </w:r>
    </w:p>
    <w:p>
      <w:pPr>
        <w:pStyle w:val="Heading1"/>
      </w:pPr>
      <w:r>
        <w:t>4  两阶段成本与费用分解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94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two_stage_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9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原始CNN五档预测对应的运行成本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tblHeader w:val="true"/>
          <w:cantSplit/>
        </w:trPr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扰动/σ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cost1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cost2</w:t>
            </w:r>
          </w:p>
        </w:tc>
        <w:tc>
          <w:tcPr>
            <w:tcW w:type="dxa" w:w="245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总Cost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203.198978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373.495723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576.694702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-0.5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203.791202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381.151346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584.942548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204.044292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384.429257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588.473549</w:t>
            </w:r>
          </w:p>
        </w:tc>
      </w:tr>
      <w:tr>
        <w:trPr>
          <w:cantSplit/>
        </w:trPr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+0.5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203.856545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381.956236</w:t>
            </w:r>
          </w:p>
        </w:tc>
        <w:tc>
          <w:tcPr>
            <w:tcW w:type="dxa" w:w="245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585.812781</w:t>
            </w:r>
          </w:p>
        </w:tc>
      </w:tr>
      <w:tr>
        <w:trPr>
          <w:cantSplit/>
        </w:trPr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203.562631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378.132555</w:t>
            </w:r>
          </w:p>
        </w:tc>
        <w:tc>
          <w:tcPr>
            <w:tcW w:type="dxa" w:w="245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581.695186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+1σ相对零扰动：cost1变化−0.481661，cost2变化−6.296702，总Cost变化−6.778363。主要变化来自阶段二GS过量发电处理费用；LS1和LS2的变化接近数值求解误差。该费用解释仅针对本参考样本。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47"/>
        <w:gridCol w:w="3274"/>
      </w:tblGrid>
      <w:tr>
        <w:trPr>
          <w:tblHeader w:val="true"/>
          <w:cantSplit/>
        </w:trPr>
        <w:tc>
          <w:tcPr>
            <w:tcW w:type="dxa" w:w="6547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原目标费用项</w:t>
            </w:r>
          </w:p>
        </w:tc>
        <w:tc>
          <w:tcPr>
            <w:tcW w:type="dxa" w:w="327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+1σ相对零扰动变化</w:t>
            </w:r>
          </w:p>
        </w:tc>
      </w:tr>
      <w:tr>
        <w:trPr>
          <w:cantSplit/>
        </w:trPr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发电二次费用</w:t>
            </w:r>
          </w:p>
        </w:tc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-0.340034</w:t>
            </w:r>
          </w:p>
        </w:tc>
      </w:tr>
      <w:tr>
        <w:trPr>
          <w:cantSplit/>
        </w:trPr>
        <w:tc>
          <w:tcPr>
            <w:tcW w:type="dxa" w:w="654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发电一次费用</w:t>
            </w:r>
          </w:p>
        </w:tc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-0.141627</w:t>
            </w:r>
          </w:p>
        </w:tc>
      </w:tr>
      <w:tr>
        <w:trPr>
          <w:cantSplit/>
        </w:trPr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阶段一削减费用</w:t>
            </w:r>
          </w:p>
        </w:tc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约0（&lt;1e−6）</w:t>
            </w:r>
          </w:p>
        </w:tc>
      </w:tr>
      <w:tr>
        <w:trPr>
          <w:cantSplit/>
        </w:trPr>
        <w:tc>
          <w:tcPr>
            <w:tcW w:type="dxa" w:w="654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阶段二削减一次费用</w:t>
            </w:r>
          </w:p>
        </w:tc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约0（&lt;1e−6）</w:t>
            </w:r>
          </w:p>
        </w:tc>
      </w:tr>
      <w:tr>
        <w:trPr>
          <w:cantSplit/>
        </w:trPr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阶段二削减二次费用</w:t>
            </w:r>
          </w:p>
        </w:tc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约0（&lt;1e−6）</w:t>
            </w:r>
          </w:p>
        </w:tc>
      </w:tr>
      <w:tr>
        <w:trPr>
          <w:cantSplit/>
        </w:trPr>
        <w:tc>
          <w:tcPr>
            <w:tcW w:type="dxa" w:w="654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GS一次费用</w:t>
            </w:r>
          </w:p>
        </w:tc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-5.792791</w:t>
            </w:r>
          </w:p>
        </w:tc>
      </w:tr>
      <w:tr>
        <w:trPr>
          <w:cantSplit/>
        </w:trPr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GS二次费用</w:t>
            </w:r>
          </w:p>
        </w:tc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-0.503911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 遗忘前后四种模型的响应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39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four_model_c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9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 绝对成本和相对自身基准响应的对照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78"/>
        <w:gridCol w:w="1786"/>
        <w:gridCol w:w="1786"/>
        <w:gridCol w:w="1786"/>
        <w:gridCol w:w="1786"/>
      </w:tblGrid>
      <w:tr>
        <w:trPr>
          <w:tblHeader w:val="true"/>
          <w:cantSplit/>
        </w:trPr>
        <w:tc>
          <w:tcPr>
            <w:tcW w:type="dxa" w:w="2678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78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零扰动Cost</w:t>
            </w:r>
          </w:p>
        </w:tc>
        <w:tc>
          <w:tcPr>
            <w:tcW w:type="dxa" w:w="178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+1σ Δ预测/MW</w:t>
            </w:r>
          </w:p>
        </w:tc>
        <w:tc>
          <w:tcPr>
            <w:tcW w:type="dxa" w:w="178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+1σ ΔCost</w:t>
            </w:r>
          </w:p>
        </w:tc>
        <w:tc>
          <w:tcPr>
            <w:tcW w:type="dxa" w:w="178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−1σ ΔCost</w:t>
            </w:r>
          </w:p>
        </w:tc>
      </w:tr>
      <w:tr>
        <w:trPr>
          <w:cantSplit/>
        </w:trPr>
        <w:tc>
          <w:tcPr>
            <w:tcW w:type="dxa" w:w="267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原始 CNN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588.473549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-0.827542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-6.778363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-11.778847</w:t>
            </w:r>
          </w:p>
        </w:tc>
      </w:tr>
      <w:tr>
        <w:trPr>
          <w:cantSplit/>
        </w:trPr>
        <w:tc>
          <w:tcPr>
            <w:tcW w:type="dxa" w:w="267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直接遗忘20%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680.181358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-0.844525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-7.007316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-9.869084</w:t>
            </w:r>
          </w:p>
        </w:tc>
      </w:tr>
      <w:tr>
        <w:trPr>
          <w:cantSplit/>
        </w:trPr>
        <w:tc>
          <w:tcPr>
            <w:tcW w:type="dxa" w:w="267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剩余样本重拟合头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680.180885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-0.844474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-7.006892</w:t>
            </w:r>
          </w:p>
        </w:tc>
        <w:tc>
          <w:tcPr>
            <w:tcW w:type="dxa" w:w="17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-9.868670</w:t>
            </w:r>
          </w:p>
        </w:tc>
      </w:tr>
      <w:tr>
        <w:trPr>
          <w:cantSplit/>
        </w:trPr>
        <w:tc>
          <w:tcPr>
            <w:tcW w:type="dxa" w:w="267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TAMU（L1=0.1）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564.325866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-0.290330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-2.371888</w:t>
            </w:r>
          </w:p>
        </w:tc>
        <w:tc>
          <w:tcPr>
            <w:tcW w:type="dxa" w:w="17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-15.057260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直接遗忘与重拟合头的五档总Cost最大差异为0.000472933，二者曲线近乎重叠。TAMU的零扰动绝对成本较低，+1σ时成本响应幅度也较小；但−1σ的响应幅度更大。这两种事实不矛盾：绝对成本与响应幅度衡量不同问题。</w:t>
      </w:r>
    </w:p>
    <w:p>
      <w:r>
        <w:rPr>
          <w:rFonts w:ascii="Noto Sans CJK SC" w:hAnsi="Noto Sans CJK SC" w:eastAsia="Noto Sans CJK SC"/>
          <w:b w:val="0"/>
        </w:rPr>
        <w:t>本实验没有为每档温度扰动重新优化TAMU权重。TAMU针对原测试平均Cost的一阶分数进行重加权，不提供逐场景成本或输入敏感性都下降的保证。</w:t>
      </w:r>
    </w:p>
    <w:p>
      <w:r>
        <w:br w:type="page"/>
      </w:r>
    </w:p>
    <w:p>
      <w:pPr>
        <w:pStyle w:val="Heading1"/>
      </w:pPr>
      <w:r>
        <w:t>6  恢复核验、求解状态与复现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0"/>
        <w:gridCol w:w="7731"/>
      </w:tblGrid>
      <w:tr>
        <w:trPr>
          <w:tblHeader w:val="true"/>
          <w:cantSplit/>
        </w:trPr>
        <w:tc>
          <w:tcPr>
            <w:tcW w:type="dxa" w:w="2090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731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记录结果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模型恢复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前三种预测头及CNN核心与上一轮保存参数逐位相同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TAMU恢复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全测试MSE=0.004006459731、MAPE=9.124598238%、平均Cost=470.887519328，与历史L1=0.1记录一致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加权CG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info=0；独立加权正规方程相对残差9.2462e−6 &lt; 1e−5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零扰动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预测逐位恢复，Cost差为0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正式规模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20组模型场景；另有4次独立基准Cost，合计48个QP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求解质量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全部optimal；最大约束残差1.69e-08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回归测试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该轮49项通过，0失败、0跳过；后来扩展为累计57项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重放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280个预测逐位相同；成本表和求解轨迹逐字节相同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3925变量的TAMU重加权LP受GUROBI内置许可证规模限制，按原有自动回退机制由ECOS求解同一LP；没有替换目标或约束。本轮小型运行QP使用GUROBI。调试中修正了新增核验脚本的权重/偏置展平顺序，并统一单样本前向，避免批量矩阵运算舍入差异被当作扰动效应。失败输出未用于最终结果。</w:t>
      </w:r>
    </w:p>
    <w:p>
      <w:pPr>
        <w:pStyle w:val="Heading2"/>
      </w:pPr>
      <w:r>
        <w:t>复算入口（仓库根目录，输出目录须为空）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.venv/bin/python experiments/input_sensitivity.py \</w:t>
        <w:br/>
        <w:t xml:space="preserve">  --replay-from research/cnn_temperature_response \</w:t>
        <w:br/>
        <w:t xml:space="preserve">  --output-dir /tmp/temperature-report-replay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.venv/bin/python experiments/validate_temperature_response.py \</w:t>
        <w:br/>
        <w:t xml:space="preserve">  --replay-dir /tmp/temperature-report-replay</w:t>
      </w:r>
    </w:p>
    <w:p>
      <w:r>
        <w:rPr>
          <w:rFonts w:ascii="Noto Sans CJK SC" w:hAnsi="Noto Sans CJK SC" w:eastAsia="Noto Sans CJK SC"/>
          <w:b w:val="0"/>
        </w:rPr>
        <w:t>数值记录来自既有实验validation.json与测试日志，本次编制报告没有重新运行上述实验。复算仍需原项目固定版本依赖及兼容求解器。</w:t>
      </w:r>
    </w:p>
    <w:p>
      <w:r>
        <w:br w:type="page"/>
      </w:r>
    </w:p>
    <w:p>
      <w:pPr>
        <w:pStyle w:val="Heading1"/>
      </w:pPr>
      <w:r>
        <w:t>7  结论、局限与源码索引</w:t>
      </w:r>
    </w:p>
    <w:p>
      <w:pPr>
        <w:pStyle w:val="Heading2"/>
      </w:pPr>
      <w:r>
        <w:t>结论</w:t>
      </w:r>
    </w:p>
    <w:p>
      <w:r>
        <w:rPr>
          <w:rFonts w:ascii="Noto Sans CJK SC" w:hAnsi="Noto Sans CJK SC" w:eastAsia="Noto Sans CJK SC"/>
          <w:b w:val="0"/>
        </w:rPr>
        <w:t>已完成指定温度坐标到14节点预测、两阶段决策及完整Cost的可追踪实验；直接遗忘与重拟合头响应接近，TAMU表现出方向相关的响应变化。该结果为下一轮节点成本诊断和多日期验证提供了固定模型、真实输入及可重放基准。</w:t>
      </w:r>
    </w:p>
    <w:p>
      <w:pPr>
        <w:pStyle w:val="Heading2"/>
      </w:pPr>
      <w:r>
        <w:t>必须保留的解释边界</w:t>
      </w:r>
    </w:p>
    <w:p>
      <w:pPr>
        <w:pStyle w:val="ListBullet"/>
      </w:pPr>
      <w:r>
        <w:rPr>
          <w:rFonts w:ascii="Noto Sans CJK SC" w:hAnsi="Noto Sans CJK SC" w:eastAsia="Noto Sans CJK SC"/>
        </w:rPr>
        <w:t>只有一个样本、一个输入节点、温度一个特征和seed42，不支持全年或跨系统结论。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输入编码的人工加法扰动保持真实负荷不变，不是实际发生的天气事件，也不证明气温对实际负荷的因果关系。</w:t>
      </w:r>
    </w:p>
    <w:p>
      <w:pPr>
        <w:pStyle w:val="ListBullet"/>
      </w:pPr>
      <w:r>
        <w:rPr>
          <w:rFonts w:ascii="Noto Sans CJK SC" w:hAnsi="Noto Sans CJK SC" w:eastAsia="Noto Sans CJK SC"/>
        </w:rPr>
        <w:t>训练σ只用训练段，但原全年天气与目标归一化先于训练/测试划分；helpful与TAMU还使用测试性能分数。新增σ控制没有消除这些原协议局限。</w:t>
      </w:r>
    </w:p>
    <w:p>
      <w:pPr>
        <w:pStyle w:val="ListBullet"/>
      </w:pPr>
      <w:r>
        <w:rPr>
          <w:rFonts w:ascii="Noto Sans CJK SC" w:hAnsi="Noto Sans CJK SC" w:eastAsia="Noto Sans CJK SC"/>
        </w:rPr>
        <w:t>成本是项目目标函数数值；没有使用真实市场电价，也没有在本实验中接入ERCOT数据。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3"/>
        <w:gridCol w:w="6138"/>
      </w:tblGrid>
      <w:tr>
        <w:trPr>
          <w:tblHeader w:val="true"/>
          <w:cantSplit/>
        </w:trPr>
        <w:tc>
          <w:tcPr>
            <w:tcW w:type="dxa" w:w="3683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源码/产物</w:t>
            </w:r>
          </w:p>
        </w:tc>
        <w:tc>
          <w:tcPr>
            <w:tcW w:type="dxa" w:w="6138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68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clean_data.py / utils/dataset.py</w:t>
            </w:r>
          </w:p>
        </w:tc>
        <w:tc>
          <w:tcPr>
            <w:tcW w:type="dxa" w:w="61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天气行映射、特征顺序、数据排列、标准化与划分</w:t>
            </w:r>
          </w:p>
        </w:tc>
      </w:tr>
      <w:tr>
        <w:trPr>
          <w:cantSplit/>
        </w:trPr>
        <w:tc>
          <w:tcPr>
            <w:tcW w:type="dxa" w:w="368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utils/net.py: NN_CONV.forward</w:t>
            </w:r>
          </w:p>
        </w:tc>
        <w:tc>
          <w:tcPr>
            <w:tcW w:type="dxa" w:w="61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14×10输入 → 64维隐藏表示</w:t>
            </w:r>
          </w:p>
        </w:tc>
      </w:tr>
      <w:tr>
        <w:trPr>
          <w:cantSplit/>
        </w:trPr>
        <w:tc>
          <w:tcPr>
            <w:tcW w:type="dxa" w:w="368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func_operation.py / utils/funcs.py</w:t>
            </w:r>
          </w:p>
        </w:tc>
        <w:tc>
          <w:tcPr>
            <w:tcW w:type="dxa" w:w="61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预测头恢复、预测反标准化和评价</w:t>
            </w:r>
          </w:p>
        </w:tc>
      </w:tr>
      <w:tr>
        <w:trPr>
          <w:cantSplit/>
        </w:trPr>
        <w:tc>
          <w:tcPr>
            <w:tcW w:type="dxa" w:w="368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utils/optimization.py</w:t>
            </w:r>
          </w:p>
        </w:tc>
        <w:tc>
          <w:tcPr>
            <w:tcW w:type="dxa" w:w="61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原两阶段调度、求解状态、变量与约束</w:t>
            </w:r>
          </w:p>
        </w:tc>
      </w:tr>
      <w:tr>
        <w:trPr>
          <w:cantSplit/>
        </w:trPr>
        <w:tc>
          <w:tcPr>
            <w:tcW w:type="dxa" w:w="368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experiments/input_sensitivity.py</w:t>
            </w:r>
          </w:p>
        </w:tc>
        <w:tc>
          <w:tcPr>
            <w:tcW w:type="dxa" w:w="61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独立扰动与完整结果保存</w:t>
            </w:r>
          </w:p>
        </w:tc>
      </w:tr>
      <w:tr>
        <w:trPr>
          <w:cantSplit/>
        </w:trPr>
        <w:tc>
          <w:tcPr>
            <w:tcW w:type="dxa" w:w="368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research/cnn_temperature_response/</w:t>
            </w:r>
          </w:p>
        </w:tc>
        <w:tc>
          <w:tcPr>
            <w:tcW w:type="dxa" w:w="61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结果CSV、280个预测、费用轨迹、快照、验证记录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数据与模型来源：task_aware_machine_unlearning 原项目；Xu与Teng，Task-Aware Machine Unlearning and Its Application in Load Forecasting，IEEE TPWRS，DOI:10.1109/TPWRS.2024.3376828。TX-123BT数据的原始引用及官方归档信息见仓库COST_REPRODUCTION_REPORT.md与readme.md。</w:t>
      </w:r>
    </w:p>
    <w:p>
      <w:r>
        <w:br w:type="page"/>
      </w:r>
    </w:p>
    <w:p>
      <w:pPr>
        <w:pStyle w:val="Heading1"/>
      </w:pPr>
      <w:r>
        <w:t>附录A  全部20组指标与数据索引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0"/>
        <w:gridCol w:w="707"/>
        <w:gridCol w:w="1766"/>
        <w:gridCol w:w="1413"/>
        <w:gridCol w:w="1554"/>
        <w:gridCol w:w="1554"/>
        <w:gridCol w:w="1696"/>
      </w:tblGrid>
      <w:tr>
        <w:trPr>
          <w:tblHeader w:val="true"/>
          <w:cantSplit/>
        </w:trPr>
        <w:tc>
          <w:tcPr>
            <w:tcW w:type="dxa" w:w="1130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707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σ</w:t>
            </w:r>
          </w:p>
        </w:tc>
        <w:tc>
          <w:tcPr>
            <w:tcW w:type="dxa" w:w="176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MSE/p.u.²</w:t>
            </w:r>
          </w:p>
        </w:tc>
        <w:tc>
          <w:tcPr>
            <w:tcW w:type="dxa" w:w="1413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MAPE/%</w:t>
            </w:r>
          </w:p>
        </w:tc>
        <w:tc>
          <w:tcPr>
            <w:tcW w:type="dxa" w:w="155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cost1</w:t>
            </w:r>
          </w:p>
        </w:tc>
        <w:tc>
          <w:tcPr>
            <w:tcW w:type="dxa" w:w="155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cost2</w:t>
            </w:r>
          </w:p>
        </w:tc>
        <w:tc>
          <w:tcPr>
            <w:tcW w:type="dxa" w:w="169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总Cost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原始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-1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0.00617472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9.3887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203.1990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373.4957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576.6947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原始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-0.5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0.00630618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9.3453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203.7912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381.1513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584.9425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原始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0.00637256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9.3473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204.0443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384.4293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588.4735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原始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+0.5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0.00631121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9.3043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203.8565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381.9562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585.8128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原始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+1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0.00629187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9.3846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203.5626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378.1326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581.6952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直接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-1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0.00792577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9.4882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209.9818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460.3305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670.3123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直接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-0.5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0.00805634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9.5282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210.4996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466.8787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677.3783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直接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0.00812147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9.5557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210.7042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469.4772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680.1814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直接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+0.5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0.00807102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9.5477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210.5564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467.5925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678.1490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直接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+1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0.00803400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9.5223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210.1915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462.9826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673.1740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重拟合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-1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0.00792579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9.4882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209.9818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460.3304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670.3122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重拟合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-0.5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0.00805635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9.5282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210.4996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466.8784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677.3780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重拟合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0.00812148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9.5557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210.7042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469.4767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680.1809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重拟合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+0.5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0.00807103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9.5476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210.5564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467.5922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678.1486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重拟合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+1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0.00803401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9.5223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210.1914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462.9825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673.1740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TAMU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-1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0.00548276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8.8619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201.2660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348.0026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549.2686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TAMU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-0.5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0.00563926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8.8249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201.9684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357.1618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559.1302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TAMU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0.00573794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8.8436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202.3373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361.9886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564.3259</w:t>
            </w:r>
          </w:p>
        </w:tc>
      </w:tr>
      <w:tr>
        <w:trPr>
          <w:cantSplit/>
        </w:trPr>
        <w:tc>
          <w:tcPr>
            <w:tcW w:type="dxa" w:w="113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TAMU</w:t>
            </w:r>
          </w:p>
        </w:tc>
        <w:tc>
          <w:tcPr>
            <w:tcW w:type="dxa" w:w="70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+0.5</w:t>
            </w:r>
          </w:p>
        </w:tc>
        <w:tc>
          <w:tcPr>
            <w:tcW w:type="dxa" w:w="176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0.00571380</w:t>
            </w:r>
          </w:p>
        </w:tc>
        <w:tc>
          <w:tcPr>
            <w:tcW w:type="dxa" w:w="141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8.8046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202.2837</w:t>
            </w:r>
          </w:p>
        </w:tc>
        <w:tc>
          <w:tcPr>
            <w:tcW w:type="dxa" w:w="155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361.2516</w:t>
            </w:r>
          </w:p>
        </w:tc>
        <w:tc>
          <w:tcPr>
            <w:tcW w:type="dxa" w:w="169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563.5353</w:t>
            </w:r>
          </w:p>
        </w:tc>
      </w:tr>
      <w:tr>
        <w:trPr>
          <w:cantSplit/>
        </w:trPr>
        <w:tc>
          <w:tcPr>
            <w:tcW w:type="dxa" w:w="113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TAMU</w:t>
            </w:r>
          </w:p>
        </w:tc>
        <w:tc>
          <w:tcPr>
            <w:tcW w:type="dxa" w:w="70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+1</w:t>
            </w:r>
          </w:p>
        </w:tc>
        <w:tc>
          <w:tcPr>
            <w:tcW w:type="dxa" w:w="176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0.00574757</w:t>
            </w:r>
          </w:p>
        </w:tc>
        <w:tc>
          <w:tcPr>
            <w:tcW w:type="dxa" w:w="141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8.9112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202.1704</w:t>
            </w:r>
          </w:p>
        </w:tc>
        <w:tc>
          <w:tcPr>
            <w:tcW w:type="dxa" w:w="155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359.7836</w:t>
            </w:r>
          </w:p>
        </w:tc>
        <w:tc>
          <w:tcPr>
            <w:tcW w:type="dxa" w:w="169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6"/>
              </w:rPr>
              <w:t>561.9540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本附录显示值为便于阅读而四舍五入；未四舍五入的完整结果在随报告附带的evidence/experiment1_results.csv。14节点逐值结果在experiment1_predictions_14_buses.csv；完整求解费用及变量在原研究目录cost_traces.json。</w:t>
      </w:r>
    </w:p>
    <w:p>
      <w:r>
        <w:rPr>
          <w:rFonts w:ascii="Noto Sans CJK SC" w:hAnsi="Noto Sans CJK SC" w:eastAsia="Noto Sans CJK SC"/>
          <w:b w:val="0"/>
        </w:rPr>
        <w:t>本报告全部数值表由已提交CSV/JSON自动读取，source_manifest.json记录来源文件校验值；未填充缺失实验或虚构实验结果。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50" w:right="1037" w:bottom="90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675"/>
        <w:sz w:val="16"/>
      </w:rPr>
      <w:t xml:space="preserve">研究记录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675"/>
        <w:sz w:val="17"/>
      </w:rPr>
      <w:t>CNN 输入扰动—负荷预测—运行成本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实验报告一：CNN 单节点温度扰动的预测与成本影响</dc:title>
  <dc:subject>单样本、五档扰动与20%遗忘前后对照</dc:subject>
  <dc:creator>syh-Mason/task_aware_machine_unlearning 项目记录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