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讲稿｜第1—3页</w:t>
      </w:r>
    </w:p>
    <w:p>
      <w:pPr>
        <w:pStyle w:val="Heading2"/>
      </w:pPr>
      <w:r>
        <w:t>01  CNN 输入扰动如何影响负荷预测与运行成本</w:t>
      </w:r>
    </w:p>
    <w:p>
      <w:r>
        <w:rPr>
          <w:rFonts w:ascii="Noto Sans CJK SC" w:hAnsi="Noto Sans CJK SC" w:eastAsia="Noto Sans CJK SC"/>
          <w:b w:val="0"/>
        </w:rPr>
        <w:t>本次汇报围绕导师提出的要求：改变十个输入特征中的一个，观察预测输出，并找到它到下游运行成本的影响路径。现阶段复用已经修复的CNN和两阶段优化，不重新训练。汇报分为单样本路径验证、节点成本诊断、多日期经济性三部分。</w:t>
      </w:r>
    </w:p>
    <w:p>
      <w:pPr>
        <w:pStyle w:val="Heading2"/>
      </w:pPr>
      <w:r>
        <w:t>02  本阶段得到三条可展示的结论</w:t>
      </w:r>
    </w:p>
    <w:p>
      <w:r>
        <w:rPr>
          <w:rFonts w:ascii="Noto Sans CJK SC" w:hAnsi="Noto Sans CJK SC" w:eastAsia="Noto Sans CJK SC"/>
          <w:b w:val="0"/>
        </w:rPr>
        <w:t>第一条结论是路径已经打通：温度编码经过固定CNN影响多个输出，再经调度和再调度影响Cost。第二条结论是，本批112组原始CNN比较中，预测峰值与两类成本诊断峰值一致，不能为了预设叙事强行说二者不同。第三条是TAMU在所选分层日期中平均成本较低，但有真实反例，不能当成每个场景的保证。</w:t>
      </w:r>
    </w:p>
    <w:p>
      <w:pPr>
        <w:pStyle w:val="Heading2"/>
      </w:pPr>
      <w:r>
        <w:t>03  固定模型与实验边界</w:t>
      </w:r>
    </w:p>
    <w:p>
      <w:r>
        <w:rPr>
          <w:rFonts w:ascii="Noto Sans CJK SC" w:hAnsi="Noto Sans CJK SC" w:eastAsia="Noto Sans CJK SC"/>
          <w:b w:val="0"/>
        </w:rPr>
        <w:t>数据是官方TX-123BT的2019合成测试系统数据。模型为CNN，种子42，helpful删除20%的敏感样本。四种对照共享同一个冻结卷积核心，所谓重训练仅指原项目协议下910个仿射参数的重新拟合。TAMU采用平均L1等于0.1的既有恢复权重，本轮不针对温度扰动重新优化。当前测试集是全年前1752小时，也就是前73天。</w:t>
      </w:r>
    </w:p>
    <w:p>
      <w:r>
        <w:br w:type="page"/>
      </w:r>
    </w:p>
    <w:p>
      <w:pPr>
        <w:pStyle w:val="Heading1"/>
      </w:pPr>
      <w:r>
        <w:t>讲稿｜第4—6页</w:t>
      </w:r>
    </w:p>
    <w:p>
      <w:pPr>
        <w:pStyle w:val="Heading2"/>
      </w:pPr>
      <w:r>
        <w:t>04  输入有140个编码值，64维是隐藏表示</w:t>
      </w:r>
    </w:p>
    <w:p>
      <w:r>
        <w:rPr>
          <w:rFonts w:ascii="Noto Sans CJK SC" w:hAnsi="Noto Sans CJK SC" w:eastAsia="Noto Sans CJK SC"/>
          <w:b w:val="0"/>
        </w:rPr>
        <w:t>需要先纠正输入的概念。每个时刻有14个节点，每节点10个特征，所以原始编码输入是140维。经过两层卷积、展平和线性层后，得到64维tanh隐藏表示，不能给每个隐藏维度直接取一个物理特征名。本次只改输入节点1的温度，也就是张量的零基位置0、0、0、4。</w:t>
      </w:r>
    </w:p>
    <w:p>
      <w:pPr>
        <w:pStyle w:val="Heading2"/>
      </w:pPr>
      <w:r>
        <w:t>05  实验一：只改变一个温度坐标</w:t>
      </w:r>
    </w:p>
    <w:p>
      <w:r>
        <w:rPr>
          <w:rFonts w:ascii="Noto Sans CJK SC" w:hAnsi="Noto Sans CJK SC" w:eastAsia="Noto Sans CJK SC"/>
          <w:b w:val="0"/>
        </w:rPr>
        <w:t>温度扰动采用加法，而不是把标准化值乘以百分比。训练集7008行给出的温度标准差约为0.935414个编码单位，对应7.936348K的温差。原模型全年归一化参数保持不变。五档输入共享同一条真实负荷，目的是测模型响应，不是模拟实际发生的天气。零扰动必须逐位恢复预测与Cost。</w:t>
      </w:r>
    </w:p>
    <w:p>
      <w:pPr>
        <w:pStyle w:val="Heading2"/>
      </w:pPr>
      <w:r>
        <w:t>06  改变一个温度输入，多个输出节点都发生变化</w:t>
      </w:r>
    </w:p>
    <w:p>
      <w:r>
        <w:rPr>
          <w:rFonts w:ascii="Noto Sans CJK SC" w:hAnsi="Noto Sans CJK SC" w:eastAsia="Noto Sans CJK SC"/>
          <w:b w:val="0"/>
        </w:rPr>
        <w:t>对参考样本加一个训练标准差的温度扰动，原始CNN的14个输出节点都发生了大于一百万分之一MW的变化。最大绝对变化在输出节点4，为负0.278248MW，总预测负荷变化为负0.827542MW。这里输入节点是1，最大变化输出节点是4，两者不能混淆。完整五档曲线和逐节点表见实验报告一。</w:t>
      </w:r>
    </w:p>
    <w:p>
      <w:r>
        <w:br w:type="page"/>
      </w:r>
    </w:p>
    <w:p>
      <w:pPr>
        <w:pStyle w:val="Heading1"/>
      </w:pPr>
      <w:r>
        <w:t>讲稿｜第7—9页</w:t>
      </w:r>
    </w:p>
    <w:p>
      <w:pPr>
        <w:pStyle w:val="Heading2"/>
      </w:pPr>
      <w:r>
        <w:t>07  预测变化如何进入电网运行成本</w:t>
      </w:r>
    </w:p>
    <w:p>
      <w:r>
        <w:rPr>
          <w:rFonts w:ascii="Noto Sans CJK SC" w:hAnsi="Noto Sans CJK SC" w:eastAsia="Noto Sans CJK SC"/>
          <w:b w:val="0"/>
        </w:rPr>
        <w:t>运行成本没有跳过计算。阶段一根据预测负荷调度发电，产生cost1；阶段二拿阶段一的PG和固定真实负荷再调度，产生cost2。对于参考样本正一个标准差，cost1下降0.481661，cost2下降6.296702，总Cost下降6.778363。这次主要是阶段二过量发电处理费用变化，不应推广成所有样本的机制。</w:t>
      </w:r>
    </w:p>
    <w:p>
      <w:pPr>
        <w:pStyle w:val="Heading2"/>
      </w:pPr>
      <w:r>
        <w:t>08  绝对经济性和响应幅度，是两个不同问题</w:t>
      </w:r>
    </w:p>
    <w:p>
      <w:r>
        <w:rPr>
          <w:rFonts w:ascii="Noto Sans CJK SC" w:hAnsi="Noto Sans CJK SC" w:eastAsia="Noto Sans CJK SC"/>
          <w:b w:val="0"/>
        </w:rPr>
        <w:t>左图比较绝对总Cost，右图比较每个模型相对自己零扰动的变化。直接遗忘和重拟合预测头几乎重叠。TAMU在本参考点的绝对成本较低，正向扰动的变化幅度也较小，但负向扰动的变化幅度更大。因此应分别回答是否经济、是否敏感，而不是用一个指标代替另一个。</w:t>
      </w:r>
    </w:p>
    <w:p>
      <w:pPr>
        <w:pStyle w:val="Heading2"/>
      </w:pPr>
      <w:r>
        <w:t>09  不能把预测变化量直接叫作成本贡献</w:t>
      </w:r>
    </w:p>
    <w:p>
      <w:r>
        <w:rPr>
          <w:rFonts w:ascii="Noto Sans CJK SC" w:hAnsi="Noto Sans CJK SC" w:eastAsia="Noto Sans CJK SC"/>
          <w:b w:val="0"/>
        </w:rPr>
        <w:t>为回答预测变化最大节点是否就是Cost影响最大节点，设计了两种对照。隔离诊断以零扰动为背景，只保留一个输出变化；复位诊断以完整扰动为背景，只复位一个输出。参考样本还用128条顺序的抽样Shapley，考虑不同加入顺序下的边际成本。混合输出不一定来自可实现的CNN输入，因此这是输出反事实诊断，不是物理控制因果。</w:t>
      </w:r>
    </w:p>
    <w:p>
      <w:r>
        <w:br w:type="page"/>
      </w:r>
    </w:p>
    <w:p>
      <w:pPr>
        <w:pStyle w:val="Heading1"/>
      </w:pPr>
      <w:r>
        <w:t>讲稿｜第10—12页</w:t>
      </w:r>
    </w:p>
    <w:p>
      <w:pPr>
        <w:pStyle w:val="Heading2"/>
      </w:pPr>
      <w:r>
        <w:t>10  本批峰值节点一致，但隔离影响不可直接相加</w:t>
      </w:r>
    </w:p>
    <w:p>
      <w:r>
        <w:rPr>
          <w:rFonts w:ascii="Noto Sans CJK SC" w:hAnsi="Noto Sans CJK SC" w:eastAsia="Noto Sans CJK SC"/>
          <w:b w:val="0"/>
        </w:rPr>
        <w:t>在原始CNN的28个日期、四档非零扰动，也就是112组比较中，预测峰值与隔离、复位Cost峰值都是一致的。参考样本Shapley检查也一致。这个结果不能被写成必然规律。另外，隔离影响相加与联合Cost变化最大相差3.246397，说明不能把逐节点隔离值直接堆成一个严格的成本贡献图。Shapley守恒是路径一致性，不是物理因果。</w:t>
      </w:r>
    </w:p>
    <w:p>
      <w:pPr>
        <w:pStyle w:val="Heading2"/>
      </w:pPr>
      <w:r>
        <w:t>11  实验二：预先选择不同日期和真实负荷水平</w:t>
      </w:r>
    </w:p>
    <w:p>
      <w:r>
        <w:rPr>
          <w:rFonts w:ascii="Noto Sans CJK SC" w:hAnsi="Noto Sans CJK SC" w:eastAsia="Noto Sans CJK SC"/>
          <w:b w:val="0"/>
        </w:rPr>
        <w:t>为减少只看一个时刻的偶然性，按测试期的1月、2月、3月分别划分真实总负荷的低中高三层。每层取三个互不重复日期，目标是接近层内10%、50%、90%的负荷分位。得到27个新日期，加原参考点为28个日期。选样池和选择清单先保存，再推理。当前3月只覆盖前14天，所以不能说已经做了全年验证。</w:t>
      </w:r>
    </w:p>
    <w:p>
      <w:pPr>
        <w:pStyle w:val="Heading2"/>
      </w:pPr>
      <w:r>
        <w:t>12  分层平均Cost较低，但不等于每个场景更优</w:t>
      </w:r>
    </w:p>
    <w:p>
      <w:r>
        <w:rPr>
          <w:rFonts w:ascii="Noto Sans CJK SC" w:hAnsi="Noto Sans CJK SC" w:eastAsia="Noto Sans CJK SC"/>
          <w:b w:val="0"/>
        </w:rPr>
        <w:t>五档扰动下，TAMU在所选27个日期上的平均Cost都低于原始模型和直接遗忘。图中右侧是TAMU减直接遗忘的配对成本差，阴影是日期间四分位区间，不是总体置信区间。排除零扰动后有108个场景，其中106个TAMU更便宜。要保留另外两个非零反例，并避免用平均优势宣称逐样本保证。</w:t>
      </w:r>
    </w:p>
    <w:p>
      <w:r>
        <w:br w:type="page"/>
      </w:r>
    </w:p>
    <w:p>
      <w:pPr>
        <w:pStyle w:val="Heading1"/>
      </w:pPr>
      <w:r>
        <w:t>讲稿｜第13—15页</w:t>
      </w:r>
    </w:p>
    <w:p>
      <w:pPr>
        <w:pStyle w:val="Heading2"/>
      </w:pPr>
      <w:r>
        <w:t>13  反例：3月12日 −1σ，TAMU反而更贵</w:t>
      </w:r>
    </w:p>
    <w:p>
      <w:r>
        <w:rPr>
          <w:rFonts w:ascii="Noto Sans CJK SC" w:hAnsi="Noto Sans CJK SC" w:eastAsia="Noto Sans CJK SC"/>
          <w:b w:val="0"/>
        </w:rPr>
        <w:t>必须主动报告这个反例。同一条真实负荷、负一个标准差时，TAMU的Cost为1209.299538，直接遗忘为1148.370328，TAMU更贵60.929210。正向扰动后它又低于直接遗忘。这里不能通过删掉这个日期来让结果好看；该日期来自事前分层规则，已经保留在所有汇总里。</w:t>
      </w:r>
    </w:p>
    <w:p>
      <w:pPr>
        <w:pStyle w:val="Heading2"/>
      </w:pPr>
      <w:r>
        <w:t>14  验证充分，不代表推广范围无限</w:t>
      </w:r>
    </w:p>
    <w:p>
      <w:r>
        <w:rPr>
          <w:rFonts w:ascii="Noto Sans CJK SC" w:hAnsi="Noto Sans CJK SC" w:eastAsia="Noto Sans CJK SC"/>
          <w:b w:val="0"/>
        </w:rPr>
        <w:t>工程方面，实验一当时49项测试通过，实验二扩展为累计57项，后者包含前者，不能相加。第二轮17360个QP全部optimal，完整复算的7840个预测逐位一致，成本CSV和轨迹逐字节一致。解释上仍有范围限制：一个种子、一个输入温度特征、前73天测试期；原项目全年归一化和测试分数选样的限制也未消除。Shapley抽样误差不能替代日期或模型的不确定性。</w:t>
      </w:r>
    </w:p>
    <w:p>
      <w:pPr>
        <w:pStyle w:val="Heading2"/>
      </w:pPr>
      <w:r>
        <w:t>15  下一步：扩展证据，而不是扩大表述</w:t>
      </w:r>
    </w:p>
    <w:p>
      <w:r>
        <w:rPr>
          <w:rFonts w:ascii="Noto Sans CJK SC" w:hAnsi="Noto Sans CJK SC" w:eastAsia="Noto Sans CJK SC"/>
          <w:b w:val="0"/>
        </w:rPr>
        <w:t>下一步建议先扩展其他物理特征，同时明确尺度和编码是否合法；再进行多个种子和预先确定场景的稳定性分析。若要讨论夏季或全年，必须重新设计独立时间划分和归一化评估，不能把原训练段直接叫作测试。ERCOT正式Cost实验仍需先确定节点映射。今天的核心交付是两份实验报告、图表、数据和可重复运行的脚本，而不是一个超出证据的普遍结论。</w:t>
      </w:r>
    </w:p>
    <w:p>
      <w:r>
        <w:br w:type="page"/>
      </w:r>
    </w:p>
    <w:p>
      <w:pPr>
        <w:pStyle w:val="Heading1"/>
      </w:pPr>
      <w:r>
        <w:t>答疑备忘与资料索引</w:t>
      </w:r>
    </w:p>
    <w:p>
      <w:pPr>
        <w:pStyle w:val="Heading2"/>
      </w:pPr>
      <w:r>
        <w:t>为什么不是64个原始输入？</w:t>
      </w:r>
    </w:p>
    <w:p>
      <w:r>
        <w:rPr>
          <w:rFonts w:ascii="Noto Sans CJK SC" w:hAnsi="Noto Sans CJK SC" w:eastAsia="Noto Sans CJK SC"/>
          <w:b w:val="0"/>
        </w:rPr>
        <w:t>原始输入是14×10；64是经过卷积和线性层学习得到的隐藏表示，不能直接用物理特征名解释。</w:t>
      </w:r>
    </w:p>
    <w:p>
      <w:pPr>
        <w:pStyle w:val="Heading2"/>
      </w:pPr>
      <w:r>
        <w:t>+1σ为什么预测反而降低？</w:t>
      </w:r>
    </w:p>
    <w:p>
      <w:r>
        <w:rPr>
          <w:rFonts w:ascii="Noto Sans CJK SC" w:hAnsi="Noto Sans CJK SC" w:eastAsia="Noto Sans CJK SC"/>
          <w:b w:val="0"/>
        </w:rPr>
        <w:t>这是固定模型在固定样本上的局部数值响应，其他气象特征与真实负荷都不变，不能推断现实气温上升必然降低负荷。</w:t>
      </w:r>
    </w:p>
    <w:p>
      <w:pPr>
        <w:pStyle w:val="Heading2"/>
      </w:pPr>
      <w:r>
        <w:t>为什么TAMU平均更好却有反例？</w:t>
      </w:r>
    </w:p>
    <w:p>
      <w:r>
        <w:rPr>
          <w:rFonts w:ascii="Noto Sans CJK SC" w:hAnsi="Noto Sans CJK SC" w:eastAsia="Noto Sans CJK SC"/>
          <w:b w:val="0"/>
        </w:rPr>
        <w:t>原权重由测试平均Cost的一阶分数恢复，没有每个温度场景的成本约束或稳健性保证。</w:t>
      </w:r>
    </w:p>
    <w:p>
      <w:pPr>
        <w:pStyle w:val="Heading2"/>
      </w:pPr>
      <w:r>
        <w:t>预测峰值和成本峰值到底是否不同？</w:t>
      </w:r>
    </w:p>
    <w:p>
      <w:r>
        <w:rPr>
          <w:rFonts w:ascii="Noto Sans CJK SC" w:hAnsi="Noto Sans CJK SC" w:eastAsia="Noto Sans CJK SC"/>
          <w:b w:val="0"/>
        </w:rPr>
        <w:t>在本批112组原始CNN比较中，两类反事实诊断的峰值与预测峰值一致；不能预设必须不同，也不能据此证明普遍相等。</w:t>
      </w:r>
    </w:p>
    <w:p>
      <w:pPr>
        <w:pStyle w:val="Heading2"/>
      </w:pPr>
      <w:r>
        <w:t>Shapley误差很小能否说明结论稳定？</w:t>
      </w:r>
    </w:p>
    <w:p>
      <w:r>
        <w:rPr>
          <w:rFonts w:ascii="Noto Sans CJK SC" w:hAnsi="Noto Sans CJK SC" w:eastAsia="Noto Sans CJK SC"/>
          <w:b w:val="0"/>
        </w:rPr>
        <w:t>不能。这里MC标准误只衡量排列抽样，未包括求解误差、日期抽样、训练种子或其他模型的不确定性。</w:t>
      </w:r>
    </w:p>
    <w:p>
      <w:pPr>
        <w:pStyle w:val="Heading2"/>
      </w:pPr>
      <w:r>
        <w:t>“重训练CNN”是否重训了卷积层？</w:t>
      </w:r>
    </w:p>
    <w:p>
      <w:r>
        <w:rPr>
          <w:rFonts w:ascii="Noto Sans CJK SC" w:hAnsi="Noto Sans CJK SC" w:eastAsia="Noto Sans CJK SC"/>
          <w:b w:val="0"/>
        </w:rPr>
        <w:t>没有。沿用原项目冻结core、在剩余敏感样本重拟合910个仿射参数的协议。</w:t>
      </w:r>
    </w:p>
    <w:p>
      <w:pPr>
        <w:pStyle w:val="Heading2"/>
      </w:pPr>
      <w:r>
        <w:t>两个测试通过数能否相加？</w:t>
      </w:r>
    </w:p>
    <w:p>
      <w:r>
        <w:rPr>
          <w:rFonts w:ascii="Noto Sans CJK SC" w:hAnsi="Noto Sans CJK SC" w:eastAsia="Noto Sans CJK SC"/>
          <w:b w:val="0"/>
        </w:rPr>
        <w:t>不能。实验二57项是扩展后的累计测试集合，包含实验一49项。</w:t>
      </w:r>
    </w:p>
    <w:p>
      <w:r>
        <w:rPr>
          <w:rFonts w:ascii="Noto Sans CJK SC" w:hAnsi="Noto Sans CJK SC" w:eastAsia="Noto Sans CJK SC"/>
          <w:b w:val="0"/>
        </w:rPr>
        <w:t>实验一记录提交b5fd9f1；实验二记录提交b527981。所有展示数值来自随报告附带的evidence/，原项目完整模型快照和求解轨迹仍保存在research/对应目录。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950" w:right="1037" w:bottom="907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26675"/>
        <w:sz w:val="16"/>
      </w:rPr>
      <w:t xml:space="preserve">研究记录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26675"/>
        <w:sz w:val="17"/>
      </w:rPr>
      <w:t>CNN 输入扰动—负荷预测—运行成本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5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1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54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组会汇报讲稿：CNN输入扰动的预测与成本影响</dc:title>
  <dc:subject>对应15页PPT；建议时长约12–15分钟；可按组会时间删减</dc:subject>
  <dc:creator>syh-Mason/task_aware_machine_unlearning 项目记录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