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F678AD">
      <w:pPr>
        <w:pStyle w:val="16"/>
        <w:spacing w:before="0" w:after="80" w:line="259" w:lineRule="auto"/>
        <w:jc w:val="center"/>
        <w:rPr>
          <w:rFonts w:hint="default" w:ascii="Times New Roman" w:hAnsi="Times New Roman" w:cs="Times New Roman"/>
          <w:sz w:val="32"/>
          <w:szCs w:val="32"/>
        </w:rPr>
      </w:pPr>
      <w:r>
        <w:rPr>
          <w:rFonts w:hint="default" w:ascii="Times New Roman" w:hAnsi="Times New Roman" w:cs="Times New Roman"/>
          <w:color w:val="000000"/>
          <w:sz w:val="32"/>
          <w:szCs w:val="32"/>
        </w:rPr>
        <w:t>Supplementary Information</w:t>
      </w:r>
    </w:p>
    <w:p w14:paraId="1C7575F6">
      <w:pPr>
        <w:pStyle w:val="15"/>
        <w:spacing w:before="0" w:after="80" w:line="259" w:lineRule="auto"/>
        <w:jc w:val="center"/>
        <w:rPr>
          <w:rFonts w:hint="default" w:ascii="Times New Roman" w:hAnsi="Times New Roman" w:cs="Times New Roman"/>
          <w:sz w:val="32"/>
          <w:szCs w:val="32"/>
        </w:rPr>
      </w:pPr>
      <w:r>
        <w:rPr>
          <w:rFonts w:hint="default" w:ascii="Times New Roman" w:hAnsi="Times New Roman" w:cs="Times New Roman"/>
          <w:color w:val="000000"/>
          <w:sz w:val="32"/>
          <w:szCs w:val="32"/>
        </w:rPr>
        <w:t>Cross-dimensional machine learning of in-plane dielectric constants in two-dimensional materials from three-dimensional van der Waals crystals</w:t>
      </w:r>
    </w:p>
    <w:p w14:paraId="5EFEF81A">
      <w:pPr>
        <w:pStyle w:val="23"/>
        <w:spacing w:before="0" w:after="80" w:line="259" w:lineRule="auto"/>
        <w:rPr>
          <w:rFonts w:hint="default" w:ascii="Times New Roman" w:hAnsi="Times New Roman" w:cs="Times New Roman"/>
          <w:sz w:val="24"/>
          <w:szCs w:val="24"/>
        </w:rPr>
      </w:pPr>
      <w:bookmarkStart w:id="0" w:name="supplementary-information"/>
      <w:r>
        <w:rPr>
          <w:rFonts w:hint="default" w:ascii="Times New Roman" w:hAnsi="Times New Roman" w:cs="Times New Roman"/>
          <w:color w:val="000000"/>
          <w:sz w:val="24"/>
          <w:szCs w:val="24"/>
        </w:rPr>
        <w:t>This Supplementary Information consolidates the materials cited collectively in the main manuscript. It contains the definitions and mathematical expressions of the physically reconstructed descriptors, the Pearson-correlation analysis for representative descriptors, and the abbreviation map for the feature names used in the feature-ranking and distribution analyses.</w:t>
      </w:r>
      <w:bookmarkStart w:id="5" w:name="_GoBack"/>
      <w:bookmarkEnd w:id="5"/>
    </w:p>
    <w:p w14:paraId="39A37354">
      <w:pPr>
        <w:pStyle w:val="4"/>
        <w:spacing w:before="0" w:after="80" w:line="259" w:lineRule="auto"/>
        <w:rPr>
          <w:rFonts w:hint="default" w:ascii="Times New Roman" w:hAnsi="Times New Roman" w:cs="Times New Roman"/>
          <w:sz w:val="32"/>
          <w:szCs w:val="32"/>
        </w:rPr>
      </w:pPr>
      <w:bookmarkStart w:id="1" w:name="X292542695b34511e99e1b137cbefd91643eb8e4"/>
      <w:r>
        <w:rPr>
          <w:rFonts w:hint="default" w:ascii="Times New Roman" w:hAnsi="Times New Roman" w:cs="Times New Roman"/>
          <w:b/>
          <w:color w:val="000000"/>
          <w:sz w:val="32"/>
          <w:szCs w:val="32"/>
        </w:rPr>
        <w:t xml:space="preserve">Supplementary </w:t>
      </w:r>
      <w:r>
        <w:rPr>
          <w:rFonts w:hint="default" w:ascii="Times New Roman" w:hAnsi="Times New Roman" w:cs="Times New Roman"/>
          <w:b/>
          <w:color w:val="000000"/>
          <w:sz w:val="32"/>
          <w:szCs w:val="32"/>
        </w:rPr>
        <w:t>Table S1</w:t>
      </w:r>
      <w:r>
        <w:rPr>
          <w:rFonts w:hint="default" w:ascii="Times New Roman" w:hAnsi="Times New Roman" w:cs="Times New Roman"/>
          <w:b/>
          <w:color w:val="000000"/>
          <w:sz w:val="32"/>
          <w:szCs w:val="32"/>
        </w:rPr>
        <w:t>| Physically reconstructed features and mathematical expressions</w:t>
      </w:r>
    </w:p>
    <w:p w14:paraId="190E7E89">
      <w:pPr>
        <w:pStyle w:val="23"/>
        <w:spacing w:before="0" w:after="80" w:line="259" w:lineRule="auto"/>
        <w:rPr>
          <w:rFonts w:hint="default" w:ascii="Times New Roman" w:hAnsi="Times New Roman" w:cs="Times New Roman"/>
          <w:sz w:val="24"/>
          <w:szCs w:val="24"/>
        </w:rPr>
      </w:pPr>
      <w:r>
        <w:rPr>
          <w:rFonts w:hint="default" w:ascii="Times New Roman" w:hAnsi="Times New Roman" w:cs="Times New Roman"/>
          <w:color w:val="000000"/>
          <w:sz w:val="24"/>
          <w:szCs w:val="24"/>
        </w:rPr>
        <w:t>The physically reconstructed descriptors below were introduced to express the geometry and response-relevant density of layered crystals and monolayers on a common effective-thickness basis. Roman text is used for descriptor labels and non-variable subscripts, whereas mathematical variables are italicized.</w:t>
      </w:r>
    </w:p>
    <w:tbl>
      <w:tblPr>
        <w:tblStyle w:val="30"/>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325"/>
        <w:gridCol w:w="4435"/>
        <w:gridCol w:w="3325"/>
        <w:gridCol w:w="3325"/>
      </w:tblGrid>
      <w:tr w14:paraId="68379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153" w:type="pct"/>
            <w:shd w:val="clear" w:color="auto" w:fill="FFFFFF"/>
            <w:tcMar>
              <w:top w:w="70" w:type="dxa"/>
              <w:left w:w="80" w:type="dxa"/>
              <w:bottom w:w="70" w:type="dxa"/>
              <w:right w:w="80" w:type="dxa"/>
            </w:tcMar>
            <w:vAlign w:val="center"/>
          </w:tcPr>
          <w:p w14:paraId="76D8982A">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b/>
                <w:i w:val="0"/>
                <w:color w:val="000000"/>
                <w:sz w:val="24"/>
                <w:szCs w:val="24"/>
              </w:rPr>
              <w:t>Feature name</w:t>
            </w:r>
          </w:p>
        </w:tc>
        <w:tc>
          <w:tcPr>
            <w:tcW w:w="1538" w:type="pct"/>
            <w:shd w:val="clear" w:color="auto" w:fill="FFFFFF"/>
            <w:tcMar>
              <w:top w:w="70" w:type="dxa"/>
              <w:left w:w="80" w:type="dxa"/>
              <w:bottom w:w="70" w:type="dxa"/>
              <w:right w:w="80" w:type="dxa"/>
            </w:tcMar>
            <w:vAlign w:val="center"/>
          </w:tcPr>
          <w:p w14:paraId="55B93A5C">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b/>
                <w:i w:val="0"/>
                <w:color w:val="000000"/>
                <w:sz w:val="24"/>
                <w:szCs w:val="24"/>
              </w:rPr>
              <w:t>Symbol</w:t>
            </w:r>
          </w:p>
        </w:tc>
        <w:tc>
          <w:tcPr>
            <w:tcW w:w="1153" w:type="pct"/>
            <w:shd w:val="clear" w:color="auto" w:fill="FFFFFF"/>
            <w:tcMar>
              <w:top w:w="70" w:type="dxa"/>
              <w:left w:w="80" w:type="dxa"/>
              <w:bottom w:w="70" w:type="dxa"/>
              <w:right w:w="80" w:type="dxa"/>
            </w:tcMar>
            <w:vAlign w:val="center"/>
          </w:tcPr>
          <w:p w14:paraId="5BA6BD8B">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b/>
                <w:i w:val="0"/>
                <w:color w:val="000000"/>
                <w:sz w:val="24"/>
                <w:szCs w:val="24"/>
              </w:rPr>
              <w:t>Mathematical definition</w:t>
            </w:r>
          </w:p>
        </w:tc>
        <w:tc>
          <w:tcPr>
            <w:tcW w:w="1153" w:type="pct"/>
            <w:shd w:val="clear" w:color="auto" w:fill="FFFFFF"/>
            <w:tcMar>
              <w:top w:w="70" w:type="dxa"/>
              <w:left w:w="80" w:type="dxa"/>
              <w:bottom w:w="70" w:type="dxa"/>
              <w:right w:w="80" w:type="dxa"/>
            </w:tcMar>
            <w:vAlign w:val="center"/>
          </w:tcPr>
          <w:p w14:paraId="462F6445">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b/>
                <w:i w:val="0"/>
                <w:color w:val="000000"/>
                <w:sz w:val="24"/>
                <w:szCs w:val="24"/>
              </w:rPr>
              <w:t>Physical meaning</w:t>
            </w:r>
          </w:p>
        </w:tc>
      </w:tr>
      <w:tr w14:paraId="07231F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3" w:type="pct"/>
            <w:shd w:val="clear" w:color="auto" w:fill="FFFFFF"/>
            <w:tcMar>
              <w:top w:w="70" w:type="dxa"/>
              <w:left w:w="80" w:type="dxa"/>
              <w:bottom w:w="70" w:type="dxa"/>
              <w:right w:w="80" w:type="dxa"/>
            </w:tcMar>
            <w:vAlign w:val="center"/>
          </w:tcPr>
          <w:p w14:paraId="5CDA669B">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Effective thickness</w:t>
            </w:r>
          </w:p>
        </w:tc>
        <w:tc>
          <w:tcPr>
            <w:tcW w:w="1538" w:type="pct"/>
            <w:shd w:val="clear" w:color="auto" w:fill="FFFFFF"/>
            <w:tcMar>
              <w:top w:w="70" w:type="dxa"/>
              <w:left w:w="80" w:type="dxa"/>
              <w:bottom w:w="70" w:type="dxa"/>
              <w:right w:w="80" w:type="dxa"/>
            </w:tcMar>
            <w:vAlign w:val="center"/>
          </w:tcPr>
          <w:p w14:paraId="1A95755D">
            <w:pPr>
              <w:pStyle w:val="24"/>
              <w:spacing w:before="0" w:after="30" w:line="247"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eff</m:t>
                    </m:r>
                    <m:ctrlPr>
                      <w:rPr>
                        <w:rFonts w:hint="default" w:ascii="Cambria Math" w:hAnsi="Cambria Math" w:cs="Times New Roman"/>
                        <w:sz w:val="24"/>
                        <w:szCs w:val="24"/>
                      </w:rPr>
                    </m:ctrlPr>
                  </m:sub>
                </m:sSub>
              </m:oMath>
            </m:oMathPara>
          </w:p>
        </w:tc>
        <w:tc>
          <w:tcPr>
            <w:tcW w:w="1153" w:type="pct"/>
            <w:shd w:val="clear" w:color="auto" w:fill="FFFFFF"/>
            <w:tcMar>
              <w:top w:w="70" w:type="dxa"/>
              <w:left w:w="80" w:type="dxa"/>
              <w:bottom w:w="70" w:type="dxa"/>
              <w:right w:w="80" w:type="dxa"/>
            </w:tcMar>
            <w:vAlign w:val="center"/>
          </w:tcPr>
          <w:p w14:paraId="5551F66C">
            <w:pPr>
              <w:pStyle w:val="24"/>
              <w:spacing w:before="0" w:after="30" w:line="247"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eff</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d>
                  <m:dPr>
                    <m:sepChr m:val=""/>
                    <m:ctrlPr>
                      <w:rPr>
                        <w:rFonts w:hint="default" w:ascii="Cambria Math" w:hAnsi="Cambria Math" w:cs="Times New Roman"/>
                        <w:sz w:val="24"/>
                        <w:szCs w:val="24"/>
                      </w:rPr>
                    </m:ctrlPr>
                  </m:dPr>
                  <m:e>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z</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max</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z</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min</m:t>
                        </m:r>
                        <m:ctrlPr>
                          <w:rPr>
                            <w:rFonts w:hint="default" w:ascii="Cambria Math" w:hAnsi="Cambria Math" w:cs="Times New Roman"/>
                            <w:sz w:val="24"/>
                            <w:szCs w:val="24"/>
                          </w:rPr>
                        </m:ctrlPr>
                      </m:sub>
                    </m:sSub>
                    <m:ctrlPr>
                      <w:rPr>
                        <w:rFonts w:hint="default" w:ascii="Cambria Math" w:hAnsi="Cambria Math" w:cs="Times New Roman"/>
                        <w:sz w:val="24"/>
                        <w:szCs w:val="24"/>
                      </w:rPr>
                    </m:ctrlPr>
                  </m:e>
                </m:d>
                <m:r>
                  <m:rPr>
                    <m:nor/>
                    <m:sty m:val="p"/>
                  </m:rPr>
                  <w:rPr>
                    <w:rFonts w:hint="default" w:ascii="Times New Roman" w:hAnsi="Times New Roman" w:cs="Times New Roman"/>
                    <w:b w:val="0"/>
                    <w:i w:val="0"/>
                    <w:sz w:val="24"/>
                    <w:szCs w:val="24"/>
                  </w:rPr>
                  <m:t>+</m:t>
                </m:r>
                <m:sSubSup>
                  <m:sSubSupPr>
                    <m:ctrlPr>
                      <w:rPr>
                        <w:rFonts w:hint="default" w:ascii="Cambria Math" w:hAnsi="Cambria Math" w:cs="Times New Roman"/>
                        <w:sz w:val="24"/>
                        <w:szCs w:val="24"/>
                      </w:rPr>
                    </m:ctrlPr>
                  </m:sSubSup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top</m:t>
                    </m:r>
                    <m:ctrlPr>
                      <w:rPr>
                        <w:rFonts w:hint="default" w:ascii="Cambria Math" w:hAnsi="Cambria Math" w:cs="Times New Roman"/>
                        <w:sz w:val="24"/>
                        <w:szCs w:val="24"/>
                      </w:rPr>
                    </m:ctrlPr>
                  </m:sub>
                  <m:sup>
                    <m:r>
                      <m:rPr>
                        <m:nor/>
                        <m:sty m:val="p"/>
                      </m:rPr>
                      <w:rPr>
                        <w:rFonts w:hint="default" w:ascii="Times New Roman" w:hAnsi="Times New Roman" w:cs="Times New Roman"/>
                        <w:b w:val="0"/>
                        <w:i w:val="0"/>
                        <w:sz w:val="24"/>
                        <w:szCs w:val="24"/>
                      </w:rPr>
                      <m:t>vdW</m:t>
                    </m:r>
                    <m:ctrlPr>
                      <w:rPr>
                        <w:rFonts w:hint="default" w:ascii="Cambria Math" w:hAnsi="Cambria Math" w:cs="Times New Roman"/>
                        <w:sz w:val="24"/>
                        <w:szCs w:val="24"/>
                      </w:rPr>
                    </m:ctrlPr>
                  </m:sup>
                </m:sSubSup>
                <m:r>
                  <m:rPr>
                    <m:nor/>
                    <m:sty m:val="p"/>
                  </m:rPr>
                  <w:rPr>
                    <w:rFonts w:hint="default" w:ascii="Times New Roman" w:hAnsi="Times New Roman" w:cs="Times New Roman"/>
                    <w:b w:val="0"/>
                    <w:i w:val="0"/>
                    <w:sz w:val="24"/>
                    <w:szCs w:val="24"/>
                  </w:rPr>
                  <m:t>+</m:t>
                </m:r>
                <m:sSubSup>
                  <m:sSubSupPr>
                    <m:ctrlPr>
                      <w:rPr>
                        <w:rFonts w:hint="default" w:ascii="Cambria Math" w:hAnsi="Cambria Math" w:cs="Times New Roman"/>
                        <w:sz w:val="24"/>
                        <w:szCs w:val="24"/>
                      </w:rPr>
                    </m:ctrlPr>
                  </m:sSubSup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bot</m:t>
                    </m:r>
                    <m:ctrlPr>
                      <w:rPr>
                        <w:rFonts w:hint="default" w:ascii="Cambria Math" w:hAnsi="Cambria Math" w:cs="Times New Roman"/>
                        <w:sz w:val="24"/>
                        <w:szCs w:val="24"/>
                      </w:rPr>
                    </m:ctrlPr>
                  </m:sub>
                  <m:sup>
                    <m:r>
                      <m:rPr>
                        <m:nor/>
                        <m:sty m:val="p"/>
                      </m:rPr>
                      <w:rPr>
                        <w:rFonts w:hint="default" w:ascii="Times New Roman" w:hAnsi="Times New Roman" w:cs="Times New Roman"/>
                        <w:b w:val="0"/>
                        <w:i w:val="0"/>
                        <w:sz w:val="24"/>
                        <w:szCs w:val="24"/>
                      </w:rPr>
                      <m:t>vdW</m:t>
                    </m:r>
                    <m:ctrlPr>
                      <w:rPr>
                        <w:rFonts w:hint="default" w:ascii="Cambria Math" w:hAnsi="Cambria Math" w:cs="Times New Roman"/>
                        <w:sz w:val="24"/>
                        <w:szCs w:val="24"/>
                      </w:rPr>
                    </m:ctrlPr>
                  </m:sup>
                </m:sSubSup>
              </m:oMath>
            </m:oMathPara>
          </w:p>
        </w:tc>
        <w:tc>
          <w:tcPr>
            <w:tcW w:w="1153" w:type="pct"/>
            <w:shd w:val="clear" w:color="auto" w:fill="FFFFFF"/>
            <w:tcMar>
              <w:top w:w="70" w:type="dxa"/>
              <w:left w:w="80" w:type="dxa"/>
              <w:bottom w:w="70" w:type="dxa"/>
              <w:right w:w="80" w:type="dxa"/>
            </w:tcMar>
            <w:vAlign w:val="center"/>
          </w:tcPr>
          <w:p w14:paraId="41AC282E">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Intrinsic layer thickness after removing the artificial vacuum contribution and adding the Bondi van der Waals radii of the two boundary atoms.</w:t>
            </w:r>
          </w:p>
        </w:tc>
      </w:tr>
      <w:tr w14:paraId="24D51B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3" w:type="pct"/>
            <w:shd w:val="clear" w:color="auto" w:fill="FFFFFF"/>
            <w:tcMar>
              <w:top w:w="70" w:type="dxa"/>
              <w:left w:w="80" w:type="dxa"/>
              <w:bottom w:w="70" w:type="dxa"/>
              <w:right w:w="80" w:type="dxa"/>
            </w:tcMar>
            <w:vAlign w:val="center"/>
          </w:tcPr>
          <w:p w14:paraId="07F293B5">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In-plane area</w:t>
            </w:r>
          </w:p>
        </w:tc>
        <w:tc>
          <w:tcPr>
            <w:tcW w:w="1538" w:type="pct"/>
            <w:shd w:val="clear" w:color="auto" w:fill="FFFFFF"/>
            <w:tcMar>
              <w:top w:w="70" w:type="dxa"/>
              <w:left w:w="80" w:type="dxa"/>
              <w:bottom w:w="70" w:type="dxa"/>
              <w:right w:w="80" w:type="dxa"/>
            </w:tcMar>
            <w:vAlign w:val="center"/>
          </w:tcPr>
          <w:p w14:paraId="7F9C004E">
            <w:pPr>
              <w:pStyle w:val="24"/>
              <w:spacing w:before="0" w:after="30" w:line="247"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A</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2D</m:t>
                    </m:r>
                    <m:ctrlPr>
                      <w:rPr>
                        <w:rFonts w:hint="default" w:ascii="Cambria Math" w:hAnsi="Cambria Math" w:cs="Times New Roman"/>
                        <w:sz w:val="24"/>
                        <w:szCs w:val="24"/>
                      </w:rPr>
                    </m:ctrlPr>
                  </m:sub>
                </m:sSub>
              </m:oMath>
            </m:oMathPara>
          </w:p>
        </w:tc>
        <w:tc>
          <w:tcPr>
            <w:tcW w:w="1153" w:type="pct"/>
            <w:shd w:val="clear" w:color="auto" w:fill="FFFFFF"/>
            <w:tcMar>
              <w:top w:w="70" w:type="dxa"/>
              <w:left w:w="80" w:type="dxa"/>
              <w:bottom w:w="70" w:type="dxa"/>
              <w:right w:w="80" w:type="dxa"/>
            </w:tcMar>
            <w:vAlign w:val="center"/>
          </w:tcPr>
          <w:p w14:paraId="2568157A">
            <w:pPr>
              <w:pStyle w:val="24"/>
              <w:spacing w:before="0" w:after="30" w:line="247"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A</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2D</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ab</m:t>
                </m:r>
                <m:r>
                  <m:rPr>
                    <m:nor/>
                    <m:sty m:val="p"/>
                  </m:rPr>
                  <w:rPr>
                    <w:rFonts w:hint="default" w:ascii="Times New Roman" w:hAnsi="Times New Roman" w:cs="Times New Roman"/>
                    <w:b w:val="0"/>
                    <w:i w:val="0"/>
                    <w:sz w:val="24"/>
                    <w:szCs w:val="24"/>
                  </w:rPr>
                  <m:t>sin</m:t>
                </m:r>
                <m:r>
                  <m:rPr>
                    <m:nor/>
                  </m:rPr>
                  <w:rPr>
                    <w:rFonts w:hint="default" w:ascii="Times New Roman" w:hAnsi="Times New Roman" w:cs="Times New Roman"/>
                    <w:i/>
                    <w:sz w:val="24"/>
                    <w:szCs w:val="24"/>
                  </w:rPr>
                  <m:t>γ</m:t>
                </m:r>
              </m:oMath>
            </m:oMathPara>
          </w:p>
        </w:tc>
        <w:tc>
          <w:tcPr>
            <w:tcW w:w="1153" w:type="pct"/>
            <w:shd w:val="clear" w:color="auto" w:fill="FFFFFF"/>
            <w:tcMar>
              <w:top w:w="70" w:type="dxa"/>
              <w:left w:w="80" w:type="dxa"/>
              <w:bottom w:w="70" w:type="dxa"/>
              <w:right w:w="80" w:type="dxa"/>
            </w:tcMar>
            <w:vAlign w:val="center"/>
          </w:tcPr>
          <w:p w14:paraId="415A65E3">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 xml:space="preserve">Projected area of the two-dimensional unit cell in the </w:t>
            </w:r>
            <m:oMath>
              <m:r>
                <m:rPr>
                  <m:nor/>
                </m:rPr>
                <w:rPr>
                  <w:rFonts w:hint="default" w:ascii="Times New Roman" w:hAnsi="Times New Roman" w:cs="Times New Roman"/>
                  <w:i/>
                  <w:sz w:val="24"/>
                  <w:szCs w:val="24"/>
                </w:rPr>
                <m:t>xy</m:t>
              </m:r>
            </m:oMath>
            <w:r>
              <w:rPr>
                <w:rFonts w:hint="default" w:ascii="Times New Roman" w:hAnsi="Times New Roman" w:cs="Times New Roman"/>
                <w:i w:val="0"/>
                <w:color w:val="000000"/>
                <w:sz w:val="24"/>
                <w:szCs w:val="24"/>
              </w:rPr>
              <w:t xml:space="preserve"> plane.</w:t>
            </w:r>
          </w:p>
        </w:tc>
      </w:tr>
      <w:tr w14:paraId="673835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3" w:type="pct"/>
            <w:shd w:val="clear" w:color="auto" w:fill="FFFFFF"/>
            <w:tcMar>
              <w:top w:w="70" w:type="dxa"/>
              <w:left w:w="80" w:type="dxa"/>
              <w:bottom w:w="70" w:type="dxa"/>
              <w:right w:w="80" w:type="dxa"/>
            </w:tcMar>
            <w:vAlign w:val="center"/>
          </w:tcPr>
          <w:p w14:paraId="55FFAC3B">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Effective volume</w:t>
            </w:r>
          </w:p>
        </w:tc>
        <w:tc>
          <w:tcPr>
            <w:tcW w:w="1538" w:type="pct"/>
            <w:shd w:val="clear" w:color="auto" w:fill="FFFFFF"/>
            <w:tcMar>
              <w:top w:w="70" w:type="dxa"/>
              <w:left w:w="80" w:type="dxa"/>
              <w:bottom w:w="70" w:type="dxa"/>
              <w:right w:w="80" w:type="dxa"/>
            </w:tcMar>
            <w:vAlign w:val="center"/>
          </w:tcPr>
          <w:p w14:paraId="63395A29">
            <w:pPr>
              <w:pStyle w:val="24"/>
              <w:spacing w:before="0" w:after="30" w:line="247"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V</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eff</m:t>
                    </m:r>
                    <m:ctrlPr>
                      <w:rPr>
                        <w:rFonts w:hint="default" w:ascii="Cambria Math" w:hAnsi="Cambria Math" w:cs="Times New Roman"/>
                        <w:sz w:val="24"/>
                        <w:szCs w:val="24"/>
                      </w:rPr>
                    </m:ctrlPr>
                  </m:sub>
                </m:sSub>
              </m:oMath>
            </m:oMathPara>
          </w:p>
        </w:tc>
        <w:tc>
          <w:tcPr>
            <w:tcW w:w="1153" w:type="pct"/>
            <w:shd w:val="clear" w:color="auto" w:fill="FFFFFF"/>
            <w:tcMar>
              <w:top w:w="70" w:type="dxa"/>
              <w:left w:w="80" w:type="dxa"/>
              <w:bottom w:w="70" w:type="dxa"/>
              <w:right w:w="80" w:type="dxa"/>
            </w:tcMar>
            <w:vAlign w:val="center"/>
          </w:tcPr>
          <w:p w14:paraId="573D8CE9">
            <w:pPr>
              <w:pStyle w:val="24"/>
              <w:spacing w:before="0" w:after="30" w:line="247"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V</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eff</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A</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2D</m:t>
                    </m:r>
                    <m:ctrlPr>
                      <w:rPr>
                        <w:rFonts w:hint="default" w:ascii="Cambria Math" w:hAnsi="Cambria Math" w:cs="Times New Roman"/>
                        <w:sz w:val="24"/>
                        <w:szCs w:val="24"/>
                      </w:rPr>
                    </m:ctrlPr>
                  </m:sub>
                </m:sSub>
                <m:r>
                  <m:rPr>
                    <m:nor/>
                    <m:sty m:val="p"/>
                  </m:rPr>
                  <w:rPr>
                    <w:rFonts w:hint="default" w:ascii="Times New Roman" w:hAnsi="Times New Roman" w:cs="Times New Roman"/>
                    <w:i w:val="0"/>
                    <w:sz w:val="24"/>
                    <w:szCs w:val="24"/>
                  </w:rPr>
                  <m:t> </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eff</m:t>
                    </m:r>
                    <m:ctrlPr>
                      <w:rPr>
                        <w:rFonts w:hint="default" w:ascii="Cambria Math" w:hAnsi="Cambria Math" w:cs="Times New Roman"/>
                        <w:sz w:val="24"/>
                        <w:szCs w:val="24"/>
                      </w:rPr>
                    </m:ctrlPr>
                  </m:sub>
                </m:sSub>
              </m:oMath>
            </m:oMathPara>
          </w:p>
        </w:tc>
        <w:tc>
          <w:tcPr>
            <w:tcW w:w="1153" w:type="pct"/>
            <w:shd w:val="clear" w:color="auto" w:fill="FFFFFF"/>
            <w:tcMar>
              <w:top w:w="70" w:type="dxa"/>
              <w:left w:w="80" w:type="dxa"/>
              <w:bottom w:w="70" w:type="dxa"/>
              <w:right w:w="80" w:type="dxa"/>
            </w:tcMar>
            <w:vAlign w:val="center"/>
          </w:tcPr>
          <w:p w14:paraId="00D0A20A">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Vacuum-independent three-dimensional volume intrinsically occupied by the material.</w:t>
            </w:r>
          </w:p>
        </w:tc>
      </w:tr>
      <w:tr w14:paraId="4B91E0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3" w:type="pct"/>
            <w:shd w:val="clear" w:color="auto" w:fill="FFFFFF"/>
            <w:tcMar>
              <w:top w:w="70" w:type="dxa"/>
              <w:left w:w="80" w:type="dxa"/>
              <w:bottom w:w="70" w:type="dxa"/>
              <w:right w:w="80" w:type="dxa"/>
            </w:tcMar>
            <w:vAlign w:val="center"/>
          </w:tcPr>
          <w:p w14:paraId="0F12DF59">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Effective density</w:t>
            </w:r>
          </w:p>
        </w:tc>
        <w:tc>
          <w:tcPr>
            <w:tcW w:w="1538" w:type="pct"/>
            <w:shd w:val="clear" w:color="auto" w:fill="FFFFFF"/>
            <w:tcMar>
              <w:top w:w="70" w:type="dxa"/>
              <w:left w:w="80" w:type="dxa"/>
              <w:bottom w:w="70" w:type="dxa"/>
              <w:right w:w="80" w:type="dxa"/>
            </w:tcMar>
            <w:vAlign w:val="center"/>
          </w:tcPr>
          <w:p w14:paraId="59BBF306">
            <w:pPr>
              <w:pStyle w:val="24"/>
              <w:spacing w:before="0" w:after="30" w:line="247"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ρ</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eff</m:t>
                    </m:r>
                    <m:ctrlPr>
                      <w:rPr>
                        <w:rFonts w:hint="default" w:ascii="Cambria Math" w:hAnsi="Cambria Math" w:cs="Times New Roman"/>
                        <w:sz w:val="24"/>
                        <w:szCs w:val="24"/>
                      </w:rPr>
                    </m:ctrlPr>
                  </m:sub>
                </m:sSub>
              </m:oMath>
            </m:oMathPara>
          </w:p>
        </w:tc>
        <w:tc>
          <w:tcPr>
            <w:tcW w:w="1153" w:type="pct"/>
            <w:shd w:val="clear" w:color="auto" w:fill="FFFFFF"/>
            <w:tcMar>
              <w:top w:w="70" w:type="dxa"/>
              <w:left w:w="80" w:type="dxa"/>
              <w:bottom w:w="70" w:type="dxa"/>
              <w:right w:w="80" w:type="dxa"/>
            </w:tcMar>
            <w:vAlign w:val="center"/>
          </w:tcPr>
          <w:p w14:paraId="32756A79">
            <w:pPr>
              <w:pStyle w:val="24"/>
              <w:spacing w:before="0" w:after="30" w:line="247"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ρ</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eff</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f>
                  <m:fPr>
                    <m:ctrlPr>
                      <w:rPr>
                        <w:rFonts w:hint="default" w:ascii="Cambria Math" w:hAnsi="Cambria Math" w:cs="Times New Roman"/>
                        <w:sz w:val="24"/>
                        <w:szCs w:val="24"/>
                      </w:rPr>
                    </m:ctrlPr>
                  </m:fPr>
                  <m:num>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cell</m:t>
                        </m:r>
                        <m:ctrlPr>
                          <w:rPr>
                            <w:rFonts w:hint="default" w:ascii="Cambria Math" w:hAnsi="Cambria Math" w:cs="Times New Roman"/>
                            <w:sz w:val="24"/>
                            <w:szCs w:val="24"/>
                          </w:rPr>
                        </m:ctrlPr>
                      </m:sub>
                    </m:sSub>
                    <m:ctrlPr>
                      <w:rPr>
                        <w:rFonts w:hint="default" w:ascii="Cambria Math" w:hAnsi="Cambria Math" w:cs="Times New Roman"/>
                        <w:sz w:val="24"/>
                        <w:szCs w:val="24"/>
                      </w:rPr>
                    </m:ctrlPr>
                  </m:num>
                  <m:den>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V</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eff</m:t>
                        </m:r>
                        <m:ctrlPr>
                          <w:rPr>
                            <w:rFonts w:hint="default" w:ascii="Cambria Math" w:hAnsi="Cambria Math" w:cs="Times New Roman"/>
                            <w:sz w:val="24"/>
                            <w:szCs w:val="24"/>
                          </w:rPr>
                        </m:ctrlPr>
                      </m:sub>
                    </m:sSub>
                    <m:ctrlPr>
                      <w:rPr>
                        <w:rFonts w:hint="default" w:ascii="Cambria Math" w:hAnsi="Cambria Math" w:cs="Times New Roman"/>
                        <w:sz w:val="24"/>
                        <w:szCs w:val="24"/>
                      </w:rPr>
                    </m:ctrlPr>
                  </m:den>
                </m:f>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iCs/>
                    <w:sz w:val="24"/>
                    <w:szCs w:val="24"/>
                  </w:rPr>
                  <m:t>1.660539</m:t>
                </m:r>
              </m:oMath>
            </m:oMathPara>
          </w:p>
        </w:tc>
        <w:tc>
          <w:tcPr>
            <w:tcW w:w="1153" w:type="pct"/>
            <w:shd w:val="clear" w:color="auto" w:fill="FFFFFF"/>
            <w:tcMar>
              <w:top w:w="70" w:type="dxa"/>
              <w:left w:w="80" w:type="dxa"/>
              <w:bottom w:w="70" w:type="dxa"/>
              <w:right w:w="80" w:type="dxa"/>
            </w:tcMar>
            <w:vAlign w:val="center"/>
          </w:tcPr>
          <w:p w14:paraId="6A2E0822">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 xml:space="preserve">Mass density distributed within the effective volume, expressed in </w:t>
            </w:r>
            <m:oMath>
              <m:r>
                <m:rPr>
                  <m:nor/>
                  <m:sty m:val="p"/>
                </m:rPr>
                <w:rPr>
                  <w:rFonts w:hint="default" w:ascii="Times New Roman" w:hAnsi="Times New Roman" w:cs="Times New Roman"/>
                  <w:b w:val="0"/>
                  <w:i w:val="0"/>
                  <w:sz w:val="24"/>
                  <w:szCs w:val="24"/>
                </w:rPr>
                <m:t>g⋅</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cm</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3</m:t>
                  </m:r>
                  <m:ctrlPr>
                    <w:rPr>
                      <w:rFonts w:hint="default" w:ascii="Cambria Math" w:hAnsi="Cambria Math" w:cs="Times New Roman"/>
                      <w:sz w:val="24"/>
                      <w:szCs w:val="24"/>
                    </w:rPr>
                  </m:ctrlPr>
                </m:sup>
              </m:sSup>
            </m:oMath>
            <w:r>
              <w:rPr>
                <w:rFonts w:hint="default" w:ascii="Times New Roman" w:hAnsi="Times New Roman" w:cs="Times New Roman"/>
                <w:i w:val="0"/>
                <w:color w:val="000000"/>
                <w:sz w:val="24"/>
                <w:szCs w:val="24"/>
              </w:rPr>
              <w:t>.</w:t>
            </w:r>
          </w:p>
        </w:tc>
      </w:tr>
      <w:tr w14:paraId="32E85F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3" w:type="pct"/>
            <w:shd w:val="clear" w:color="auto" w:fill="FFFFFF"/>
            <w:tcMar>
              <w:top w:w="70" w:type="dxa"/>
              <w:left w:w="80" w:type="dxa"/>
              <w:bottom w:w="70" w:type="dxa"/>
              <w:right w:w="80" w:type="dxa"/>
            </w:tcMar>
            <w:vAlign w:val="center"/>
          </w:tcPr>
          <w:p w14:paraId="4D022702">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Per-atom effective volume</w:t>
            </w:r>
          </w:p>
        </w:tc>
        <w:tc>
          <w:tcPr>
            <w:tcW w:w="1538" w:type="pct"/>
            <w:shd w:val="clear" w:color="auto" w:fill="FFFFFF"/>
            <w:tcMar>
              <w:top w:w="70" w:type="dxa"/>
              <w:left w:w="80" w:type="dxa"/>
              <w:bottom w:w="70" w:type="dxa"/>
              <w:right w:w="80" w:type="dxa"/>
            </w:tcMar>
            <w:vAlign w:val="center"/>
          </w:tcPr>
          <w:p w14:paraId="2D3A307D">
            <w:pPr>
              <w:pStyle w:val="24"/>
              <w:spacing w:before="0" w:after="30" w:line="247"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v</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eff</m:t>
                    </m:r>
                    <m:ctrlPr>
                      <w:rPr>
                        <w:rFonts w:hint="default" w:ascii="Cambria Math" w:hAnsi="Cambria Math" w:cs="Times New Roman"/>
                        <w:sz w:val="24"/>
                        <w:szCs w:val="24"/>
                      </w:rPr>
                    </m:ctrlPr>
                  </m:sub>
                </m:sSub>
              </m:oMath>
            </m:oMathPara>
          </w:p>
        </w:tc>
        <w:tc>
          <w:tcPr>
            <w:tcW w:w="1153" w:type="pct"/>
            <w:shd w:val="clear" w:color="auto" w:fill="FFFFFF"/>
            <w:tcMar>
              <w:top w:w="70" w:type="dxa"/>
              <w:left w:w="80" w:type="dxa"/>
              <w:bottom w:w="70" w:type="dxa"/>
              <w:right w:w="80" w:type="dxa"/>
            </w:tcMar>
            <w:vAlign w:val="center"/>
          </w:tcPr>
          <w:p w14:paraId="2045C180">
            <w:pPr>
              <w:pStyle w:val="24"/>
              <w:spacing w:before="0" w:after="30" w:line="247"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v</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eff</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V</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eff</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N</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atoms</m:t>
                    </m:r>
                    <m:ctrlPr>
                      <w:rPr>
                        <w:rFonts w:hint="default" w:ascii="Cambria Math" w:hAnsi="Cambria Math" w:cs="Times New Roman"/>
                        <w:sz w:val="24"/>
                        <w:szCs w:val="24"/>
                      </w:rPr>
                    </m:ctrlPr>
                  </m:sub>
                </m:sSub>
              </m:oMath>
            </m:oMathPara>
          </w:p>
        </w:tc>
        <w:tc>
          <w:tcPr>
            <w:tcW w:w="1153" w:type="pct"/>
            <w:shd w:val="clear" w:color="auto" w:fill="FFFFFF"/>
            <w:tcMar>
              <w:top w:w="70" w:type="dxa"/>
              <w:left w:w="80" w:type="dxa"/>
              <w:bottom w:w="70" w:type="dxa"/>
              <w:right w:w="80" w:type="dxa"/>
            </w:tcMar>
            <w:vAlign w:val="center"/>
          </w:tcPr>
          <w:p w14:paraId="6BDC2D01">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Average effective space assigned to each atom.</w:t>
            </w:r>
          </w:p>
        </w:tc>
      </w:tr>
      <w:tr w14:paraId="432C80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3" w:type="pct"/>
            <w:shd w:val="clear" w:color="auto" w:fill="FFFFFF"/>
            <w:tcMar>
              <w:top w:w="70" w:type="dxa"/>
              <w:left w:w="80" w:type="dxa"/>
              <w:bottom w:w="70" w:type="dxa"/>
              <w:right w:w="80" w:type="dxa"/>
            </w:tcMar>
            <w:vAlign w:val="center"/>
          </w:tcPr>
          <w:p w14:paraId="7F769715">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Structural dimensionality ratio</w:t>
            </w:r>
          </w:p>
        </w:tc>
        <w:tc>
          <w:tcPr>
            <w:tcW w:w="1538" w:type="pct"/>
            <w:shd w:val="clear" w:color="auto" w:fill="FFFFFF"/>
            <w:tcMar>
              <w:top w:w="70" w:type="dxa"/>
              <w:left w:w="80" w:type="dxa"/>
              <w:bottom w:w="70" w:type="dxa"/>
              <w:right w:w="80" w:type="dxa"/>
            </w:tcMar>
            <w:vAlign w:val="center"/>
          </w:tcPr>
          <w:p w14:paraId="05CABD60">
            <w:pPr>
              <w:pStyle w:val="24"/>
              <w:spacing w:before="0" w:after="30" w:line="247" w:lineRule="auto"/>
              <w:jc w:val="center"/>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SDR</m:t>
                </m:r>
              </m:oMath>
            </m:oMathPara>
          </w:p>
        </w:tc>
        <w:tc>
          <w:tcPr>
            <w:tcW w:w="1153" w:type="pct"/>
            <w:shd w:val="clear" w:color="auto" w:fill="FFFFFF"/>
            <w:tcMar>
              <w:top w:w="70" w:type="dxa"/>
              <w:left w:w="80" w:type="dxa"/>
              <w:bottom w:w="70" w:type="dxa"/>
              <w:right w:w="80" w:type="dxa"/>
            </w:tcMar>
            <w:vAlign w:val="center"/>
          </w:tcPr>
          <w:p w14:paraId="312C29A5">
            <w:pPr>
              <w:pStyle w:val="24"/>
              <w:spacing w:before="0" w:after="30" w:line="247" w:lineRule="auto"/>
              <w:jc w:val="center"/>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SDR=</m:t>
                </m:r>
                <m:f>
                  <m:fPr>
                    <m:ctrlPr>
                      <w:rPr>
                        <w:rFonts w:hint="default" w:ascii="Cambria Math" w:hAnsi="Cambria Math" w:cs="Times New Roman"/>
                        <w:sz w:val="24"/>
                        <w:szCs w:val="24"/>
                      </w:rPr>
                    </m:ctrlPr>
                  </m:fPr>
                  <m:num>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eff</m:t>
                        </m:r>
                        <m:ctrlPr>
                          <w:rPr>
                            <w:rFonts w:hint="default" w:ascii="Cambria Math" w:hAnsi="Cambria Math" w:cs="Times New Roman"/>
                            <w:sz w:val="24"/>
                            <w:szCs w:val="24"/>
                          </w:rPr>
                        </m:ctrlPr>
                      </m:sub>
                    </m:sSub>
                    <m:ctrlPr>
                      <w:rPr>
                        <w:rFonts w:hint="default" w:ascii="Cambria Math" w:hAnsi="Cambria Math" w:cs="Times New Roman"/>
                        <w:sz w:val="24"/>
                        <w:szCs w:val="24"/>
                      </w:rPr>
                    </m:ctrlPr>
                  </m:num>
                  <m:den>
                    <m:r>
                      <m:rPr>
                        <m:nor/>
                      </m:rPr>
                      <w:rPr>
                        <w:rFonts w:hint="default" w:ascii="Times New Roman" w:hAnsi="Times New Roman" w:cs="Times New Roman"/>
                        <w:i/>
                        <w:sz w:val="24"/>
                        <w:szCs w:val="24"/>
                      </w:rPr>
                      <m:t>a</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b</m:t>
                    </m:r>
                    <m:ctrlPr>
                      <w:rPr>
                        <w:rFonts w:hint="default" w:ascii="Cambria Math" w:hAnsi="Cambria Math" w:cs="Times New Roman"/>
                        <w:sz w:val="24"/>
                        <w:szCs w:val="24"/>
                      </w:rPr>
                    </m:ctrlPr>
                  </m:den>
                </m:f>
              </m:oMath>
            </m:oMathPara>
          </w:p>
        </w:tc>
        <w:tc>
          <w:tcPr>
            <w:tcW w:w="1153" w:type="pct"/>
            <w:shd w:val="clear" w:color="auto" w:fill="FFFFFF"/>
            <w:tcMar>
              <w:top w:w="70" w:type="dxa"/>
              <w:left w:w="80" w:type="dxa"/>
              <w:bottom w:w="70" w:type="dxa"/>
              <w:right w:w="80" w:type="dxa"/>
            </w:tcMar>
            <w:vAlign w:val="center"/>
          </w:tcPr>
          <w:p w14:paraId="414C5C1D">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Geometric anisotropy measure for a two-dimensional layered structure.</w:t>
            </w:r>
          </w:p>
        </w:tc>
      </w:tr>
      <w:tr w14:paraId="730B22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3" w:type="pct"/>
            <w:shd w:val="clear" w:color="auto" w:fill="FFFFFF"/>
            <w:tcMar>
              <w:top w:w="70" w:type="dxa"/>
              <w:left w:w="80" w:type="dxa"/>
              <w:bottom w:w="70" w:type="dxa"/>
              <w:right w:w="80" w:type="dxa"/>
            </w:tcMar>
            <w:vAlign w:val="center"/>
          </w:tcPr>
          <w:p w14:paraId="26835DB9">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Area-thickness ratio</w:t>
            </w:r>
          </w:p>
        </w:tc>
        <w:tc>
          <w:tcPr>
            <w:tcW w:w="1538" w:type="pct"/>
            <w:shd w:val="clear" w:color="auto" w:fill="FFFFFF"/>
            <w:tcMar>
              <w:top w:w="70" w:type="dxa"/>
              <w:left w:w="80" w:type="dxa"/>
              <w:bottom w:w="70" w:type="dxa"/>
              <w:right w:w="80" w:type="dxa"/>
            </w:tcMar>
            <w:vAlign w:val="center"/>
          </w:tcPr>
          <w:p w14:paraId="17ADAD06">
            <w:pPr>
              <w:pStyle w:val="24"/>
              <w:spacing w:before="0" w:after="30" w:line="247" w:lineRule="auto"/>
              <w:jc w:val="center"/>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AI</m:t>
                </m:r>
              </m:oMath>
            </m:oMathPara>
          </w:p>
        </w:tc>
        <w:tc>
          <w:tcPr>
            <w:tcW w:w="1153" w:type="pct"/>
            <w:shd w:val="clear" w:color="auto" w:fill="FFFFFF"/>
            <w:tcMar>
              <w:top w:w="70" w:type="dxa"/>
              <w:left w:w="80" w:type="dxa"/>
              <w:bottom w:w="70" w:type="dxa"/>
              <w:right w:w="80" w:type="dxa"/>
            </w:tcMar>
            <w:vAlign w:val="center"/>
          </w:tcPr>
          <w:p w14:paraId="446A4070">
            <w:pPr>
              <w:pStyle w:val="24"/>
              <w:spacing w:before="0" w:after="30" w:line="247" w:lineRule="auto"/>
              <w:jc w:val="center"/>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AI=</m:t>
                </m:r>
                <m:f>
                  <m:fPr>
                    <m:ctrlPr>
                      <w:rPr>
                        <w:rFonts w:hint="default" w:ascii="Cambria Math" w:hAnsi="Cambria Math" w:cs="Times New Roman"/>
                        <w:sz w:val="24"/>
                        <w:szCs w:val="24"/>
                      </w:rPr>
                    </m:ctrlPr>
                  </m:fPr>
                  <m:num>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A</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2D</m:t>
                        </m:r>
                        <m:ctrlPr>
                          <w:rPr>
                            <w:rFonts w:hint="default" w:ascii="Cambria Math" w:hAnsi="Cambria Math" w:cs="Times New Roman"/>
                            <w:sz w:val="24"/>
                            <w:szCs w:val="24"/>
                          </w:rPr>
                        </m:ctrlPr>
                      </m:sub>
                    </m:sSub>
                    <m:ctrlPr>
                      <w:rPr>
                        <w:rFonts w:hint="default" w:ascii="Cambria Math" w:hAnsi="Cambria Math" w:cs="Times New Roman"/>
                        <w:sz w:val="24"/>
                        <w:szCs w:val="24"/>
                      </w:rPr>
                    </m:ctrlPr>
                  </m:num>
                  <m:den>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eff</m:t>
                        </m:r>
                        <m:ctrlPr>
                          <w:rPr>
                            <w:rFonts w:hint="default" w:ascii="Cambria Math" w:hAnsi="Cambria Math" w:cs="Times New Roman"/>
                            <w:sz w:val="24"/>
                            <w:szCs w:val="24"/>
                          </w:rPr>
                        </m:ctrlPr>
                      </m:sub>
                    </m:sSub>
                    <m:ctrlPr>
                      <w:rPr>
                        <w:rFonts w:hint="default" w:ascii="Cambria Math" w:hAnsi="Cambria Math" w:cs="Times New Roman"/>
                        <w:sz w:val="24"/>
                        <w:szCs w:val="24"/>
                      </w:rPr>
                    </m:ctrlPr>
                  </m:den>
                </m:f>
              </m:oMath>
            </m:oMathPara>
          </w:p>
        </w:tc>
        <w:tc>
          <w:tcPr>
            <w:tcW w:w="1153" w:type="pct"/>
            <w:shd w:val="clear" w:color="auto" w:fill="FFFFFF"/>
            <w:tcMar>
              <w:top w:w="70" w:type="dxa"/>
              <w:left w:w="80" w:type="dxa"/>
              <w:bottom w:w="70" w:type="dxa"/>
              <w:right w:w="80" w:type="dxa"/>
            </w:tcMar>
            <w:vAlign w:val="center"/>
          </w:tcPr>
          <w:p w14:paraId="1501A4FE">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Relative proportion between in-plane extension and out-of-plane confinement.</w:t>
            </w:r>
          </w:p>
        </w:tc>
      </w:tr>
      <w:tr w14:paraId="665825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3" w:type="pct"/>
            <w:shd w:val="clear" w:color="auto" w:fill="FFFFFF"/>
            <w:tcMar>
              <w:top w:w="70" w:type="dxa"/>
              <w:left w:w="80" w:type="dxa"/>
              <w:bottom w:w="70" w:type="dxa"/>
              <w:right w:w="80" w:type="dxa"/>
            </w:tcMar>
            <w:vAlign w:val="center"/>
          </w:tcPr>
          <w:p w14:paraId="6FC73BE3">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van der Waals packing fraction</w:t>
            </w:r>
          </w:p>
        </w:tc>
        <w:tc>
          <w:tcPr>
            <w:tcW w:w="1538" w:type="pct"/>
            <w:shd w:val="clear" w:color="auto" w:fill="FFFFFF"/>
            <w:tcMar>
              <w:top w:w="70" w:type="dxa"/>
              <w:left w:w="80" w:type="dxa"/>
              <w:bottom w:w="70" w:type="dxa"/>
              <w:right w:w="80" w:type="dxa"/>
            </w:tcMar>
            <w:vAlign w:val="center"/>
          </w:tcPr>
          <w:p w14:paraId="296876DF">
            <w:pPr>
              <w:pStyle w:val="24"/>
              <w:spacing w:before="0" w:after="30" w:line="247"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sty m:val="p"/>
                      </m:rPr>
                      <w:rPr>
                        <w:rFonts w:hint="default" w:ascii="Times New Roman" w:hAnsi="Times New Roman" w:cs="Times New Roman"/>
                        <w:i w:val="0"/>
                        <w:sz w:val="24"/>
                        <w:szCs w:val="24"/>
                      </w:rPr>
                      <m:t>ϕ</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EPF</m:t>
                    </m:r>
                    <m:ctrlPr>
                      <w:rPr>
                        <w:rFonts w:hint="default" w:ascii="Cambria Math" w:hAnsi="Cambria Math" w:cs="Times New Roman"/>
                        <w:sz w:val="24"/>
                        <w:szCs w:val="24"/>
                      </w:rPr>
                    </m:ctrlPr>
                  </m:sub>
                </m:sSub>
              </m:oMath>
            </m:oMathPara>
          </w:p>
        </w:tc>
        <w:tc>
          <w:tcPr>
            <w:tcW w:w="1153" w:type="pct"/>
            <w:shd w:val="clear" w:color="auto" w:fill="FFFFFF"/>
            <w:tcMar>
              <w:top w:w="70" w:type="dxa"/>
              <w:left w:w="80" w:type="dxa"/>
              <w:bottom w:w="70" w:type="dxa"/>
              <w:right w:w="80" w:type="dxa"/>
            </w:tcMar>
            <w:vAlign w:val="center"/>
          </w:tcPr>
          <w:p w14:paraId="7A526B10">
            <w:pPr>
              <w:pStyle w:val="24"/>
              <w:spacing w:before="0" w:after="30" w:line="247"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sty m:val="p"/>
                      </m:rPr>
                      <w:rPr>
                        <w:rFonts w:hint="default" w:ascii="Times New Roman" w:hAnsi="Times New Roman" w:cs="Times New Roman"/>
                        <w:i w:val="0"/>
                        <w:sz w:val="24"/>
                        <w:szCs w:val="24"/>
                      </w:rPr>
                      <m:t>ϕ</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EPF</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f>
                  <m:fPr>
                    <m:ctrlPr>
                      <w:rPr>
                        <w:rFonts w:hint="default" w:ascii="Cambria Math" w:hAnsi="Cambria Math" w:cs="Times New Roman"/>
                        <w:sz w:val="24"/>
                        <w:szCs w:val="24"/>
                      </w:rPr>
                    </m:ctrlPr>
                  </m:fPr>
                  <m:num>
                    <m:nary>
                      <m:naryPr>
                        <m:chr m:val="∑"/>
                        <m:limLoc m:val="undOvr"/>
                        <m:ctrlPr>
                          <w:rPr>
                            <w:rFonts w:hint="default" w:ascii="Cambria Math" w:hAnsi="Cambria Math" w:cs="Times New Roman"/>
                            <w:sz w:val="24"/>
                            <w:szCs w:val="24"/>
                          </w:rPr>
                        </m:ctrlPr>
                      </m:naryPr>
                      <m:sub>
                        <m:r>
                          <m:rPr>
                            <m:nor/>
                          </m:rPr>
                          <w:rPr>
                            <w:rFonts w:hint="default" w:ascii="Times New Roman" w:hAnsi="Times New Roman" w:cs="Times New Roman"/>
                            <w:i/>
                            <w:sz w:val="24"/>
                            <w:szCs w:val="24"/>
                          </w:rPr>
                          <m:t>i</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b>
                      <m:sup>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p>
                      <m:e>
                        <m:f>
                          <m:fPr>
                            <m:ctrlPr>
                              <w:rPr>
                                <w:rFonts w:hint="default" w:ascii="Cambria Math" w:hAnsi="Cambria Math" w:cs="Times New Roman"/>
                                <w:sz w:val="24"/>
                                <w:szCs w:val="24"/>
                              </w:rPr>
                            </m:ctrlPr>
                          </m:fPr>
                          <m:num>
                            <m:r>
                              <m:rPr>
                                <m:nor/>
                                <m:sty m:val="p"/>
                              </m:rPr>
                              <w:rPr>
                                <w:rFonts w:hint="default" w:ascii="Times New Roman" w:hAnsi="Times New Roman" w:cs="Times New Roman"/>
                                <w:b w:val="0"/>
                                <w:i w:val="0"/>
                                <w:iCs/>
                                <w:sz w:val="24"/>
                                <w:szCs w:val="24"/>
                              </w:rPr>
                              <m:t>4</m:t>
                            </m:r>
                            <m:ctrlPr>
                              <w:rPr>
                                <w:rFonts w:hint="default" w:ascii="Cambria Math" w:hAnsi="Cambria Math" w:cs="Times New Roman"/>
                                <w:sz w:val="24"/>
                                <w:szCs w:val="24"/>
                              </w:rPr>
                            </m:ctrlPr>
                          </m:num>
                          <m:den>
                            <m:r>
                              <m:rPr>
                                <m:nor/>
                                <m:sty m:val="p"/>
                              </m:rPr>
                              <w:rPr>
                                <w:rFonts w:hint="default" w:ascii="Times New Roman" w:hAnsi="Times New Roman" w:cs="Times New Roman"/>
                                <w:b w:val="0"/>
                                <w:i w:val="0"/>
                                <w:iCs/>
                                <w:sz w:val="24"/>
                                <w:szCs w:val="24"/>
                              </w:rPr>
                              <m:t>3</m:t>
                            </m:r>
                            <m:ctrlPr>
                              <w:rPr>
                                <w:rFonts w:hint="default" w:ascii="Cambria Math" w:hAnsi="Cambria Math" w:cs="Times New Roman"/>
                                <w:sz w:val="24"/>
                                <w:szCs w:val="24"/>
                              </w:rPr>
                            </m:ctrlPr>
                          </m:den>
                        </m:f>
                        <m:ctrlPr>
                          <w:rPr>
                            <w:rFonts w:hint="default" w:ascii="Cambria Math" w:hAnsi="Cambria Math" w:cs="Times New Roman"/>
                            <w:sz w:val="24"/>
                            <w:szCs w:val="24"/>
                          </w:rPr>
                        </m:ctrlPr>
                      </m:e>
                    </m:nary>
                    <m:r>
                      <m:rPr>
                        <m:nor/>
                      </m:rPr>
                      <w:rPr>
                        <w:rFonts w:hint="default" w:ascii="Times New Roman" w:hAnsi="Times New Roman" w:cs="Times New Roman"/>
                        <w:i/>
                        <w:sz w:val="24"/>
                        <w:szCs w:val="24"/>
                      </w:rPr>
                      <m:t>π</m:t>
                    </m:r>
                    <m:sSup>
                      <m:sSupPr>
                        <m:ctrlPr>
                          <w:rPr>
                            <w:rFonts w:hint="default" w:ascii="Cambria Math" w:hAnsi="Cambria Math" w:cs="Times New Roman"/>
                            <w:sz w:val="24"/>
                            <w:szCs w:val="24"/>
                          </w:rPr>
                        </m:ctrlPr>
                      </m:sSupPr>
                      <m:e>
                        <m:d>
                          <m:dPr>
                            <m:sepChr m:val=""/>
                            <m:ctrlPr>
                              <w:rPr>
                                <w:rFonts w:hint="default" w:ascii="Cambria Math" w:hAnsi="Cambria Math" w:cs="Times New Roman"/>
                                <w:sz w:val="24"/>
                                <w:szCs w:val="24"/>
                              </w:rPr>
                            </m:ctrlPr>
                          </m:dPr>
                          <m:e>
                            <m:sSubSup>
                              <m:sSubSupPr>
                                <m:ctrlPr>
                                  <w:rPr>
                                    <w:rFonts w:hint="default" w:ascii="Cambria Math" w:hAnsi="Cambria Math" w:cs="Times New Roman"/>
                                    <w:sz w:val="24"/>
                                    <w:szCs w:val="24"/>
                                  </w:rPr>
                                </m:ctrlPr>
                              </m:sSubSup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i</m:t>
                                </m:r>
                                <m:ctrlPr>
                                  <w:rPr>
                                    <w:rFonts w:hint="default" w:ascii="Cambria Math" w:hAnsi="Cambria Math" w:cs="Times New Roman"/>
                                    <w:sz w:val="24"/>
                                    <w:szCs w:val="24"/>
                                  </w:rPr>
                                </m:ctrlPr>
                              </m:sub>
                              <m:sup>
                                <m:r>
                                  <m:rPr>
                                    <m:nor/>
                                    <m:sty m:val="p"/>
                                  </m:rPr>
                                  <w:rPr>
                                    <w:rFonts w:hint="default" w:ascii="Times New Roman" w:hAnsi="Times New Roman" w:cs="Times New Roman"/>
                                    <w:b w:val="0"/>
                                    <w:i w:val="0"/>
                                    <w:sz w:val="24"/>
                                    <w:szCs w:val="24"/>
                                  </w:rPr>
                                  <m:t>vdW</m:t>
                                </m:r>
                                <m:ctrlPr>
                                  <w:rPr>
                                    <w:rFonts w:hint="default" w:ascii="Cambria Math" w:hAnsi="Cambria Math" w:cs="Times New Roman"/>
                                    <w:sz w:val="24"/>
                                    <w:szCs w:val="24"/>
                                  </w:rPr>
                                </m:ctrlPr>
                              </m:sup>
                            </m:sSubSup>
                            <m:ctrlPr>
                              <w:rPr>
                                <w:rFonts w:hint="default" w:ascii="Cambria Math" w:hAnsi="Cambria Math" w:cs="Times New Roman"/>
                                <w:sz w:val="24"/>
                                <w:szCs w:val="24"/>
                              </w:rPr>
                            </m:ctrlPr>
                          </m:e>
                        </m:d>
                        <m:ctrlPr>
                          <w:rPr>
                            <w:rFonts w:hint="default" w:ascii="Cambria Math" w:hAnsi="Cambria Math" w:cs="Times New Roman"/>
                            <w:sz w:val="24"/>
                            <w:szCs w:val="24"/>
                          </w:rPr>
                        </m:ctrlPr>
                      </m:e>
                      <m:sup>
                        <m:r>
                          <m:rPr>
                            <m:nor/>
                            <m:sty m:val="p"/>
                          </m:rPr>
                          <w:rPr>
                            <w:rFonts w:hint="default" w:ascii="Times New Roman" w:hAnsi="Times New Roman" w:cs="Times New Roman"/>
                            <w:b w:val="0"/>
                            <w:i w:val="0"/>
                            <w:iCs/>
                            <w:sz w:val="24"/>
                            <w:szCs w:val="24"/>
                          </w:rPr>
                          <m:t>3</m:t>
                        </m:r>
                        <m:ctrlPr>
                          <w:rPr>
                            <w:rFonts w:hint="default" w:ascii="Cambria Math" w:hAnsi="Cambria Math" w:cs="Times New Roman"/>
                            <w:sz w:val="24"/>
                            <w:szCs w:val="24"/>
                          </w:rPr>
                        </m:ctrlPr>
                      </m:sup>
                    </m:sSup>
                    <m:ctrlPr>
                      <w:rPr>
                        <w:rFonts w:hint="default" w:ascii="Cambria Math" w:hAnsi="Cambria Math" w:cs="Times New Roman"/>
                        <w:sz w:val="24"/>
                        <w:szCs w:val="24"/>
                      </w:rPr>
                    </m:ctrlPr>
                  </m:num>
                  <m:den>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V</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eff</m:t>
                        </m:r>
                        <m:ctrlPr>
                          <w:rPr>
                            <w:rFonts w:hint="default" w:ascii="Cambria Math" w:hAnsi="Cambria Math" w:cs="Times New Roman"/>
                            <w:sz w:val="24"/>
                            <w:szCs w:val="24"/>
                          </w:rPr>
                        </m:ctrlPr>
                      </m:sub>
                    </m:sSub>
                    <m:ctrlPr>
                      <w:rPr>
                        <w:rFonts w:hint="default" w:ascii="Cambria Math" w:hAnsi="Cambria Math" w:cs="Times New Roman"/>
                        <w:sz w:val="24"/>
                        <w:szCs w:val="24"/>
                      </w:rPr>
                    </m:ctrlPr>
                  </m:den>
                </m:f>
              </m:oMath>
            </m:oMathPara>
          </w:p>
        </w:tc>
        <w:tc>
          <w:tcPr>
            <w:tcW w:w="1153" w:type="pct"/>
            <w:shd w:val="clear" w:color="auto" w:fill="FFFFFF"/>
            <w:tcMar>
              <w:top w:w="70" w:type="dxa"/>
              <w:left w:w="80" w:type="dxa"/>
              <w:bottom w:w="70" w:type="dxa"/>
              <w:right w:w="80" w:type="dxa"/>
            </w:tcMar>
            <w:vAlign w:val="center"/>
          </w:tcPr>
          <w:p w14:paraId="298359BC">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Fraction of the effective volume occupied by atomic van der Waals hard spheres.</w:t>
            </w:r>
          </w:p>
        </w:tc>
      </w:tr>
      <w:tr w14:paraId="07C965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3" w:type="pct"/>
            <w:shd w:val="clear" w:color="auto" w:fill="FFFFFF"/>
            <w:tcMar>
              <w:top w:w="70" w:type="dxa"/>
              <w:left w:w="80" w:type="dxa"/>
              <w:bottom w:w="70" w:type="dxa"/>
              <w:right w:w="80" w:type="dxa"/>
            </w:tcMar>
            <w:vAlign w:val="center"/>
          </w:tcPr>
          <w:p w14:paraId="57DC2B63">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Polarizable volume factor</w:t>
            </w:r>
          </w:p>
        </w:tc>
        <w:tc>
          <w:tcPr>
            <w:tcW w:w="1538" w:type="pct"/>
            <w:shd w:val="clear" w:color="auto" w:fill="FFFFFF"/>
            <w:tcMar>
              <w:top w:w="70" w:type="dxa"/>
              <w:left w:w="80" w:type="dxa"/>
              <w:bottom w:w="70" w:type="dxa"/>
              <w:right w:w="80" w:type="dxa"/>
            </w:tcMar>
            <w:vAlign w:val="center"/>
          </w:tcPr>
          <w:p w14:paraId="3C0E3740">
            <w:pPr>
              <w:pStyle w:val="24"/>
              <w:spacing w:before="0" w:after="30" w:line="247"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α</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EAP</m:t>
                    </m:r>
                    <m:ctrlPr>
                      <w:rPr>
                        <w:rFonts w:hint="default" w:ascii="Cambria Math" w:hAnsi="Cambria Math" w:cs="Times New Roman"/>
                        <w:sz w:val="24"/>
                        <w:szCs w:val="24"/>
                      </w:rPr>
                    </m:ctrlPr>
                  </m:sub>
                </m:sSub>
              </m:oMath>
            </m:oMathPara>
          </w:p>
        </w:tc>
        <w:tc>
          <w:tcPr>
            <w:tcW w:w="1153" w:type="pct"/>
            <w:shd w:val="clear" w:color="auto" w:fill="FFFFFF"/>
            <w:tcMar>
              <w:top w:w="70" w:type="dxa"/>
              <w:left w:w="80" w:type="dxa"/>
              <w:bottom w:w="70" w:type="dxa"/>
              <w:right w:w="80" w:type="dxa"/>
            </w:tcMar>
            <w:vAlign w:val="center"/>
          </w:tcPr>
          <w:p w14:paraId="33756179">
            <w:pPr>
              <w:pStyle w:val="24"/>
              <w:spacing w:before="0" w:after="30" w:line="247"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α</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EAP</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f>
                  <m:fPr>
                    <m:ctrlPr>
                      <w:rPr>
                        <w:rFonts w:hint="default" w:ascii="Cambria Math" w:hAnsi="Cambria Math" w:cs="Times New Roman"/>
                        <w:sz w:val="24"/>
                        <w:szCs w:val="24"/>
                      </w:rPr>
                    </m:ctrlPr>
                  </m:fPr>
                  <m:num>
                    <m:nary>
                      <m:naryPr>
                        <m:chr m:val="∑"/>
                        <m:limLoc m:val="undOvr"/>
                        <m:ctrlPr>
                          <w:rPr>
                            <w:rFonts w:hint="default" w:ascii="Cambria Math" w:hAnsi="Cambria Math" w:cs="Times New Roman"/>
                            <w:sz w:val="24"/>
                            <w:szCs w:val="24"/>
                          </w:rPr>
                        </m:ctrlPr>
                      </m:naryPr>
                      <m:sub>
                        <m:r>
                          <m:rPr>
                            <m:nor/>
                          </m:rPr>
                          <w:rPr>
                            <w:rFonts w:hint="default" w:ascii="Times New Roman" w:hAnsi="Times New Roman" w:cs="Times New Roman"/>
                            <w:i/>
                            <w:sz w:val="24"/>
                            <w:szCs w:val="24"/>
                          </w:rPr>
                          <m:t>i</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b>
                      <m:sup>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p>
                      <m:e>
                        <m:sSup>
                          <m:sSupPr>
                            <m:ctrlPr>
                              <w:rPr>
                                <w:rFonts w:hint="default" w:ascii="Cambria Math" w:hAnsi="Cambria Math" w:cs="Times New Roman"/>
                                <w:sz w:val="24"/>
                                <w:szCs w:val="24"/>
                              </w:rPr>
                            </m:ctrlPr>
                          </m:sSupPr>
                          <m:e>
                            <m:d>
                              <m:dPr>
                                <m:sepChr m:val=""/>
                                <m:ctrlPr>
                                  <w:rPr>
                                    <w:rFonts w:hint="default" w:ascii="Cambria Math" w:hAnsi="Cambria Math" w:cs="Times New Roman"/>
                                    <w:sz w:val="24"/>
                                    <w:szCs w:val="24"/>
                                  </w:rPr>
                                </m:ctrlPr>
                              </m:dPr>
                              <m:e>
                                <m:sSubSup>
                                  <m:sSubSupPr>
                                    <m:ctrlPr>
                                      <w:rPr>
                                        <w:rFonts w:hint="default" w:ascii="Cambria Math" w:hAnsi="Cambria Math" w:cs="Times New Roman"/>
                                        <w:sz w:val="24"/>
                                        <w:szCs w:val="24"/>
                                      </w:rPr>
                                    </m:ctrlPr>
                                  </m:sSubSup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i</m:t>
                                    </m:r>
                                    <m:ctrlPr>
                                      <w:rPr>
                                        <w:rFonts w:hint="default" w:ascii="Cambria Math" w:hAnsi="Cambria Math" w:cs="Times New Roman"/>
                                        <w:sz w:val="24"/>
                                        <w:szCs w:val="24"/>
                                      </w:rPr>
                                    </m:ctrlPr>
                                  </m:sub>
                                  <m:sup>
                                    <m:r>
                                      <m:rPr>
                                        <m:nor/>
                                        <m:sty m:val="p"/>
                                      </m:rPr>
                                      <w:rPr>
                                        <w:rFonts w:hint="default" w:ascii="Times New Roman" w:hAnsi="Times New Roman" w:cs="Times New Roman"/>
                                        <w:b w:val="0"/>
                                        <w:i w:val="0"/>
                                        <w:sz w:val="24"/>
                                        <w:szCs w:val="24"/>
                                      </w:rPr>
                                      <m:t>vdW</m:t>
                                    </m:r>
                                    <m:ctrlPr>
                                      <w:rPr>
                                        <w:rFonts w:hint="default" w:ascii="Cambria Math" w:hAnsi="Cambria Math" w:cs="Times New Roman"/>
                                        <w:sz w:val="24"/>
                                        <w:szCs w:val="24"/>
                                      </w:rPr>
                                    </m:ctrlPr>
                                  </m:sup>
                                </m:sSubSup>
                                <m:ctrlPr>
                                  <w:rPr>
                                    <w:rFonts w:hint="default" w:ascii="Cambria Math" w:hAnsi="Cambria Math" w:cs="Times New Roman"/>
                                    <w:sz w:val="24"/>
                                    <w:szCs w:val="24"/>
                                  </w:rPr>
                                </m:ctrlPr>
                              </m:e>
                            </m:d>
                            <m:ctrlPr>
                              <w:rPr>
                                <w:rFonts w:hint="default" w:ascii="Cambria Math" w:hAnsi="Cambria Math" w:cs="Times New Roman"/>
                                <w:sz w:val="24"/>
                                <w:szCs w:val="24"/>
                              </w:rPr>
                            </m:ctrlPr>
                          </m:e>
                          <m:sup>
                            <m:r>
                              <m:rPr>
                                <m:nor/>
                                <m:sty m:val="p"/>
                              </m:rPr>
                              <w:rPr>
                                <w:rFonts w:hint="default" w:ascii="Times New Roman" w:hAnsi="Times New Roman" w:cs="Times New Roman"/>
                                <w:i w:val="0"/>
                                <w:iCs/>
                                <w:sz w:val="24"/>
                                <w:szCs w:val="24"/>
                              </w:rPr>
                              <m:t>3</m:t>
                            </m:r>
                            <m:ctrlPr>
                              <w:rPr>
                                <w:rFonts w:hint="default" w:ascii="Cambria Math" w:hAnsi="Cambria Math" w:cs="Times New Roman"/>
                                <w:sz w:val="24"/>
                                <w:szCs w:val="24"/>
                              </w:rPr>
                            </m:ctrlPr>
                          </m:sup>
                        </m:sSup>
                        <m:ctrlPr>
                          <w:rPr>
                            <w:rFonts w:hint="default" w:ascii="Cambria Math" w:hAnsi="Cambria Math" w:cs="Times New Roman"/>
                            <w:sz w:val="24"/>
                            <w:szCs w:val="24"/>
                          </w:rPr>
                        </m:ctrlPr>
                      </m:e>
                    </m:nary>
                    <m:ctrlPr>
                      <w:rPr>
                        <w:rFonts w:hint="default" w:ascii="Cambria Math" w:hAnsi="Cambria Math" w:cs="Times New Roman"/>
                        <w:sz w:val="24"/>
                        <w:szCs w:val="24"/>
                      </w:rPr>
                    </m:ctrlPr>
                  </m:num>
                  <m:den>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V</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eff</m:t>
                        </m:r>
                        <m:ctrlPr>
                          <w:rPr>
                            <w:rFonts w:hint="default" w:ascii="Cambria Math" w:hAnsi="Cambria Math" w:cs="Times New Roman"/>
                            <w:sz w:val="24"/>
                            <w:szCs w:val="24"/>
                          </w:rPr>
                        </m:ctrlPr>
                      </m:sub>
                    </m:sSub>
                    <m:ctrlPr>
                      <w:rPr>
                        <w:rFonts w:hint="default" w:ascii="Cambria Math" w:hAnsi="Cambria Math" w:cs="Times New Roman"/>
                        <w:sz w:val="24"/>
                        <w:szCs w:val="24"/>
                      </w:rPr>
                    </m:ctrlPr>
                  </m:den>
                </m:f>
              </m:oMath>
            </m:oMathPara>
          </w:p>
        </w:tc>
        <w:tc>
          <w:tcPr>
            <w:tcW w:w="1153" w:type="pct"/>
            <w:shd w:val="clear" w:color="auto" w:fill="FFFFFF"/>
            <w:tcMar>
              <w:top w:w="70" w:type="dxa"/>
              <w:left w:w="80" w:type="dxa"/>
              <w:bottom w:w="70" w:type="dxa"/>
              <w:right w:w="80" w:type="dxa"/>
            </w:tcMar>
            <w:vAlign w:val="center"/>
          </w:tcPr>
          <w:p w14:paraId="6DFA3AA9">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Structural weighting factor positively correlated with macroscopic electronic polarizability.</w:t>
            </w:r>
          </w:p>
        </w:tc>
      </w:tr>
      <w:tr w14:paraId="45A773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1153" w:type="pct"/>
            <w:shd w:val="clear" w:color="auto" w:fill="FFFFFF"/>
            <w:tcMar>
              <w:top w:w="70" w:type="dxa"/>
              <w:left w:w="80" w:type="dxa"/>
              <w:bottom w:w="70" w:type="dxa"/>
              <w:right w:w="80" w:type="dxa"/>
            </w:tcMar>
            <w:vAlign w:val="center"/>
          </w:tcPr>
          <w:p w14:paraId="0DC82378">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Interfacial bonding strength</w:t>
            </w:r>
          </w:p>
        </w:tc>
        <w:tc>
          <w:tcPr>
            <w:tcW w:w="1538" w:type="pct"/>
            <w:shd w:val="clear" w:color="auto" w:fill="FFFFFF"/>
            <w:tcMar>
              <w:top w:w="70" w:type="dxa"/>
              <w:left w:w="80" w:type="dxa"/>
              <w:bottom w:w="70" w:type="dxa"/>
              <w:right w:w="80" w:type="dxa"/>
            </w:tcMar>
            <w:vAlign w:val="center"/>
          </w:tcPr>
          <w:p w14:paraId="70E150EB">
            <w:pPr>
              <w:pStyle w:val="24"/>
              <w:spacing w:before="0" w:after="30" w:line="247" w:lineRule="auto"/>
              <w:jc w:val="center"/>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IBS</m:t>
                </m:r>
              </m:oMath>
            </m:oMathPara>
          </w:p>
        </w:tc>
        <w:tc>
          <w:tcPr>
            <w:tcW w:w="1153" w:type="pct"/>
            <w:shd w:val="clear" w:color="auto" w:fill="FFFFFF"/>
            <w:tcMar>
              <w:top w:w="70" w:type="dxa"/>
              <w:left w:w="80" w:type="dxa"/>
              <w:bottom w:w="70" w:type="dxa"/>
              <w:right w:w="80" w:type="dxa"/>
            </w:tcMar>
            <w:vAlign w:val="center"/>
          </w:tcPr>
          <w:p w14:paraId="3D316EF5">
            <w:pPr>
              <w:pStyle w:val="24"/>
              <w:spacing w:before="0" w:after="30" w:line="247" w:lineRule="auto"/>
              <w:jc w:val="center"/>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IBS=</m:t>
                </m:r>
                <m:f>
                  <m:fPr>
                    <m:ctrlPr>
                      <w:rPr>
                        <w:rFonts w:hint="default" w:ascii="Cambria Math" w:hAnsi="Cambria Math" w:cs="Times New Roman"/>
                        <w:sz w:val="24"/>
                        <w:szCs w:val="24"/>
                      </w:rPr>
                    </m:ctrlPr>
                  </m:fPr>
                  <m:num>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ρ</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eff</m:t>
                        </m:r>
                        <m:ctrlPr>
                          <w:rPr>
                            <w:rFonts w:hint="default" w:ascii="Cambria Math" w:hAnsi="Cambria Math" w:cs="Times New Roman"/>
                            <w:sz w:val="24"/>
                            <w:szCs w:val="24"/>
                          </w:rPr>
                        </m:ctrlPr>
                      </m:sub>
                    </m:sSub>
                    <m:ctrlPr>
                      <w:rPr>
                        <w:rFonts w:hint="default" w:ascii="Cambria Math" w:hAnsi="Cambria Math" w:cs="Times New Roman"/>
                        <w:sz w:val="24"/>
                        <w:szCs w:val="24"/>
                      </w:rPr>
                    </m:ctrlPr>
                  </m:num>
                  <m:den>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eff</m:t>
                        </m:r>
                        <m:ctrlPr>
                          <w:rPr>
                            <w:rFonts w:hint="default" w:ascii="Cambria Math" w:hAnsi="Cambria Math" w:cs="Times New Roman"/>
                            <w:sz w:val="24"/>
                            <w:szCs w:val="24"/>
                          </w:rPr>
                        </m:ctrlPr>
                      </m:sub>
                    </m:sSub>
                    <m:ctrlPr>
                      <w:rPr>
                        <w:rFonts w:hint="default" w:ascii="Cambria Math" w:hAnsi="Cambria Math" w:cs="Times New Roman"/>
                        <w:sz w:val="24"/>
                        <w:szCs w:val="24"/>
                      </w:rPr>
                    </m:ctrlPr>
                  </m:den>
                </m:f>
              </m:oMath>
            </m:oMathPara>
          </w:p>
        </w:tc>
        <w:tc>
          <w:tcPr>
            <w:tcW w:w="1153" w:type="pct"/>
            <w:shd w:val="clear" w:color="auto" w:fill="FFFFFF"/>
            <w:tcMar>
              <w:top w:w="70" w:type="dxa"/>
              <w:left w:w="80" w:type="dxa"/>
              <w:bottom w:w="70" w:type="dxa"/>
              <w:right w:w="80" w:type="dxa"/>
            </w:tcMar>
            <w:vAlign w:val="center"/>
          </w:tcPr>
          <w:p w14:paraId="47B76F50">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Mass packing density per unit thickness, associated with intralayer chemical-bond strength.</w:t>
            </w:r>
          </w:p>
        </w:tc>
      </w:tr>
      <w:tr w14:paraId="77B80C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3" w:type="pct"/>
            <w:shd w:val="clear" w:color="auto" w:fill="FFFFFF"/>
            <w:tcMar>
              <w:top w:w="70" w:type="dxa"/>
              <w:left w:w="80" w:type="dxa"/>
              <w:bottom w:w="70" w:type="dxa"/>
              <w:right w:w="80" w:type="dxa"/>
            </w:tcMar>
            <w:vAlign w:val="center"/>
          </w:tcPr>
          <w:p w14:paraId="0B47292E">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Effective dielectric volume</w:t>
            </w:r>
          </w:p>
        </w:tc>
        <w:tc>
          <w:tcPr>
            <w:tcW w:w="1538" w:type="pct"/>
            <w:shd w:val="clear" w:color="auto" w:fill="FFFFFF"/>
            <w:tcMar>
              <w:top w:w="70" w:type="dxa"/>
              <w:left w:w="80" w:type="dxa"/>
              <w:bottom w:w="70" w:type="dxa"/>
              <w:right w:w="80" w:type="dxa"/>
            </w:tcMar>
            <w:vAlign w:val="center"/>
          </w:tcPr>
          <w:p w14:paraId="0D0D002D">
            <w:pPr>
              <w:pStyle w:val="24"/>
              <w:spacing w:before="0" w:after="30" w:line="247"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V</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EDV</m:t>
                    </m:r>
                    <m:ctrlPr>
                      <w:rPr>
                        <w:rFonts w:hint="default" w:ascii="Cambria Math" w:hAnsi="Cambria Math" w:cs="Times New Roman"/>
                        <w:sz w:val="24"/>
                        <w:szCs w:val="24"/>
                      </w:rPr>
                    </m:ctrlPr>
                  </m:sub>
                </m:sSub>
              </m:oMath>
            </m:oMathPara>
          </w:p>
        </w:tc>
        <w:tc>
          <w:tcPr>
            <w:tcW w:w="1153" w:type="pct"/>
            <w:shd w:val="clear" w:color="auto" w:fill="FFFFFF"/>
            <w:tcMar>
              <w:top w:w="70" w:type="dxa"/>
              <w:left w:w="80" w:type="dxa"/>
              <w:bottom w:w="70" w:type="dxa"/>
              <w:right w:w="80" w:type="dxa"/>
            </w:tcMar>
            <w:vAlign w:val="center"/>
          </w:tcPr>
          <w:p w14:paraId="70184918">
            <w:pPr>
              <w:pStyle w:val="24"/>
              <w:spacing w:before="0" w:after="30" w:line="247"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V</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EDV</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V</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eff</m:t>
                    </m:r>
                    <m:ctrlPr>
                      <w:rPr>
                        <w:rFonts w:hint="default" w:ascii="Cambria Math" w:hAnsi="Cambria Math" w:cs="Times New Roman"/>
                        <w:sz w:val="24"/>
                        <w:szCs w:val="24"/>
                      </w:rPr>
                    </m:ctrlPr>
                  </m:sub>
                </m:sSub>
                <m:r>
                  <m:rPr>
                    <m:nor/>
                    <m:sty m:val="p"/>
                  </m:rPr>
                  <w:rPr>
                    <w:rFonts w:hint="default" w:ascii="Times New Roman" w:hAnsi="Times New Roman" w:cs="Times New Roman"/>
                    <w:i w:val="0"/>
                    <w:sz w:val="24"/>
                    <w:szCs w:val="24"/>
                  </w:rPr>
                  <m:t> </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f</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NM</m:t>
                    </m:r>
                    <m:ctrlPr>
                      <w:rPr>
                        <w:rFonts w:hint="default" w:ascii="Cambria Math" w:hAnsi="Cambria Math" w:cs="Times New Roman"/>
                        <w:sz w:val="24"/>
                        <w:szCs w:val="24"/>
                      </w:rPr>
                    </m:ctrlPr>
                  </m:sub>
                </m:sSub>
              </m:oMath>
            </m:oMathPara>
          </w:p>
        </w:tc>
        <w:tc>
          <w:tcPr>
            <w:tcW w:w="1153" w:type="pct"/>
            <w:shd w:val="clear" w:color="auto" w:fill="FFFFFF"/>
            <w:tcMar>
              <w:top w:w="70" w:type="dxa"/>
              <w:left w:w="80" w:type="dxa"/>
              <w:bottom w:w="70" w:type="dxa"/>
              <w:right w:w="80" w:type="dxa"/>
            </w:tcMar>
            <w:vAlign w:val="center"/>
          </w:tcPr>
          <w:p w14:paraId="76BDBD04">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 xml:space="preserve">Polarization-response volume dominated by nonmetal atoms, where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f</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NM</m:t>
                  </m:r>
                  <m:ctrlPr>
                    <w:rPr>
                      <w:rFonts w:hint="default" w:ascii="Cambria Math" w:hAnsi="Cambria Math" w:cs="Times New Roman"/>
                      <w:sz w:val="24"/>
                      <w:szCs w:val="24"/>
                    </w:rPr>
                  </m:ctrlPr>
                </m:sub>
              </m:sSub>
            </m:oMath>
            <w:r>
              <w:rPr>
                <w:rFonts w:hint="default" w:ascii="Times New Roman" w:hAnsi="Times New Roman" w:cs="Times New Roman"/>
                <w:i w:val="0"/>
                <w:color w:val="000000"/>
                <w:sz w:val="24"/>
                <w:szCs w:val="24"/>
              </w:rPr>
              <w:t xml:space="preserve"> is the nonmetal atomic fraction.</w:t>
            </w:r>
          </w:p>
        </w:tc>
      </w:tr>
      <w:tr w14:paraId="0A343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3" w:type="pct"/>
            <w:shd w:val="clear" w:color="auto" w:fill="FFFFFF"/>
            <w:tcMar>
              <w:top w:w="70" w:type="dxa"/>
              <w:left w:w="80" w:type="dxa"/>
              <w:bottom w:w="70" w:type="dxa"/>
              <w:right w:w="80" w:type="dxa"/>
            </w:tcMar>
            <w:vAlign w:val="center"/>
          </w:tcPr>
          <w:p w14:paraId="2B3EBE5C">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Maximum electronegativity difference</w:t>
            </w:r>
          </w:p>
        </w:tc>
        <w:tc>
          <w:tcPr>
            <w:tcW w:w="1538" w:type="pct"/>
            <w:shd w:val="clear" w:color="auto" w:fill="FFFFFF"/>
            <w:tcMar>
              <w:top w:w="70" w:type="dxa"/>
              <w:left w:w="80" w:type="dxa"/>
              <w:bottom w:w="70" w:type="dxa"/>
              <w:right w:w="80" w:type="dxa"/>
            </w:tcMar>
            <w:vAlign w:val="center"/>
          </w:tcPr>
          <w:p w14:paraId="28BC58F3">
            <w:pPr>
              <w:pStyle w:val="24"/>
              <w:spacing w:before="0" w:after="30" w:line="247" w:lineRule="auto"/>
              <w:jc w:val="center"/>
              <w:rPr>
                <w:rFonts w:hint="default" w:ascii="Times New Roman" w:hAnsi="Times New Roman" w:cs="Times New Roman"/>
                <w:sz w:val="24"/>
                <w:szCs w:val="24"/>
              </w:rPr>
            </w:pPr>
            <m:oMathPara>
              <m:oMath>
                <m:r>
                  <m:rPr>
                    <m:nor/>
                    <m:sty m:val="p"/>
                  </m:rPr>
                  <w:rPr>
                    <w:rFonts w:hint="default" w:ascii="Times New Roman" w:hAnsi="Times New Roman" w:cs="Times New Roman"/>
                    <w:i w:val="0"/>
                    <w:sz w:val="24"/>
                    <w:szCs w:val="24"/>
                  </w:rPr>
                  <m:t>Δ</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χ</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max</m:t>
                    </m:r>
                    <m:ctrlPr>
                      <w:rPr>
                        <w:rFonts w:hint="default" w:ascii="Cambria Math" w:hAnsi="Cambria Math" w:cs="Times New Roman"/>
                        <w:sz w:val="24"/>
                        <w:szCs w:val="24"/>
                      </w:rPr>
                    </m:ctrlPr>
                  </m:sub>
                </m:sSub>
              </m:oMath>
            </m:oMathPara>
          </w:p>
        </w:tc>
        <w:tc>
          <w:tcPr>
            <w:tcW w:w="1153" w:type="pct"/>
            <w:shd w:val="clear" w:color="auto" w:fill="FFFFFF"/>
            <w:tcMar>
              <w:top w:w="70" w:type="dxa"/>
              <w:left w:w="80" w:type="dxa"/>
              <w:bottom w:w="70" w:type="dxa"/>
              <w:right w:w="80" w:type="dxa"/>
            </w:tcMar>
            <w:vAlign w:val="center"/>
          </w:tcPr>
          <w:p w14:paraId="21B4BD9C">
            <w:pPr>
              <w:pStyle w:val="24"/>
              <w:spacing w:before="0" w:after="30" w:line="247" w:lineRule="auto"/>
              <w:jc w:val="center"/>
              <w:rPr>
                <w:rFonts w:hint="default" w:ascii="Times New Roman" w:hAnsi="Times New Roman" w:cs="Times New Roman"/>
                <w:sz w:val="24"/>
                <w:szCs w:val="24"/>
              </w:rPr>
            </w:pPr>
            <m:oMathPara>
              <m:oMath>
                <m:r>
                  <m:rPr>
                    <m:nor/>
                    <m:sty m:val="p"/>
                  </m:rPr>
                  <w:rPr>
                    <w:rFonts w:hint="default" w:ascii="Times New Roman" w:hAnsi="Times New Roman" w:cs="Times New Roman"/>
                    <w:i w:val="0"/>
                    <w:sz w:val="24"/>
                    <w:szCs w:val="24"/>
                  </w:rPr>
                  <m:t>Δ</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χ</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max</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=max</m:t>
                </m:r>
                <m:d>
                  <m:dPr>
                    <m:sepChr m:val=""/>
                    <m:ctrlPr>
                      <w:rPr>
                        <w:rFonts w:hint="default" w:ascii="Cambria Math" w:hAnsi="Cambria Math" w:cs="Times New Roman"/>
                        <w:sz w:val="24"/>
                        <w:szCs w:val="24"/>
                      </w:rPr>
                    </m:ctrlPr>
                  </m:dPr>
                  <m:e>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χ</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i</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d>
                <m:r>
                  <m:rPr>
                    <m:nor/>
                    <m:sty m:val="p"/>
                  </m:rPr>
                  <w:rPr>
                    <w:rFonts w:hint="default" w:ascii="Times New Roman" w:hAnsi="Times New Roman" w:cs="Times New Roman"/>
                    <w:b w:val="0"/>
                    <w:i w:val="0"/>
                    <w:sz w:val="24"/>
                    <w:szCs w:val="24"/>
                  </w:rPr>
                  <m:t>−min</m:t>
                </m:r>
                <m:d>
                  <m:dPr>
                    <m:sepChr m:val=""/>
                    <m:ctrlPr>
                      <w:rPr>
                        <w:rFonts w:hint="default" w:ascii="Cambria Math" w:hAnsi="Cambria Math" w:cs="Times New Roman"/>
                        <w:sz w:val="24"/>
                        <w:szCs w:val="24"/>
                      </w:rPr>
                    </m:ctrlPr>
                  </m:dPr>
                  <m:e>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χ</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i</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d>
              </m:oMath>
            </m:oMathPara>
          </w:p>
        </w:tc>
        <w:tc>
          <w:tcPr>
            <w:tcW w:w="1153" w:type="pct"/>
            <w:shd w:val="clear" w:color="auto" w:fill="FFFFFF"/>
            <w:tcMar>
              <w:top w:w="70" w:type="dxa"/>
              <w:left w:w="80" w:type="dxa"/>
              <w:bottom w:w="70" w:type="dxa"/>
              <w:right w:w="80" w:type="dxa"/>
            </w:tcMar>
            <w:vAlign w:val="center"/>
          </w:tcPr>
          <w:p w14:paraId="081BE408">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Range of Pauling electronegativities among elements in the unit cell, indicating the tendency toward ionicity.</w:t>
            </w:r>
          </w:p>
        </w:tc>
      </w:tr>
      <w:tr w14:paraId="46DDF6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3" w:type="pct"/>
            <w:shd w:val="clear" w:color="auto" w:fill="FFFFFF"/>
            <w:tcMar>
              <w:top w:w="70" w:type="dxa"/>
              <w:left w:w="80" w:type="dxa"/>
              <w:bottom w:w="70" w:type="dxa"/>
              <w:right w:w="80" w:type="dxa"/>
            </w:tcMar>
            <w:vAlign w:val="center"/>
          </w:tcPr>
          <w:p w14:paraId="02CB2AF3">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Average bond length</w:t>
            </w:r>
          </w:p>
        </w:tc>
        <w:tc>
          <w:tcPr>
            <w:tcW w:w="1538" w:type="pct"/>
            <w:shd w:val="clear" w:color="auto" w:fill="FFFFFF"/>
            <w:tcMar>
              <w:top w:w="70" w:type="dxa"/>
              <w:left w:w="80" w:type="dxa"/>
              <w:bottom w:w="70" w:type="dxa"/>
              <w:right w:w="80" w:type="dxa"/>
            </w:tcMar>
            <w:vAlign w:val="center"/>
          </w:tcPr>
          <w:p w14:paraId="3AF400E5">
            <w:pPr>
              <w:pStyle w:val="24"/>
              <w:spacing w:before="0" w:after="30" w:line="247" w:lineRule="auto"/>
              <w:jc w:val="center"/>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d</m:t>
                </m:r>
                <m:r>
                  <m:rPr>
                    <m:nor/>
                    <m:sty m:val="p"/>
                  </m:rPr>
                  <w:rPr>
                    <w:rFonts w:hint="default" w:ascii="Times New Roman" w:hAnsi="Times New Roman" w:cs="Times New Roman"/>
                    <w:b w:val="0"/>
                    <w:i w:val="0"/>
                    <w:sz w:val="24"/>
                    <w:szCs w:val="24"/>
                  </w:rPr>
                  <m:t>⟩</m:t>
                </m:r>
              </m:oMath>
            </m:oMathPara>
          </w:p>
        </w:tc>
        <w:tc>
          <w:tcPr>
            <w:tcW w:w="1153" w:type="pct"/>
            <w:shd w:val="clear" w:color="auto" w:fill="FFFFFF"/>
            <w:tcMar>
              <w:top w:w="70" w:type="dxa"/>
              <w:left w:w="80" w:type="dxa"/>
              <w:bottom w:w="70" w:type="dxa"/>
              <w:right w:w="80" w:type="dxa"/>
            </w:tcMar>
            <w:vAlign w:val="center"/>
          </w:tcPr>
          <w:p w14:paraId="35C4CDBA">
            <w:pPr>
              <w:pStyle w:val="24"/>
              <w:spacing w:before="0" w:after="30" w:line="247" w:lineRule="auto"/>
              <w:jc w:val="center"/>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d</m:t>
                </m:r>
                <m:r>
                  <m:rPr>
                    <m:nor/>
                    <m:sty m:val="p"/>
                  </m:rPr>
                  <w:rPr>
                    <w:rFonts w:hint="default" w:ascii="Times New Roman" w:hAnsi="Times New Roman" w:cs="Times New Roman"/>
                    <w:b w:val="0"/>
                    <w:i w:val="0"/>
                    <w:sz w:val="24"/>
                    <w:szCs w:val="24"/>
                  </w:rPr>
                  <m:t>⟩=</m:t>
                </m:r>
                <m:f>
                  <m:fPr>
                    <m:ctrlPr>
                      <w:rPr>
                        <w:rFonts w:hint="default" w:ascii="Cambria Math" w:hAnsi="Cambria Math" w:cs="Times New Roman"/>
                        <w:sz w:val="24"/>
                        <w:szCs w:val="24"/>
                      </w:rPr>
                    </m:ctrlPr>
                  </m:fPr>
                  <m:num>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num>
                  <m:den>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N</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b</m:t>
                        </m:r>
                        <m:ctrlPr>
                          <w:rPr>
                            <w:rFonts w:hint="default" w:ascii="Cambria Math" w:hAnsi="Cambria Math" w:cs="Times New Roman"/>
                            <w:sz w:val="24"/>
                            <w:szCs w:val="24"/>
                          </w:rPr>
                        </m:ctrlPr>
                      </m:sub>
                    </m:sSub>
                    <m:ctrlPr>
                      <w:rPr>
                        <w:rFonts w:hint="default" w:ascii="Cambria Math" w:hAnsi="Cambria Math" w:cs="Times New Roman"/>
                        <w:sz w:val="24"/>
                        <w:szCs w:val="24"/>
                      </w:rPr>
                    </m:ctrlPr>
                  </m:den>
                </m:f>
                <m:nary>
                  <m:naryPr>
                    <m:chr m:val="∑"/>
                    <m:limLoc m:val="undOvr"/>
                    <m:ctrlPr>
                      <w:rPr>
                        <w:rFonts w:hint="default" w:ascii="Cambria Math" w:hAnsi="Cambria Math" w:cs="Times New Roman"/>
                        <w:sz w:val="24"/>
                        <w:szCs w:val="24"/>
                      </w:rPr>
                    </m:ctrlPr>
                  </m:naryPr>
                  <m:sub>
                    <m:r>
                      <m:rPr>
                        <m:nor/>
                      </m:rPr>
                      <w:rPr>
                        <w:rFonts w:hint="default" w:ascii="Times New Roman" w:hAnsi="Times New Roman" w:cs="Times New Roman"/>
                        <w:i/>
                        <w:sz w:val="24"/>
                        <w:szCs w:val="24"/>
                      </w:rPr>
                      <m:t>j</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b>
                  <m:sup>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N</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b</m:t>
                        </m:r>
                        <m:ctrlPr>
                          <w:rPr>
                            <w:rFonts w:hint="default" w:ascii="Cambria Math" w:hAnsi="Cambria Math" w:cs="Times New Roman"/>
                            <w:sz w:val="24"/>
                            <w:szCs w:val="24"/>
                          </w:rPr>
                        </m:ctrlPr>
                      </m:sub>
                    </m:sSub>
                    <m:ctrlPr>
                      <w:rPr>
                        <w:rFonts w:hint="default" w:ascii="Cambria Math" w:hAnsi="Cambria Math" w:cs="Times New Roman"/>
                        <w:sz w:val="24"/>
                        <w:szCs w:val="24"/>
                      </w:rPr>
                    </m:ctrlPr>
                  </m:sup>
                  <m:e>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d</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j</m:t>
                        </m:r>
                        <m:ctrlPr>
                          <w:rPr>
                            <w:rFonts w:hint="default" w:ascii="Cambria Math" w:hAnsi="Cambria Math" w:cs="Times New Roman"/>
                            <w:sz w:val="24"/>
                            <w:szCs w:val="24"/>
                          </w:rPr>
                        </m:ctrlPr>
                      </m:sub>
                    </m:sSub>
                    <m:ctrlPr>
                      <w:rPr>
                        <w:rFonts w:hint="default" w:ascii="Cambria Math" w:hAnsi="Cambria Math" w:cs="Times New Roman"/>
                        <w:sz w:val="24"/>
                        <w:szCs w:val="24"/>
                      </w:rPr>
                    </m:ctrlPr>
                  </m:e>
                </m:nary>
              </m:oMath>
            </m:oMathPara>
          </w:p>
        </w:tc>
        <w:tc>
          <w:tcPr>
            <w:tcW w:w="1153" w:type="pct"/>
            <w:shd w:val="clear" w:color="auto" w:fill="FFFFFF"/>
            <w:tcMar>
              <w:top w:w="70" w:type="dxa"/>
              <w:left w:w="80" w:type="dxa"/>
              <w:bottom w:w="70" w:type="dxa"/>
              <w:right w:w="80" w:type="dxa"/>
            </w:tcMar>
            <w:vAlign w:val="center"/>
          </w:tcPr>
          <w:p w14:paraId="2982A42A">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Mean nearest-neighbor bond length determined using the CrystalNN criterion.</w:t>
            </w:r>
          </w:p>
        </w:tc>
      </w:tr>
      <w:tr w14:paraId="186181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3" w:type="pct"/>
            <w:shd w:val="clear" w:color="auto" w:fill="FFFFFF"/>
            <w:tcMar>
              <w:top w:w="70" w:type="dxa"/>
              <w:left w:w="80" w:type="dxa"/>
              <w:bottom w:w="70" w:type="dxa"/>
              <w:right w:w="80" w:type="dxa"/>
            </w:tcMar>
            <w:vAlign w:val="center"/>
          </w:tcPr>
          <w:p w14:paraId="5888749B">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Bond-length standard deviation</w:t>
            </w:r>
          </w:p>
        </w:tc>
        <w:tc>
          <w:tcPr>
            <w:tcW w:w="1538" w:type="pct"/>
            <w:shd w:val="clear" w:color="auto" w:fill="FFFFFF"/>
            <w:tcMar>
              <w:top w:w="70" w:type="dxa"/>
              <w:left w:w="80" w:type="dxa"/>
              <w:bottom w:w="70" w:type="dxa"/>
              <w:right w:w="80" w:type="dxa"/>
            </w:tcMar>
            <w:vAlign w:val="center"/>
          </w:tcPr>
          <w:p w14:paraId="38578DCB">
            <w:pPr>
              <w:pStyle w:val="24"/>
              <w:spacing w:before="0" w:after="30" w:line="247"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σ</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d</m:t>
                    </m:r>
                    <m:ctrlPr>
                      <w:rPr>
                        <w:rFonts w:hint="default" w:ascii="Cambria Math" w:hAnsi="Cambria Math" w:cs="Times New Roman"/>
                        <w:sz w:val="24"/>
                        <w:szCs w:val="24"/>
                      </w:rPr>
                    </m:ctrlPr>
                  </m:sub>
                </m:sSub>
              </m:oMath>
            </m:oMathPara>
          </w:p>
        </w:tc>
        <w:tc>
          <w:tcPr>
            <w:tcW w:w="1153" w:type="pct"/>
            <w:shd w:val="clear" w:color="auto" w:fill="FFFFFF"/>
            <w:tcMar>
              <w:top w:w="70" w:type="dxa"/>
              <w:left w:w="80" w:type="dxa"/>
              <w:bottom w:w="70" w:type="dxa"/>
              <w:right w:w="80" w:type="dxa"/>
            </w:tcMar>
            <w:vAlign w:val="center"/>
          </w:tcPr>
          <w:p w14:paraId="4393ACC9">
            <w:pPr>
              <w:pStyle w:val="24"/>
              <w:spacing w:before="0" w:after="30" w:line="247"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σ</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d</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ad>
                  <m:radPr>
                    <m:degHide m:val="1"/>
                    <m:ctrlPr>
                      <w:rPr>
                        <w:rFonts w:hint="default" w:ascii="Cambria Math" w:hAnsi="Cambria Math" w:cs="Times New Roman"/>
                        <w:sz w:val="24"/>
                        <w:szCs w:val="24"/>
                      </w:rPr>
                    </m:ctrlPr>
                  </m:radPr>
                  <m:deg>
                    <m:ctrlPr>
                      <w:rPr>
                        <w:rFonts w:hint="default" w:ascii="Cambria Math" w:hAnsi="Cambria Math" w:cs="Times New Roman"/>
                        <w:sz w:val="24"/>
                        <w:szCs w:val="24"/>
                      </w:rPr>
                    </m:ctrlPr>
                  </m:deg>
                  <m:e>
                    <m:f>
                      <m:fPr>
                        <m:ctrlPr>
                          <w:rPr>
                            <w:rFonts w:hint="default" w:ascii="Cambria Math" w:hAnsi="Cambria Math" w:cs="Times New Roman"/>
                            <w:sz w:val="24"/>
                            <w:szCs w:val="24"/>
                          </w:rPr>
                        </m:ctrlPr>
                      </m:fPr>
                      <m:num>
                        <m:r>
                          <m:rPr>
                            <m:nor/>
                            <m:sty m:val="p"/>
                          </m:rPr>
                          <w:rPr>
                            <w:rFonts w:hint="default" w:ascii="Times New Roman" w:hAnsi="Times New Roman" w:cs="Times New Roman"/>
                            <w:b w:val="0"/>
                            <w:i w:val="0"/>
                            <w:iCs/>
                            <w:sz w:val="24"/>
                            <w:szCs w:val="24"/>
                          </w:rPr>
                          <m:t>1</m:t>
                        </m:r>
                        <m:ctrlPr>
                          <w:rPr>
                            <w:rFonts w:hint="default" w:ascii="Cambria Math" w:hAnsi="Cambria Math" w:cs="Times New Roman"/>
                            <w:sz w:val="24"/>
                            <w:szCs w:val="24"/>
                          </w:rPr>
                        </m:ctrlPr>
                      </m:num>
                      <m:den>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N</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b</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b w:val="0"/>
                            <w:i w:val="0"/>
                            <w:iCs/>
                            <w:sz w:val="24"/>
                            <w:szCs w:val="24"/>
                          </w:rPr>
                          <m:t>1</m:t>
                        </m:r>
                        <m:ctrlPr>
                          <w:rPr>
                            <w:rFonts w:hint="default" w:ascii="Cambria Math" w:hAnsi="Cambria Math" w:cs="Times New Roman"/>
                            <w:sz w:val="24"/>
                            <w:szCs w:val="24"/>
                          </w:rPr>
                        </m:ctrlPr>
                      </m:den>
                    </m:f>
                    <m:nary>
                      <m:naryPr>
                        <m:chr m:val="∑"/>
                        <m:limLoc m:val="undOvr"/>
                        <m:ctrlPr>
                          <w:rPr>
                            <w:rFonts w:hint="default" w:ascii="Cambria Math" w:hAnsi="Cambria Math" w:cs="Times New Roman"/>
                            <w:sz w:val="24"/>
                            <w:szCs w:val="24"/>
                          </w:rPr>
                        </m:ctrlPr>
                      </m:naryPr>
                      <m:sub>
                        <m:r>
                          <m:rPr>
                            <m:nor/>
                          </m:rPr>
                          <w:rPr>
                            <w:rFonts w:hint="default" w:ascii="Times New Roman" w:hAnsi="Times New Roman" w:cs="Times New Roman"/>
                            <w:i/>
                            <w:sz w:val="24"/>
                            <w:szCs w:val="24"/>
                          </w:rPr>
                          <m:t>j</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b w:val="0"/>
                            <w:i w:val="0"/>
                            <w:iCs/>
                            <w:sz w:val="24"/>
                            <w:szCs w:val="24"/>
                          </w:rPr>
                          <m:t>1</m:t>
                        </m:r>
                        <m:ctrlPr>
                          <w:rPr>
                            <w:rFonts w:hint="default" w:ascii="Cambria Math" w:hAnsi="Cambria Math" w:cs="Times New Roman"/>
                            <w:sz w:val="24"/>
                            <w:szCs w:val="24"/>
                          </w:rPr>
                        </m:ctrlPr>
                      </m:sub>
                      <m:sup>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N</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b</m:t>
                            </m:r>
                            <m:ctrlPr>
                              <w:rPr>
                                <w:rFonts w:hint="default" w:ascii="Cambria Math" w:hAnsi="Cambria Math" w:cs="Times New Roman"/>
                                <w:sz w:val="24"/>
                                <w:szCs w:val="24"/>
                              </w:rPr>
                            </m:ctrlPr>
                          </m:sub>
                        </m:sSub>
                        <m:ctrlPr>
                          <w:rPr>
                            <w:rFonts w:hint="default" w:ascii="Cambria Math" w:hAnsi="Cambria Math" w:cs="Times New Roman"/>
                            <w:sz w:val="24"/>
                            <w:szCs w:val="24"/>
                          </w:rPr>
                        </m:ctrlPr>
                      </m:sup>
                      <m:e>
                        <m:sSup>
                          <m:sSupPr>
                            <m:ctrlPr>
                              <w:rPr>
                                <w:rFonts w:hint="default" w:ascii="Cambria Math" w:hAnsi="Cambria Math" w:cs="Times New Roman"/>
                                <w:sz w:val="24"/>
                                <w:szCs w:val="24"/>
                              </w:rPr>
                            </m:ctrlPr>
                          </m:sSupPr>
                          <m:e>
                            <m:d>
                              <m:dPr>
                                <m:sepChr m:val=""/>
                                <m:ctrlPr>
                                  <w:rPr>
                                    <w:rFonts w:hint="default" w:ascii="Cambria Math" w:hAnsi="Cambria Math" w:cs="Times New Roman"/>
                                    <w:sz w:val="24"/>
                                    <w:szCs w:val="24"/>
                                  </w:rPr>
                                </m:ctrlPr>
                              </m:dPr>
                              <m:e>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d</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j</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d</m:t>
                                </m:r>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d>
                            <m:ctrlPr>
                              <w:rPr>
                                <w:rFonts w:hint="default" w:ascii="Cambria Math" w:hAnsi="Cambria Math" w:cs="Times New Roman"/>
                                <w:sz w:val="24"/>
                                <w:szCs w:val="24"/>
                              </w:rPr>
                            </m:ctrlPr>
                          </m:e>
                          <m:sup>
                            <m:r>
                              <m:rPr>
                                <m:nor/>
                                <m:sty m:val="p"/>
                              </m:rPr>
                              <w:rPr>
                                <w:rFonts w:hint="default" w:ascii="Times New Roman" w:hAnsi="Times New Roman" w:cs="Times New Roman"/>
                                <w:i w:val="0"/>
                                <w:iCs/>
                                <w:sz w:val="24"/>
                                <w:szCs w:val="24"/>
                              </w:rPr>
                              <m:t>2</m:t>
                            </m:r>
                            <m:ctrlPr>
                              <w:rPr>
                                <w:rFonts w:hint="default" w:ascii="Cambria Math" w:hAnsi="Cambria Math" w:cs="Times New Roman"/>
                                <w:sz w:val="24"/>
                                <w:szCs w:val="24"/>
                              </w:rPr>
                            </m:ctrlPr>
                          </m:sup>
                        </m:sSup>
                        <m:ctrlPr>
                          <w:rPr>
                            <w:rFonts w:hint="default" w:ascii="Cambria Math" w:hAnsi="Cambria Math" w:cs="Times New Roman"/>
                            <w:sz w:val="24"/>
                            <w:szCs w:val="24"/>
                          </w:rPr>
                        </m:ctrlPr>
                      </m:e>
                    </m:nary>
                    <m:ctrlPr>
                      <w:rPr>
                        <w:rFonts w:hint="default" w:ascii="Cambria Math" w:hAnsi="Cambria Math" w:cs="Times New Roman"/>
                        <w:sz w:val="24"/>
                        <w:szCs w:val="24"/>
                      </w:rPr>
                    </m:ctrlPr>
                  </m:e>
                </m:rad>
              </m:oMath>
            </m:oMathPara>
          </w:p>
        </w:tc>
        <w:tc>
          <w:tcPr>
            <w:tcW w:w="1153" w:type="pct"/>
            <w:shd w:val="clear" w:color="auto" w:fill="FFFFFF"/>
            <w:tcMar>
              <w:top w:w="70" w:type="dxa"/>
              <w:left w:w="80" w:type="dxa"/>
              <w:bottom w:w="70" w:type="dxa"/>
              <w:right w:w="80" w:type="dxa"/>
            </w:tcMar>
            <w:vAlign w:val="center"/>
          </w:tcPr>
          <w:p w14:paraId="65EA8833">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Structural disorder of the local coordination environment.</w:t>
            </w:r>
          </w:p>
        </w:tc>
      </w:tr>
      <w:tr w14:paraId="34E70C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3" w:type="pct"/>
            <w:shd w:val="clear" w:color="auto" w:fill="FFFFFF"/>
            <w:tcMar>
              <w:top w:w="70" w:type="dxa"/>
              <w:left w:w="80" w:type="dxa"/>
              <w:bottom w:w="70" w:type="dxa"/>
              <w:right w:w="80" w:type="dxa"/>
            </w:tcMar>
            <w:vAlign w:val="center"/>
          </w:tcPr>
          <w:p w14:paraId="6C7C64E1">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Centrosymmetry</w:t>
            </w:r>
          </w:p>
        </w:tc>
        <w:tc>
          <w:tcPr>
            <w:tcW w:w="1538" w:type="pct"/>
            <w:shd w:val="clear" w:color="auto" w:fill="FFFFFF"/>
            <w:tcMar>
              <w:top w:w="70" w:type="dxa"/>
              <w:left w:w="80" w:type="dxa"/>
              <w:bottom w:w="70" w:type="dxa"/>
              <w:right w:w="80" w:type="dxa"/>
            </w:tcMar>
            <w:vAlign w:val="center"/>
          </w:tcPr>
          <w:p w14:paraId="1157AF5F">
            <w:pPr>
              <w:pStyle w:val="24"/>
              <w:spacing w:before="0" w:after="30" w:line="247"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centro</m:t>
                    </m:r>
                    <m:ctrlPr>
                      <w:rPr>
                        <w:rFonts w:hint="default" w:ascii="Cambria Math" w:hAnsi="Cambria Math" w:cs="Times New Roman"/>
                        <w:sz w:val="24"/>
                        <w:szCs w:val="24"/>
                      </w:rPr>
                    </m:ctrlPr>
                  </m:sub>
                </m:sSub>
              </m:oMath>
            </m:oMathPara>
          </w:p>
        </w:tc>
        <w:tc>
          <w:tcPr>
            <w:tcW w:w="1153" w:type="pct"/>
            <w:shd w:val="clear" w:color="auto" w:fill="FFFFFF"/>
            <w:tcMar>
              <w:top w:w="70" w:type="dxa"/>
              <w:left w:w="80" w:type="dxa"/>
              <w:bottom w:w="70" w:type="dxa"/>
              <w:right w:w="80" w:type="dxa"/>
            </w:tcMar>
            <w:vAlign w:val="center"/>
          </w:tcPr>
          <w:p w14:paraId="48D6C2AD">
            <w:pPr>
              <w:pStyle w:val="24"/>
              <w:spacing w:before="0" w:after="30" w:line="247"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centro</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b w:val="0"/>
                    <w:i w:val="0"/>
                    <w:iCs/>
                    <w:sz w:val="24"/>
                    <w:szCs w:val="24"/>
                  </w:rPr>
                  <m:t>0</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b w:val="0"/>
                    <w:i w:val="0"/>
                    <w:iCs/>
                    <w:sz w:val="24"/>
                    <w:szCs w:val="24"/>
                  </w:rPr>
                  <m:t>1</m:t>
                </m:r>
                <m:r>
                  <m:rPr>
                    <m:nor/>
                    <m:sty m:val="p"/>
                  </m:rPr>
                  <w:rPr>
                    <w:rFonts w:hint="default" w:ascii="Times New Roman" w:hAnsi="Times New Roman" w:cs="Times New Roman"/>
                    <w:b w:val="0"/>
                    <w:i w:val="0"/>
                    <w:sz w:val="24"/>
                    <w:szCs w:val="24"/>
                  </w:rPr>
                  <m:t>}</m:t>
                </m:r>
              </m:oMath>
            </m:oMathPara>
          </w:p>
        </w:tc>
        <w:tc>
          <w:tcPr>
            <w:tcW w:w="1153" w:type="pct"/>
            <w:shd w:val="clear" w:color="auto" w:fill="FFFFFF"/>
            <w:tcMar>
              <w:top w:w="70" w:type="dxa"/>
              <w:left w:w="80" w:type="dxa"/>
              <w:bottom w:w="70" w:type="dxa"/>
              <w:right w:w="80" w:type="dxa"/>
            </w:tcMar>
            <w:vAlign w:val="center"/>
          </w:tcPr>
          <w:p w14:paraId="6B141D59">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 xml:space="preserve">Whether the space group contains an inversion center; </w:t>
            </w:r>
            <m:oMath>
              <m:r>
                <m:rPr>
                  <m:nor/>
                  <m:sty m:val="p"/>
                </m:rPr>
                <w:rPr>
                  <w:rFonts w:hint="default" w:ascii="Times New Roman" w:hAnsi="Times New Roman" w:cs="Times New Roman"/>
                  <w:i w:val="0"/>
                  <w:sz w:val="24"/>
                  <w:szCs w:val="24"/>
                </w:rPr>
                <m:t>1</m:t>
              </m:r>
            </m:oMath>
            <w:r>
              <w:rPr>
                <w:rFonts w:hint="default" w:ascii="Times New Roman" w:hAnsi="Times New Roman" w:cs="Times New Roman"/>
                <w:i w:val="0"/>
                <w:color w:val="000000"/>
                <w:sz w:val="24"/>
                <w:szCs w:val="24"/>
              </w:rPr>
              <w:t xml:space="preserve"> denotes yes and </w:t>
            </w:r>
            <m:oMath>
              <m:r>
                <m:rPr>
                  <m:nor/>
                  <m:sty m:val="p"/>
                </m:rPr>
                <w:rPr>
                  <w:rFonts w:hint="default" w:ascii="Times New Roman" w:hAnsi="Times New Roman" w:cs="Times New Roman"/>
                  <w:i w:val="0"/>
                  <w:sz w:val="24"/>
                  <w:szCs w:val="24"/>
                </w:rPr>
                <m:t>0</m:t>
              </m:r>
            </m:oMath>
            <w:r>
              <w:rPr>
                <w:rFonts w:hint="default" w:ascii="Times New Roman" w:hAnsi="Times New Roman" w:cs="Times New Roman"/>
                <w:i w:val="0"/>
                <w:color w:val="000000"/>
                <w:sz w:val="24"/>
                <w:szCs w:val="24"/>
              </w:rPr>
              <w:t xml:space="preserve"> denotes no.</w:t>
            </w:r>
          </w:p>
        </w:tc>
      </w:tr>
      <w:tr w14:paraId="68D188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3" w:type="pct"/>
            <w:shd w:val="clear" w:color="auto" w:fill="FFFFFF"/>
            <w:tcMar>
              <w:top w:w="70" w:type="dxa"/>
              <w:left w:w="80" w:type="dxa"/>
              <w:bottom w:w="70" w:type="dxa"/>
              <w:right w:w="80" w:type="dxa"/>
            </w:tcMar>
            <w:vAlign w:val="center"/>
          </w:tcPr>
          <w:p w14:paraId="3663733D">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Asymmetric electronegativity index</w:t>
            </w:r>
          </w:p>
        </w:tc>
        <w:tc>
          <w:tcPr>
            <w:tcW w:w="1538" w:type="pct"/>
            <w:shd w:val="clear" w:color="auto" w:fill="FFFFFF"/>
            <w:tcMar>
              <w:top w:w="70" w:type="dxa"/>
              <w:left w:w="80" w:type="dxa"/>
              <w:bottom w:w="70" w:type="dxa"/>
              <w:right w:w="80" w:type="dxa"/>
            </w:tcMar>
            <w:vAlign w:val="center"/>
          </w:tcPr>
          <w:p w14:paraId="20AEE698">
            <w:pPr>
              <w:pStyle w:val="24"/>
              <w:spacing w:before="0" w:after="30" w:line="247"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sty m:val="p"/>
                        <m:scr m:val="script"/>
                      </m:rPr>
                      <w:rPr>
                        <w:rFonts w:hint="default" w:ascii="Times New Roman" w:hAnsi="Times New Roman" w:eastAsia="MS Mincho" w:cs="MS Mincho"/>
                        <w:b w:val="0"/>
                        <w:i w:val="0"/>
                        <w:sz w:val="24"/>
                        <w:szCs w:val="24"/>
                      </w:rPr>
                      <m:t>J</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χ</m:t>
                    </m:r>
                    <m:ctrlPr>
                      <w:rPr>
                        <w:rFonts w:hint="default" w:ascii="Cambria Math" w:hAnsi="Cambria Math" w:cs="Times New Roman"/>
                        <w:sz w:val="24"/>
                        <w:szCs w:val="24"/>
                      </w:rPr>
                    </m:ctrlPr>
                  </m:sub>
                </m:sSub>
              </m:oMath>
            </m:oMathPara>
          </w:p>
        </w:tc>
        <w:tc>
          <w:tcPr>
            <w:tcW w:w="1153" w:type="pct"/>
            <w:shd w:val="clear" w:color="auto" w:fill="FFFFFF"/>
            <w:tcMar>
              <w:top w:w="70" w:type="dxa"/>
              <w:left w:w="80" w:type="dxa"/>
              <w:bottom w:w="70" w:type="dxa"/>
              <w:right w:w="80" w:type="dxa"/>
            </w:tcMar>
            <w:vAlign w:val="center"/>
          </w:tcPr>
          <w:p w14:paraId="0E1D3C5A">
            <w:pPr>
              <w:pStyle w:val="24"/>
              <w:spacing w:before="0" w:after="30" w:line="247"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sty m:val="p"/>
                        <m:scr m:val="script"/>
                      </m:rPr>
                      <w:rPr>
                        <w:rFonts w:hint="default" w:ascii="Times New Roman" w:hAnsi="Times New Roman" w:eastAsia="MS Mincho" w:cs="MS Mincho"/>
                        <w:b w:val="0"/>
                        <w:i w:val="0"/>
                        <w:sz w:val="24"/>
                        <w:szCs w:val="24"/>
                      </w:rPr>
                      <m:t>J</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χ</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d>
                  <m:dPr>
                    <m:begChr m:val="|"/>
                    <m:sepChr m:val=""/>
                    <m:endChr m:val="|"/>
                    <m:ctrlPr>
                      <w:rPr>
                        <w:rFonts w:hint="default" w:ascii="Cambria Math" w:hAnsi="Cambria Math" w:cs="Times New Roman"/>
                        <w:sz w:val="24"/>
                        <w:szCs w:val="24"/>
                      </w:rPr>
                    </m:ctrlPr>
                  </m:dPr>
                  <m:e>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χ</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top</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χ</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bot</m:t>
                        </m:r>
                        <m:ctrlPr>
                          <w:rPr>
                            <w:rFonts w:hint="default" w:ascii="Cambria Math" w:hAnsi="Cambria Math" w:cs="Times New Roman"/>
                            <w:sz w:val="24"/>
                            <w:szCs w:val="24"/>
                          </w:rPr>
                        </m:ctrlPr>
                      </m:sub>
                    </m:sSub>
                    <m:ctrlPr>
                      <w:rPr>
                        <w:rFonts w:hint="default" w:ascii="Cambria Math" w:hAnsi="Cambria Math" w:cs="Times New Roman"/>
                        <w:sz w:val="24"/>
                        <w:szCs w:val="24"/>
                      </w:rPr>
                    </m:ctrlPr>
                  </m:e>
                </m:d>
                <m:r>
                  <m:rPr>
                    <m:nor/>
                    <m:sty m:val="p"/>
                  </m:rPr>
                  <w:rPr>
                    <w:rFonts w:hint="default" w:ascii="Times New Roman" w:hAnsi="Times New Roman" w:cs="Times New Roman"/>
                    <w:i w:val="0"/>
                    <w:sz w:val="24"/>
                    <w:szCs w:val="24"/>
                  </w:rPr>
                  <m:t> </m:t>
                </m:r>
                <m:d>
                  <m:dPr>
                    <m:sepChr m:val=""/>
                    <m:ctrlPr>
                      <w:rPr>
                        <w:rFonts w:hint="default" w:ascii="Cambria Math" w:hAnsi="Cambria Math" w:cs="Times New Roman"/>
                        <w:sz w:val="24"/>
                        <w:szCs w:val="24"/>
                      </w:rPr>
                    </m:ctrlPr>
                  </m:dPr>
                  <m:e>
                    <m:r>
                      <m:rPr>
                        <m:nor/>
                        <m:sty m:val="p"/>
                      </m:rPr>
                      <w:rPr>
                        <w:rFonts w:hint="default" w:ascii="Times New Roman" w:hAnsi="Times New Roman" w:cs="Times New Roman"/>
                        <w:b w:val="0"/>
                        <w:i w:val="0"/>
                        <w:iCs/>
                        <w:sz w:val="24"/>
                        <w:szCs w:val="24"/>
                      </w:rPr>
                      <m:t>1</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centro</m:t>
                        </m:r>
                        <m:ctrlPr>
                          <w:rPr>
                            <w:rFonts w:hint="default" w:ascii="Cambria Math" w:hAnsi="Cambria Math" w:cs="Times New Roman"/>
                            <w:sz w:val="24"/>
                            <w:szCs w:val="24"/>
                          </w:rPr>
                        </m:ctrlPr>
                      </m:sub>
                    </m:sSub>
                    <m:ctrlPr>
                      <w:rPr>
                        <w:rFonts w:hint="default" w:ascii="Cambria Math" w:hAnsi="Cambria Math" w:cs="Times New Roman"/>
                        <w:sz w:val="24"/>
                        <w:szCs w:val="24"/>
                      </w:rPr>
                    </m:ctrlPr>
                  </m:e>
                </m:d>
              </m:oMath>
            </m:oMathPara>
          </w:p>
        </w:tc>
        <w:tc>
          <w:tcPr>
            <w:tcW w:w="1153" w:type="pct"/>
            <w:shd w:val="clear" w:color="auto" w:fill="FFFFFF"/>
            <w:tcMar>
              <w:top w:w="70" w:type="dxa"/>
              <w:left w:w="80" w:type="dxa"/>
              <w:bottom w:w="70" w:type="dxa"/>
              <w:right w:w="80" w:type="dxa"/>
            </w:tcMar>
            <w:vAlign w:val="center"/>
          </w:tcPr>
          <w:p w14:paraId="08248411">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Electronegativity difference between top and bottom surface elements, screened by symmetry.</w:t>
            </w:r>
          </w:p>
        </w:tc>
      </w:tr>
      <w:tr w14:paraId="29372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3" w:type="pct"/>
            <w:shd w:val="clear" w:color="auto" w:fill="FFFFFF"/>
            <w:tcMar>
              <w:top w:w="70" w:type="dxa"/>
              <w:left w:w="80" w:type="dxa"/>
              <w:bottom w:w="70" w:type="dxa"/>
              <w:right w:w="80" w:type="dxa"/>
            </w:tcMar>
            <w:vAlign w:val="center"/>
          </w:tcPr>
          <w:p w14:paraId="02300EC3">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Asymmetric radius index</w:t>
            </w:r>
          </w:p>
        </w:tc>
        <w:tc>
          <w:tcPr>
            <w:tcW w:w="1538" w:type="pct"/>
            <w:shd w:val="clear" w:color="auto" w:fill="FFFFFF"/>
            <w:tcMar>
              <w:top w:w="70" w:type="dxa"/>
              <w:left w:w="80" w:type="dxa"/>
              <w:bottom w:w="70" w:type="dxa"/>
              <w:right w:w="80" w:type="dxa"/>
            </w:tcMar>
            <w:vAlign w:val="center"/>
          </w:tcPr>
          <w:p w14:paraId="5E4CC43C">
            <w:pPr>
              <w:pStyle w:val="24"/>
              <w:spacing w:before="0" w:after="30" w:line="247"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sty m:val="p"/>
                        <m:scr m:val="script"/>
                      </m:rPr>
                      <w:rPr>
                        <w:rFonts w:hint="default" w:ascii="Times New Roman" w:hAnsi="Times New Roman" w:eastAsia="MS Mincho" w:cs="MS Mincho"/>
                        <w:b w:val="0"/>
                        <w:i w:val="0"/>
                        <w:sz w:val="24"/>
                        <w:szCs w:val="24"/>
                      </w:rPr>
                      <m:t>J</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r</m:t>
                    </m:r>
                    <m:ctrlPr>
                      <w:rPr>
                        <w:rFonts w:hint="default" w:ascii="Cambria Math" w:hAnsi="Cambria Math" w:cs="Times New Roman"/>
                        <w:sz w:val="24"/>
                        <w:szCs w:val="24"/>
                      </w:rPr>
                    </m:ctrlPr>
                  </m:sub>
                </m:sSub>
              </m:oMath>
            </m:oMathPara>
          </w:p>
        </w:tc>
        <w:tc>
          <w:tcPr>
            <w:tcW w:w="1153" w:type="pct"/>
            <w:shd w:val="clear" w:color="auto" w:fill="FFFFFF"/>
            <w:tcMar>
              <w:top w:w="70" w:type="dxa"/>
              <w:left w:w="80" w:type="dxa"/>
              <w:bottom w:w="70" w:type="dxa"/>
              <w:right w:w="80" w:type="dxa"/>
            </w:tcMar>
            <w:vAlign w:val="center"/>
          </w:tcPr>
          <w:p w14:paraId="692F26F3">
            <w:pPr>
              <w:pStyle w:val="24"/>
              <w:spacing w:before="0" w:after="30" w:line="247"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sty m:val="p"/>
                        <m:scr m:val="script"/>
                      </m:rPr>
                      <w:rPr>
                        <w:rFonts w:hint="default" w:ascii="Times New Roman" w:hAnsi="Times New Roman" w:eastAsia="MS Mincho" w:cs="MS Mincho"/>
                        <w:b w:val="0"/>
                        <w:i w:val="0"/>
                        <w:sz w:val="24"/>
                        <w:szCs w:val="24"/>
                      </w:rPr>
                      <m:t>J</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r</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f>
                  <m:fPr>
                    <m:ctrlPr>
                      <w:rPr>
                        <w:rFonts w:hint="default" w:ascii="Cambria Math" w:hAnsi="Cambria Math" w:cs="Times New Roman"/>
                        <w:sz w:val="24"/>
                        <w:szCs w:val="24"/>
                      </w:rPr>
                    </m:ctrlPr>
                  </m:fPr>
                  <m:num>
                    <m:d>
                      <m:dPr>
                        <m:begChr m:val="|"/>
                        <m:sepChr m:val=""/>
                        <m:endChr m:val="|"/>
                        <m:ctrlPr>
                          <w:rPr>
                            <w:rFonts w:hint="default" w:ascii="Cambria Math" w:hAnsi="Cambria Math" w:cs="Times New Roman"/>
                            <w:sz w:val="24"/>
                            <w:szCs w:val="24"/>
                          </w:rPr>
                        </m:ctrlPr>
                      </m:dPr>
                      <m:e>
                        <m:sSubSup>
                          <m:sSubSupPr>
                            <m:ctrlPr>
                              <w:rPr>
                                <w:rFonts w:hint="default" w:ascii="Cambria Math" w:hAnsi="Cambria Math" w:cs="Times New Roman"/>
                                <w:sz w:val="24"/>
                                <w:szCs w:val="24"/>
                              </w:rPr>
                            </m:ctrlPr>
                          </m:sSubSup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top</m:t>
                            </m:r>
                            <m:ctrlPr>
                              <w:rPr>
                                <w:rFonts w:hint="default" w:ascii="Cambria Math" w:hAnsi="Cambria Math" w:cs="Times New Roman"/>
                                <w:sz w:val="24"/>
                                <w:szCs w:val="24"/>
                              </w:rPr>
                            </m:ctrlPr>
                          </m:sub>
                          <m:sup>
                            <m:r>
                              <m:rPr>
                                <m:nor/>
                                <m:sty m:val="p"/>
                              </m:rPr>
                              <w:rPr>
                                <w:rFonts w:hint="default" w:ascii="Times New Roman" w:hAnsi="Times New Roman" w:cs="Times New Roman"/>
                                <w:b w:val="0"/>
                                <w:i w:val="0"/>
                                <w:sz w:val="24"/>
                                <w:szCs w:val="24"/>
                              </w:rPr>
                              <m:t>vdW</m:t>
                            </m:r>
                            <m:ctrlPr>
                              <w:rPr>
                                <w:rFonts w:hint="default" w:ascii="Cambria Math" w:hAnsi="Cambria Math" w:cs="Times New Roman"/>
                                <w:sz w:val="24"/>
                                <w:szCs w:val="24"/>
                              </w:rPr>
                            </m:ctrlPr>
                          </m:sup>
                        </m:sSubSup>
                        <m:r>
                          <m:rPr>
                            <m:nor/>
                            <m:sty m:val="p"/>
                          </m:rPr>
                          <w:rPr>
                            <w:rFonts w:hint="default" w:ascii="Times New Roman" w:hAnsi="Times New Roman" w:cs="Times New Roman"/>
                            <w:b w:val="0"/>
                            <w:i w:val="0"/>
                            <w:sz w:val="24"/>
                            <w:szCs w:val="24"/>
                          </w:rPr>
                          <m:t>−</m:t>
                        </m:r>
                        <m:sSubSup>
                          <m:sSubSupPr>
                            <m:ctrlPr>
                              <w:rPr>
                                <w:rFonts w:hint="default" w:ascii="Cambria Math" w:hAnsi="Cambria Math" w:cs="Times New Roman"/>
                                <w:sz w:val="24"/>
                                <w:szCs w:val="24"/>
                              </w:rPr>
                            </m:ctrlPr>
                          </m:sSubSup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bot</m:t>
                            </m:r>
                            <m:ctrlPr>
                              <w:rPr>
                                <w:rFonts w:hint="default" w:ascii="Cambria Math" w:hAnsi="Cambria Math" w:cs="Times New Roman"/>
                                <w:sz w:val="24"/>
                                <w:szCs w:val="24"/>
                              </w:rPr>
                            </m:ctrlPr>
                          </m:sub>
                          <m:sup>
                            <m:r>
                              <m:rPr>
                                <m:nor/>
                                <m:sty m:val="p"/>
                              </m:rPr>
                              <w:rPr>
                                <w:rFonts w:hint="default" w:ascii="Times New Roman" w:hAnsi="Times New Roman" w:cs="Times New Roman"/>
                                <w:b w:val="0"/>
                                <w:i w:val="0"/>
                                <w:sz w:val="24"/>
                                <w:szCs w:val="24"/>
                              </w:rPr>
                              <m:t>vdW</m:t>
                            </m:r>
                            <m:ctrlPr>
                              <w:rPr>
                                <w:rFonts w:hint="default" w:ascii="Cambria Math" w:hAnsi="Cambria Math" w:cs="Times New Roman"/>
                                <w:sz w:val="24"/>
                                <w:szCs w:val="24"/>
                              </w:rPr>
                            </m:ctrlPr>
                          </m:sup>
                        </m:sSubSup>
                        <m:ctrlPr>
                          <w:rPr>
                            <w:rFonts w:hint="default" w:ascii="Cambria Math" w:hAnsi="Cambria Math" w:cs="Times New Roman"/>
                            <w:sz w:val="24"/>
                            <w:szCs w:val="24"/>
                          </w:rPr>
                        </m:ctrlPr>
                      </m:e>
                    </m:d>
                    <m:ctrlPr>
                      <w:rPr>
                        <w:rFonts w:hint="default" w:ascii="Cambria Math" w:hAnsi="Cambria Math" w:cs="Times New Roman"/>
                        <w:sz w:val="24"/>
                        <w:szCs w:val="24"/>
                      </w:rPr>
                    </m:ctrlPr>
                  </m:num>
                  <m:den>
                    <m:r>
                      <m:rPr>
                        <m:nor/>
                        <m:sty m:val="p"/>
                      </m:rPr>
                      <w:rPr>
                        <w:rFonts w:hint="default" w:ascii="Times New Roman" w:hAnsi="Times New Roman" w:cs="Times New Roman"/>
                        <w:b w:val="0"/>
                        <w:i w:val="0"/>
                        <w:sz w:val="24"/>
                        <w:szCs w:val="24"/>
                      </w:rPr>
                      <m:t>max</m:t>
                    </m:r>
                    <m:d>
                      <m:dPr>
                        <m:sepChr m:val=""/>
                        <m:ctrlPr>
                          <w:rPr>
                            <w:rFonts w:hint="default" w:ascii="Cambria Math" w:hAnsi="Cambria Math" w:cs="Times New Roman"/>
                            <w:sz w:val="24"/>
                            <w:szCs w:val="24"/>
                          </w:rPr>
                        </m:ctrlPr>
                      </m:dPr>
                      <m:e>
                        <m:sSubSup>
                          <m:sSubSupPr>
                            <m:ctrlPr>
                              <w:rPr>
                                <w:rFonts w:hint="default" w:ascii="Cambria Math" w:hAnsi="Cambria Math" w:cs="Times New Roman"/>
                                <w:sz w:val="24"/>
                                <w:szCs w:val="24"/>
                              </w:rPr>
                            </m:ctrlPr>
                          </m:sSubSup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top</m:t>
                            </m:r>
                            <m:ctrlPr>
                              <w:rPr>
                                <w:rFonts w:hint="default" w:ascii="Cambria Math" w:hAnsi="Cambria Math" w:cs="Times New Roman"/>
                                <w:sz w:val="24"/>
                                <w:szCs w:val="24"/>
                              </w:rPr>
                            </m:ctrlPr>
                          </m:sub>
                          <m:sup>
                            <m:r>
                              <m:rPr>
                                <m:nor/>
                                <m:sty m:val="p"/>
                              </m:rPr>
                              <w:rPr>
                                <w:rFonts w:hint="default" w:ascii="Times New Roman" w:hAnsi="Times New Roman" w:cs="Times New Roman"/>
                                <w:b w:val="0"/>
                                <w:i w:val="0"/>
                                <w:sz w:val="24"/>
                                <w:szCs w:val="24"/>
                              </w:rPr>
                              <m:t>vdW</m:t>
                            </m:r>
                            <m:ctrlPr>
                              <w:rPr>
                                <w:rFonts w:hint="default" w:ascii="Cambria Math" w:hAnsi="Cambria Math" w:cs="Times New Roman"/>
                                <w:sz w:val="24"/>
                                <w:szCs w:val="24"/>
                              </w:rPr>
                            </m:ctrlPr>
                          </m:sup>
                        </m:sSubSup>
                        <m:r>
                          <m:rPr>
                            <m:nor/>
                            <m:sty m:val="p"/>
                          </m:rPr>
                          <w:rPr>
                            <w:rFonts w:hint="default" w:ascii="Times New Roman" w:hAnsi="Times New Roman" w:cs="Times New Roman"/>
                            <w:b w:val="0"/>
                            <w:i w:val="0"/>
                            <w:sz w:val="24"/>
                            <w:szCs w:val="24"/>
                          </w:rPr>
                          <m:t>,</m:t>
                        </m:r>
                        <m:sSubSup>
                          <m:sSubSupPr>
                            <m:ctrlPr>
                              <w:rPr>
                                <w:rFonts w:hint="default" w:ascii="Cambria Math" w:hAnsi="Cambria Math" w:cs="Times New Roman"/>
                                <w:sz w:val="24"/>
                                <w:szCs w:val="24"/>
                              </w:rPr>
                            </m:ctrlPr>
                          </m:sSubSup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bot</m:t>
                            </m:r>
                            <m:ctrlPr>
                              <w:rPr>
                                <w:rFonts w:hint="default" w:ascii="Cambria Math" w:hAnsi="Cambria Math" w:cs="Times New Roman"/>
                                <w:sz w:val="24"/>
                                <w:szCs w:val="24"/>
                              </w:rPr>
                            </m:ctrlPr>
                          </m:sub>
                          <m:sup>
                            <m:r>
                              <m:rPr>
                                <m:nor/>
                                <m:sty m:val="p"/>
                              </m:rPr>
                              <w:rPr>
                                <w:rFonts w:hint="default" w:ascii="Times New Roman" w:hAnsi="Times New Roman" w:cs="Times New Roman"/>
                                <w:b w:val="0"/>
                                <w:i w:val="0"/>
                                <w:sz w:val="24"/>
                                <w:szCs w:val="24"/>
                              </w:rPr>
                              <m:t>vdW</m:t>
                            </m:r>
                            <m:ctrlPr>
                              <w:rPr>
                                <w:rFonts w:hint="default" w:ascii="Cambria Math" w:hAnsi="Cambria Math" w:cs="Times New Roman"/>
                                <w:sz w:val="24"/>
                                <w:szCs w:val="24"/>
                              </w:rPr>
                            </m:ctrlPr>
                          </m:sup>
                        </m:sSubSup>
                        <m:ctrlPr>
                          <w:rPr>
                            <w:rFonts w:hint="default" w:ascii="Cambria Math" w:hAnsi="Cambria Math" w:cs="Times New Roman"/>
                            <w:sz w:val="24"/>
                            <w:szCs w:val="24"/>
                          </w:rPr>
                        </m:ctrlPr>
                      </m:e>
                    </m:d>
                    <m:ctrlPr>
                      <w:rPr>
                        <w:rFonts w:hint="default" w:ascii="Cambria Math" w:hAnsi="Cambria Math" w:cs="Times New Roman"/>
                        <w:sz w:val="24"/>
                        <w:szCs w:val="24"/>
                      </w:rPr>
                    </m:ctrlPr>
                  </m:den>
                </m:f>
                <m:r>
                  <m:rPr>
                    <m:nor/>
                    <m:sty m:val="p"/>
                  </m:rPr>
                  <w:rPr>
                    <w:rFonts w:hint="default" w:ascii="Times New Roman" w:hAnsi="Times New Roman" w:cs="Times New Roman"/>
                    <w:i w:val="0"/>
                    <w:sz w:val="24"/>
                    <w:szCs w:val="24"/>
                  </w:rPr>
                  <m:t> </m:t>
                </m:r>
                <m:d>
                  <m:dPr>
                    <m:sepChr m:val=""/>
                    <m:ctrlPr>
                      <w:rPr>
                        <w:rFonts w:hint="default" w:ascii="Cambria Math" w:hAnsi="Cambria Math" w:cs="Times New Roman"/>
                        <w:sz w:val="24"/>
                        <w:szCs w:val="24"/>
                      </w:rPr>
                    </m:ctrlPr>
                  </m:dPr>
                  <m:e>
                    <m:r>
                      <m:rPr>
                        <m:nor/>
                        <m:sty m:val="p"/>
                      </m:rPr>
                      <w:rPr>
                        <w:rFonts w:hint="default" w:ascii="Times New Roman" w:hAnsi="Times New Roman" w:cs="Times New Roman"/>
                        <w:i w:val="0"/>
                        <w:iCs/>
                        <w:sz w:val="24"/>
                        <w:szCs w:val="24"/>
                      </w:rPr>
                      <m:t>1</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centro</m:t>
                        </m:r>
                        <m:ctrlPr>
                          <w:rPr>
                            <w:rFonts w:hint="default" w:ascii="Cambria Math" w:hAnsi="Cambria Math" w:cs="Times New Roman"/>
                            <w:sz w:val="24"/>
                            <w:szCs w:val="24"/>
                          </w:rPr>
                        </m:ctrlPr>
                      </m:sub>
                    </m:sSub>
                    <m:ctrlPr>
                      <w:rPr>
                        <w:rFonts w:hint="default" w:ascii="Cambria Math" w:hAnsi="Cambria Math" w:cs="Times New Roman"/>
                        <w:sz w:val="24"/>
                        <w:szCs w:val="24"/>
                      </w:rPr>
                    </m:ctrlPr>
                  </m:e>
                </m:d>
              </m:oMath>
            </m:oMathPara>
          </w:p>
        </w:tc>
        <w:tc>
          <w:tcPr>
            <w:tcW w:w="1153" w:type="pct"/>
            <w:shd w:val="clear" w:color="auto" w:fill="FFFFFF"/>
            <w:tcMar>
              <w:top w:w="70" w:type="dxa"/>
              <w:left w:w="80" w:type="dxa"/>
              <w:bottom w:w="70" w:type="dxa"/>
              <w:right w:w="80" w:type="dxa"/>
            </w:tcMar>
            <w:vAlign w:val="center"/>
          </w:tcPr>
          <w:p w14:paraId="2C8B58D0">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Relative van der Waals radius difference between top and bottom surfaces, screened by symmetry.</w:t>
            </w:r>
          </w:p>
        </w:tc>
      </w:tr>
    </w:tbl>
    <w:p w14:paraId="387C03F9">
      <w:pPr>
        <w:pStyle w:val="3"/>
        <w:spacing w:before="0" w:after="80" w:line="259" w:lineRule="auto"/>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Note.</w:t>
      </w:r>
      <w:r>
        <w:rPr>
          <w:rFonts w:hint="default" w:ascii="Times New Roman" w:hAnsi="Times New Roman" w:cs="Times New Roman"/>
          <w:color w:val="000000"/>
          <w:sz w:val="24"/>
          <w:szCs w:val="24"/>
        </w:rPr>
        <w:t xml:space="preserv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cell</m:t>
            </m:r>
            <m:ctrlPr>
              <w:rPr>
                <w:rFonts w:hint="default" w:ascii="Cambria Math" w:hAnsi="Cambria Math" w:cs="Times New Roman"/>
                <w:sz w:val="24"/>
                <w:szCs w:val="24"/>
              </w:rPr>
            </m:ctrlPr>
          </m:sub>
        </m:sSub>
      </m:oMath>
      <w:r>
        <w:rPr>
          <w:rFonts w:hint="default" w:ascii="Times New Roman" w:hAnsi="Times New Roman" w:cs="Times New Roman"/>
          <w:color w:val="000000"/>
          <w:sz w:val="24"/>
          <w:szCs w:val="24"/>
        </w:rPr>
        <w:t xml:space="preserve"> is the total atomic mass of the unit cell in atomic mass units; </w:t>
      </w:r>
      <m:oMath>
        <m:r>
          <m:rPr>
            <m:nor/>
            <m:sty m:val="p"/>
          </m:rPr>
          <w:rPr>
            <w:rFonts w:hint="default" w:ascii="Times New Roman" w:hAnsi="Times New Roman" w:cs="Times New Roman"/>
            <w:i w:val="0"/>
            <w:iCs/>
            <w:sz w:val="24"/>
            <w:szCs w:val="24"/>
          </w:rPr>
          <m:t>1.660539</m:t>
        </m:r>
      </m:oMath>
      <w:r>
        <w:rPr>
          <w:rFonts w:hint="default" w:ascii="Times New Roman" w:hAnsi="Times New Roman" w:cs="Times New Roman"/>
          <w:color w:val="000000"/>
          <w:sz w:val="24"/>
          <w:szCs w:val="24"/>
        </w:rPr>
        <w:t xml:space="preserve"> is the unit-conversion factor </w:t>
      </w:r>
      <m:oMath>
        <m:f>
          <m:fPr>
            <m:ctrlPr>
              <w:rPr>
                <w:rFonts w:hint="default" w:ascii="Cambria Math" w:hAnsi="Cambria Math" w:cs="Times New Roman"/>
                <w:sz w:val="24"/>
                <w:szCs w:val="24"/>
              </w:rPr>
            </m:ctrlPr>
          </m:fPr>
          <m:num>
            <m:r>
              <m:rPr>
                <m:nor/>
                <m:sty m:val="p"/>
              </m:rPr>
              <w:rPr>
                <w:rFonts w:hint="default" w:ascii="Times New Roman" w:hAnsi="Times New Roman" w:cs="Times New Roman"/>
                <w:i w:val="0"/>
                <w:iCs/>
                <w:sz w:val="24"/>
                <w:szCs w:val="24"/>
              </w:rPr>
              <m:t>1</m:t>
            </m:r>
            <m:r>
              <m:rPr>
                <m:nor/>
                <m:sty m:val="p"/>
              </m:rPr>
              <w:rPr>
                <w:rFonts w:hint="default" w:ascii="Times New Roman" w:hAnsi="Times New Roman" w:cs="Times New Roman"/>
                <w:i w:val="0"/>
                <w:sz w:val="24"/>
                <w:szCs w:val="24"/>
              </w:rPr>
              <m:t> </m:t>
            </m:r>
            <m:r>
              <m:rPr>
                <m:nor/>
                <m:sty m:val="p"/>
              </m:rPr>
              <w:rPr>
                <w:rFonts w:hint="default" w:ascii="Times New Roman" w:hAnsi="Times New Roman" w:cs="Times New Roman"/>
                <w:b w:val="0"/>
                <w:i w:val="0"/>
                <w:sz w:val="24"/>
                <w:szCs w:val="24"/>
              </w:rPr>
              <m:t>u/</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Å</m:t>
                </m:r>
                <m:ctrlPr>
                  <w:rPr>
                    <w:rFonts w:hint="default" w:ascii="Cambria Math" w:hAnsi="Cambria Math" w:cs="Times New Roman"/>
                    <w:sz w:val="24"/>
                    <w:szCs w:val="24"/>
                  </w:rPr>
                </m:ctrlPr>
              </m:e>
              <m:sup>
                <m:r>
                  <m:rPr>
                    <m:nor/>
                    <m:sty m:val="p"/>
                  </m:rPr>
                  <w:rPr>
                    <w:rFonts w:hint="default" w:ascii="Times New Roman" w:hAnsi="Times New Roman" w:cs="Times New Roman"/>
                    <w:i w:val="0"/>
                    <w:iCs/>
                    <w:sz w:val="24"/>
                    <w:szCs w:val="24"/>
                  </w:rPr>
                  <m:t>3</m:t>
                </m:r>
                <m:ctrlPr>
                  <w:rPr>
                    <w:rFonts w:hint="default" w:ascii="Cambria Math" w:hAnsi="Cambria Math" w:cs="Times New Roman"/>
                    <w:sz w:val="24"/>
                    <w:szCs w:val="24"/>
                  </w:rPr>
                </m:ctrlPr>
              </m:sup>
            </m:sSup>
            <m:ctrlPr>
              <w:rPr>
                <w:rFonts w:hint="default" w:ascii="Cambria Math" w:hAnsi="Cambria Math" w:cs="Times New Roman"/>
                <w:sz w:val="24"/>
                <w:szCs w:val="24"/>
              </w:rPr>
            </m:ctrlPr>
          </m:num>
          <m:den>
            <m:r>
              <m:rPr>
                <m:nor/>
                <m:sty m:val="p"/>
              </m:rPr>
              <w:rPr>
                <w:rFonts w:hint="default" w:ascii="Times New Roman" w:hAnsi="Times New Roman" w:cs="Times New Roman"/>
                <w:i w:val="0"/>
                <w:iCs/>
                <w:sz w:val="24"/>
                <w:szCs w:val="24"/>
              </w:rPr>
              <m:t>1</m:t>
            </m:r>
            <m:r>
              <m:rPr>
                <m:nor/>
                <m:sty m:val="p"/>
              </m:rPr>
              <w:rPr>
                <w:rFonts w:hint="default" w:ascii="Times New Roman" w:hAnsi="Times New Roman" w:cs="Times New Roman"/>
                <w:i w:val="0"/>
                <w:sz w:val="24"/>
                <w:szCs w:val="24"/>
              </w:rPr>
              <m:t> </m:t>
            </m:r>
            <m:r>
              <m:rPr>
                <m:nor/>
                <m:sty m:val="p"/>
              </m:rPr>
              <w:rPr>
                <w:rFonts w:hint="default" w:ascii="Times New Roman" w:hAnsi="Times New Roman" w:cs="Times New Roman"/>
                <w:b w:val="0"/>
                <w:i w:val="0"/>
                <w:sz w:val="24"/>
                <w:szCs w:val="24"/>
              </w:rPr>
              <m:t>g/</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cm</m:t>
                </m:r>
                <m:ctrlPr>
                  <w:rPr>
                    <w:rFonts w:hint="default" w:ascii="Cambria Math" w:hAnsi="Cambria Math" w:cs="Times New Roman"/>
                    <w:sz w:val="24"/>
                    <w:szCs w:val="24"/>
                  </w:rPr>
                </m:ctrlPr>
              </m:e>
              <m:sup>
                <m:r>
                  <m:rPr>
                    <m:nor/>
                    <m:sty m:val="p"/>
                  </m:rPr>
                  <w:rPr>
                    <w:rFonts w:hint="default" w:ascii="Times New Roman" w:hAnsi="Times New Roman" w:cs="Times New Roman"/>
                    <w:i w:val="0"/>
                    <w:iCs/>
                    <w:sz w:val="24"/>
                    <w:szCs w:val="24"/>
                  </w:rPr>
                  <m:t>3</m:t>
                </m:r>
                <m:ctrlPr>
                  <w:rPr>
                    <w:rFonts w:hint="default" w:ascii="Cambria Math" w:hAnsi="Cambria Math" w:cs="Times New Roman"/>
                    <w:sz w:val="24"/>
                    <w:szCs w:val="24"/>
                  </w:rPr>
                </m:ctrlPr>
              </m:sup>
            </m:sSup>
            <m:ctrlPr>
              <w:rPr>
                <w:rFonts w:hint="default" w:ascii="Cambria Math" w:hAnsi="Cambria Math" w:cs="Times New Roman"/>
                <w:sz w:val="24"/>
                <w:szCs w:val="24"/>
              </w:rPr>
            </m:ctrlPr>
          </m:den>
        </m:f>
      </m:oMath>
      <w:r>
        <w:rPr>
          <w:rFonts w:hint="default" w:ascii="Times New Roman" w:hAnsi="Times New Roman" w:cs="Times New Roman"/>
          <w:color w:val="000000"/>
          <w:sz w:val="24"/>
          <w:szCs w:val="24"/>
        </w:rPr>
        <w:t xml:space="preserve">; </w:t>
      </w:r>
      <m:oMath>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vdW</m:t>
            </m:r>
            <m:ctrlPr>
              <w:rPr>
                <w:rFonts w:hint="default" w:ascii="Cambria Math" w:hAnsi="Cambria Math" w:cs="Times New Roman"/>
                <w:sz w:val="24"/>
                <w:szCs w:val="24"/>
              </w:rPr>
            </m:ctrlPr>
          </m:sup>
        </m:sSup>
      </m:oMath>
      <w:r>
        <w:rPr>
          <w:rFonts w:hint="default" w:ascii="Times New Roman" w:hAnsi="Times New Roman" w:cs="Times New Roman"/>
          <w:color w:val="000000"/>
          <w:sz w:val="24"/>
          <w:szCs w:val="24"/>
        </w:rPr>
        <w:t xml:space="preserve"> uses the Bondi consensus radii; and the screening factor </w:t>
      </w:r>
      <m:oMath>
        <m:d>
          <m:dPr>
            <m:sepChr m:val=""/>
            <m:ctrlPr>
              <w:rPr>
                <w:rFonts w:hint="default" w:ascii="Cambria Math" w:hAnsi="Cambria Math" w:cs="Times New Roman"/>
                <w:sz w:val="24"/>
                <w:szCs w:val="24"/>
              </w:rPr>
            </m:ctrlPr>
          </m:dPr>
          <m:e>
            <m:r>
              <m:rPr>
                <m:nor/>
                <m:sty m:val="p"/>
              </m:rPr>
              <w:rPr>
                <w:rFonts w:hint="default" w:ascii="Times New Roman" w:hAnsi="Times New Roman" w:cs="Times New Roman"/>
                <w:i w:val="0"/>
                <w:iCs/>
                <w:sz w:val="24"/>
                <w:szCs w:val="24"/>
              </w:rPr>
              <m:t>1</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centro</m:t>
                </m:r>
                <m:ctrlPr>
                  <w:rPr>
                    <w:rFonts w:hint="default" w:ascii="Cambria Math" w:hAnsi="Cambria Math" w:cs="Times New Roman"/>
                    <w:sz w:val="24"/>
                    <w:szCs w:val="24"/>
                  </w:rPr>
                </m:ctrlPr>
              </m:sub>
            </m:sSub>
            <m:ctrlPr>
              <w:rPr>
                <w:rFonts w:hint="default" w:ascii="Cambria Math" w:hAnsi="Cambria Math" w:cs="Times New Roman"/>
                <w:sz w:val="24"/>
                <w:szCs w:val="24"/>
              </w:rPr>
            </m:ctrlPr>
          </m:e>
        </m:d>
      </m:oMath>
      <w:r>
        <w:rPr>
          <w:rFonts w:hint="default" w:ascii="Times New Roman" w:hAnsi="Times New Roman" w:cs="Times New Roman"/>
          <w:color w:val="000000"/>
          <w:sz w:val="24"/>
          <w:szCs w:val="24"/>
        </w:rPr>
        <w:t xml:space="preserve"> forces the Janus indices of centrosymmetric structures to zero.</w:t>
      </w:r>
    </w:p>
    <w:p w14:paraId="6428DA04">
      <w:pPr>
        <w:pStyle w:val="3"/>
        <w:spacing w:before="0" w:after="80" w:line="259" w:lineRule="auto"/>
        <w:rPr>
          <w:rFonts w:hint="default" w:ascii="Times New Roman" w:hAnsi="Times New Roman" w:cs="Times New Roman"/>
          <w:color w:val="000000"/>
          <w:sz w:val="24"/>
          <w:szCs w:val="24"/>
        </w:rPr>
      </w:pPr>
    </w:p>
    <w:p w14:paraId="36575DBB">
      <w:pPr>
        <w:pStyle w:val="3"/>
        <w:spacing w:before="0" w:after="80" w:line="259" w:lineRule="auto"/>
        <w:rPr>
          <w:rFonts w:hint="default" w:ascii="Times New Roman" w:hAnsi="Times New Roman" w:cs="Times New Roman"/>
          <w:color w:val="000000"/>
          <w:sz w:val="24"/>
          <w:szCs w:val="24"/>
        </w:rPr>
      </w:pPr>
    </w:p>
    <w:p w14:paraId="7BB036F9">
      <w:pPr>
        <w:pStyle w:val="3"/>
        <w:spacing w:before="0" w:after="80" w:line="259" w:lineRule="auto"/>
        <w:rPr>
          <w:rFonts w:hint="default" w:ascii="Times New Roman" w:hAnsi="Times New Roman" w:cs="Times New Roman"/>
          <w:color w:val="000000"/>
          <w:sz w:val="24"/>
          <w:szCs w:val="24"/>
        </w:rPr>
      </w:pPr>
    </w:p>
    <w:p w14:paraId="70ECFB1B">
      <w:pPr>
        <w:pStyle w:val="3"/>
        <w:spacing w:before="0" w:after="80" w:line="259" w:lineRule="auto"/>
        <w:rPr>
          <w:rFonts w:hint="default" w:ascii="Times New Roman" w:hAnsi="Times New Roman" w:cs="Times New Roman"/>
          <w:color w:val="000000"/>
          <w:sz w:val="24"/>
          <w:szCs w:val="24"/>
        </w:rPr>
      </w:pPr>
    </w:p>
    <w:p w14:paraId="42093FBB">
      <w:pPr>
        <w:pStyle w:val="3"/>
        <w:spacing w:before="0" w:after="80" w:line="259" w:lineRule="auto"/>
        <w:rPr>
          <w:rFonts w:hint="default" w:ascii="Times New Roman" w:hAnsi="Times New Roman" w:cs="Times New Roman"/>
          <w:color w:val="000000"/>
          <w:sz w:val="24"/>
          <w:szCs w:val="24"/>
        </w:rPr>
      </w:pPr>
    </w:p>
    <w:p w14:paraId="33DEFDCC">
      <w:pPr>
        <w:pStyle w:val="3"/>
        <w:spacing w:before="0" w:after="80" w:line="259" w:lineRule="auto"/>
        <w:rPr>
          <w:rFonts w:hint="default" w:ascii="Times New Roman" w:hAnsi="Times New Roman" w:cs="Times New Roman"/>
          <w:color w:val="000000"/>
          <w:sz w:val="24"/>
          <w:szCs w:val="24"/>
        </w:rPr>
      </w:pPr>
    </w:p>
    <w:p w14:paraId="52BB2F5F">
      <w:pPr>
        <w:pStyle w:val="3"/>
        <w:spacing w:before="0" w:after="80" w:line="259" w:lineRule="auto"/>
        <w:rPr>
          <w:rFonts w:hint="default" w:ascii="Times New Roman" w:hAnsi="Times New Roman" w:cs="Times New Roman"/>
          <w:color w:val="000000"/>
          <w:sz w:val="24"/>
          <w:szCs w:val="24"/>
        </w:rPr>
      </w:pPr>
    </w:p>
    <w:p w14:paraId="1C960DD0">
      <w:pPr>
        <w:pStyle w:val="3"/>
        <w:spacing w:before="0" w:after="80" w:line="259" w:lineRule="auto"/>
        <w:rPr>
          <w:rFonts w:hint="default" w:ascii="Times New Roman" w:hAnsi="Times New Roman" w:cs="Times New Roman"/>
          <w:color w:val="000000"/>
          <w:sz w:val="24"/>
          <w:szCs w:val="24"/>
        </w:rPr>
      </w:pPr>
    </w:p>
    <w:p w14:paraId="4F382746">
      <w:pPr>
        <w:pStyle w:val="3"/>
        <w:spacing w:before="0" w:after="80" w:line="259" w:lineRule="auto"/>
        <w:rPr>
          <w:rFonts w:hint="default" w:ascii="Times New Roman" w:hAnsi="Times New Roman" w:cs="Times New Roman"/>
          <w:color w:val="000000"/>
          <w:sz w:val="24"/>
          <w:szCs w:val="24"/>
        </w:rPr>
      </w:pPr>
    </w:p>
    <w:bookmarkEnd w:id="1"/>
    <w:p w14:paraId="7C1CA403">
      <w:pPr>
        <w:pStyle w:val="4"/>
        <w:spacing w:before="0" w:after="80" w:line="259" w:lineRule="auto"/>
        <w:rPr>
          <w:rFonts w:hint="default" w:ascii="Times New Roman" w:hAnsi="Times New Roman" w:cs="Times New Roman"/>
          <w:sz w:val="32"/>
          <w:szCs w:val="32"/>
        </w:rPr>
      </w:pPr>
      <w:bookmarkStart w:id="2" w:name="X2726c99e471fc485be6645ae58b3598376191fc"/>
      <w:r>
        <w:rPr>
          <w:rFonts w:hint="default" w:ascii="Times New Roman" w:hAnsi="Times New Roman" w:cs="Times New Roman"/>
          <w:b/>
          <w:color w:val="000000"/>
          <w:sz w:val="32"/>
          <w:szCs w:val="32"/>
        </w:rPr>
        <w:t>Supplementary Fig. S</w:t>
      </w:r>
      <w:r>
        <w:rPr>
          <w:rFonts w:hint="eastAsia" w:ascii="Times New Roman" w:hAnsi="Times New Roman" w:cs="Times New Roman"/>
          <w:b/>
          <w:color w:val="000000"/>
          <w:sz w:val="32"/>
          <w:szCs w:val="32"/>
          <w:lang w:val="en-US" w:eastAsia="zh-CN"/>
        </w:rPr>
        <w:t>1</w:t>
      </w:r>
      <w:r>
        <w:rPr>
          <w:rFonts w:hint="default" w:ascii="Times New Roman" w:hAnsi="Times New Roman" w:cs="Times New Roman"/>
          <w:b/>
          <w:color w:val="000000"/>
          <w:sz w:val="32"/>
          <w:szCs w:val="32"/>
        </w:rPr>
        <w:t xml:space="preserve"> | Pearson-correlation analysis of representative descriptors</w:t>
      </w:r>
    </w:p>
    <w:p w14:paraId="43B9667B">
      <w:pPr>
        <w:pStyle w:val="23"/>
        <w:spacing w:before="0" w:after="80" w:line="259" w:lineRule="auto"/>
        <w:rPr>
          <w:rFonts w:hint="default" w:ascii="Times New Roman" w:hAnsi="Times New Roman" w:cs="Times New Roman"/>
          <w:sz w:val="24"/>
          <w:szCs w:val="24"/>
        </w:rPr>
      </w:pPr>
      <w:r>
        <w:rPr>
          <w:rFonts w:hint="default" w:ascii="Times New Roman" w:hAnsi="Times New Roman" w:cs="Times New Roman"/>
          <w:color w:val="000000"/>
          <w:sz w:val="24"/>
          <w:szCs w:val="24"/>
        </w:rPr>
        <w:t>The Pearson-correlation coefficients quantify linear associations between selected descriptors and the electronic, ionic, and total dielectric responses. Positive values indicate that the descriptor tends to increase with the corresponding dielectric contribution, whereas negative values indicate an inverse trend. The magnitude should be interpreted only as a linear correlation; nonlinear feature effects are discussed in the main text through SHAP analysis.</w:t>
      </w:r>
    </w:p>
    <w:p w14:paraId="2525D65B">
      <w:pPr>
        <w:pStyle w:val="36"/>
        <w:spacing w:before="0" w:after="80" w:line="259"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drawing>
          <wp:inline distT="0" distB="0" distL="114300" distR="114300">
            <wp:extent cx="8816340" cy="2813050"/>
            <wp:effectExtent l="0" t="0" r="3810" b="6350"/>
            <wp:docPr id="22" name="Picture" descr="Pearson correlation coefficients between selected features and dielectric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Pearson correlation coefficients between selected features and dielectric labels."/>
                    <pic:cNvPicPr>
                      <a:picLocks noChangeAspect="1" noChangeArrowheads="1"/>
                    </pic:cNvPicPr>
                  </pic:nvPicPr>
                  <pic:blipFill>
                    <a:blip r:embed="rId5"/>
                    <a:stretch>
                      <a:fillRect/>
                    </a:stretch>
                  </pic:blipFill>
                  <pic:spPr>
                    <a:xfrm>
                      <a:off x="0" y="0"/>
                      <a:ext cx="8816340" cy="2813050"/>
                    </a:xfrm>
                    <a:prstGeom prst="rect">
                      <a:avLst/>
                    </a:prstGeom>
                    <a:noFill/>
                    <a:ln w="9525">
                      <a:noFill/>
                    </a:ln>
                  </pic:spPr>
                </pic:pic>
              </a:graphicData>
            </a:graphic>
          </wp:inline>
        </w:drawing>
      </w:r>
    </w:p>
    <w:p w14:paraId="44C81389">
      <w:pPr>
        <w:pStyle w:val="34"/>
        <w:spacing w:before="0" w:after="80" w:line="259" w:lineRule="auto"/>
        <w:rPr>
          <w:rFonts w:hint="default" w:ascii="Times New Roman" w:hAnsi="Times New Roman" w:cs="Times New Roman"/>
          <w:sz w:val="24"/>
          <w:szCs w:val="24"/>
        </w:rPr>
      </w:pPr>
      <w:r>
        <w:rPr>
          <w:rFonts w:hint="default" w:ascii="Times New Roman" w:hAnsi="Times New Roman" w:cs="Times New Roman"/>
          <w:color w:val="000000"/>
          <w:sz w:val="24"/>
          <w:szCs w:val="24"/>
        </w:rPr>
        <w:t>Supplementary Fig. S</w:t>
      </w:r>
      <w:r>
        <w:rPr>
          <w:rFonts w:hint="eastAsia" w:eastAsia="宋体" w:cs="Times New Roman"/>
          <w:color w:val="000000"/>
          <w:sz w:val="24"/>
          <w:szCs w:val="24"/>
          <w:lang w:val="en-US" w:eastAsia="zh-CN"/>
        </w:rPr>
        <w:t>1</w:t>
      </w:r>
      <w:r>
        <w:rPr>
          <w:rFonts w:hint="default" w:ascii="Times New Roman" w:hAnsi="Times New Roman" w:cs="Times New Roman"/>
          <w:color w:val="000000"/>
          <w:sz w:val="24"/>
          <w:szCs w:val="24"/>
        </w:rPr>
        <w:t>. Grayscale rendering of Pearson-correlation coefficients for representative descriptors associated with (a) the electronic contribution, (b) the ionic contribution, and (c) the total dielectric constant.</w:t>
      </w:r>
    </w:p>
    <w:tbl>
      <w:tblPr>
        <w:tblStyle w:val="30"/>
        <w:tblW w:w="499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804"/>
        <w:gridCol w:w="4804"/>
        <w:gridCol w:w="4805"/>
      </w:tblGrid>
      <w:tr w14:paraId="4C7257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666" w:type="pct"/>
            <w:shd w:val="clear" w:color="auto" w:fill="FFFFFF"/>
            <w:tcMar>
              <w:top w:w="70" w:type="dxa"/>
              <w:left w:w="80" w:type="dxa"/>
              <w:bottom w:w="70" w:type="dxa"/>
              <w:right w:w="80" w:type="dxa"/>
            </w:tcMar>
            <w:vAlign w:val="center"/>
          </w:tcPr>
          <w:p w14:paraId="2474F5FF">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b/>
                <w:i w:val="0"/>
                <w:color w:val="000000"/>
                <w:sz w:val="24"/>
                <w:szCs w:val="24"/>
              </w:rPr>
              <w:t>Target response</w:t>
            </w:r>
          </w:p>
        </w:tc>
        <w:tc>
          <w:tcPr>
            <w:tcW w:w="1666" w:type="pct"/>
            <w:shd w:val="clear" w:color="auto" w:fill="FFFFFF"/>
            <w:tcMar>
              <w:top w:w="70" w:type="dxa"/>
              <w:left w:w="80" w:type="dxa"/>
              <w:bottom w:w="70" w:type="dxa"/>
              <w:right w:w="80" w:type="dxa"/>
            </w:tcMar>
            <w:vAlign w:val="center"/>
          </w:tcPr>
          <w:p w14:paraId="0E4F41E0">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b/>
                <w:i w:val="0"/>
                <w:color w:val="000000"/>
                <w:sz w:val="24"/>
                <w:szCs w:val="24"/>
              </w:rPr>
              <w:t>Descriptor abbreviation</w:t>
            </w:r>
          </w:p>
        </w:tc>
        <w:tc>
          <w:tcPr>
            <w:tcW w:w="1666" w:type="pct"/>
            <w:shd w:val="clear" w:color="auto" w:fill="FFFFFF"/>
            <w:tcMar>
              <w:top w:w="70" w:type="dxa"/>
              <w:left w:w="80" w:type="dxa"/>
              <w:bottom w:w="70" w:type="dxa"/>
              <w:right w:w="80" w:type="dxa"/>
            </w:tcMar>
            <w:vAlign w:val="center"/>
          </w:tcPr>
          <w:p w14:paraId="7B0F150D">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b/>
                <w:i w:val="0"/>
                <w:color w:val="000000"/>
                <w:sz w:val="24"/>
                <w:szCs w:val="24"/>
              </w:rPr>
              <w:t>Pearson coefficient</w:t>
            </w:r>
          </w:p>
        </w:tc>
      </w:tr>
      <w:tr w14:paraId="4B6342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6" w:type="pct"/>
            <w:shd w:val="clear" w:color="auto" w:fill="FFFFFF"/>
            <w:tcMar>
              <w:top w:w="70" w:type="dxa"/>
              <w:left w:w="80" w:type="dxa"/>
              <w:bottom w:w="70" w:type="dxa"/>
              <w:right w:w="80" w:type="dxa"/>
            </w:tcMar>
            <w:vAlign w:val="center"/>
          </w:tcPr>
          <w:p w14:paraId="62F011BC">
            <w:pPr>
              <w:pStyle w:val="24"/>
              <w:spacing w:before="0" w:after="30" w:line="247"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ε</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elec</m:t>
                    </m:r>
                    <m:ctrlPr>
                      <w:rPr>
                        <w:rFonts w:hint="default" w:ascii="Cambria Math" w:hAnsi="Cambria Math" w:cs="Times New Roman"/>
                        <w:sz w:val="24"/>
                        <w:szCs w:val="24"/>
                      </w:rPr>
                    </m:ctrlPr>
                  </m:sub>
                </m:sSub>
              </m:oMath>
            </m:oMathPara>
          </w:p>
        </w:tc>
        <w:tc>
          <w:tcPr>
            <w:tcW w:w="1666" w:type="pct"/>
            <w:shd w:val="clear" w:color="auto" w:fill="FFFFFF"/>
            <w:tcMar>
              <w:top w:w="70" w:type="dxa"/>
              <w:left w:w="80" w:type="dxa"/>
              <w:bottom w:w="70" w:type="dxa"/>
              <w:right w:w="80" w:type="dxa"/>
            </w:tcMar>
            <w:vAlign w:val="center"/>
          </w:tcPr>
          <w:p w14:paraId="35D340A6">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Mode Melting T</w:t>
            </w:r>
          </w:p>
        </w:tc>
        <w:tc>
          <w:tcPr>
            <w:tcW w:w="1666" w:type="pct"/>
            <w:shd w:val="clear" w:color="auto" w:fill="FFFFFF"/>
            <w:tcMar>
              <w:top w:w="70" w:type="dxa"/>
              <w:left w:w="80" w:type="dxa"/>
              <w:bottom w:w="70" w:type="dxa"/>
              <w:right w:w="80" w:type="dxa"/>
            </w:tcMar>
            <w:vAlign w:val="center"/>
          </w:tcPr>
          <w:p w14:paraId="1C595195">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0.42</w:t>
            </w:r>
          </w:p>
        </w:tc>
      </w:tr>
      <w:tr w14:paraId="425577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6" w:type="pct"/>
            <w:shd w:val="clear" w:color="auto" w:fill="FFFFFF"/>
            <w:tcMar>
              <w:top w:w="70" w:type="dxa"/>
              <w:left w:w="80" w:type="dxa"/>
              <w:bottom w:w="70" w:type="dxa"/>
              <w:right w:w="80" w:type="dxa"/>
            </w:tcMar>
            <w:vAlign w:val="center"/>
          </w:tcPr>
          <w:p w14:paraId="5CFB8DF7">
            <w:pPr>
              <w:pStyle w:val="24"/>
              <w:spacing w:before="0" w:after="30" w:line="247"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ε</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elec</m:t>
                    </m:r>
                    <m:ctrlPr>
                      <w:rPr>
                        <w:rFonts w:hint="default" w:ascii="Cambria Math" w:hAnsi="Cambria Math" w:cs="Times New Roman"/>
                        <w:sz w:val="24"/>
                        <w:szCs w:val="24"/>
                      </w:rPr>
                    </m:ctrlPr>
                  </m:sub>
                </m:sSub>
              </m:oMath>
            </m:oMathPara>
          </w:p>
        </w:tc>
        <w:tc>
          <w:tcPr>
            <w:tcW w:w="1666" w:type="pct"/>
            <w:shd w:val="clear" w:color="auto" w:fill="FFFFFF"/>
            <w:tcMar>
              <w:top w:w="70" w:type="dxa"/>
              <w:left w:w="80" w:type="dxa"/>
              <w:bottom w:w="70" w:type="dxa"/>
              <w:right w:w="80" w:type="dxa"/>
            </w:tcMar>
            <w:vAlign w:val="center"/>
          </w:tcPr>
          <w:p w14:paraId="209D3B86">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Max EN Difference</w:t>
            </w:r>
          </w:p>
        </w:tc>
        <w:tc>
          <w:tcPr>
            <w:tcW w:w="1666" w:type="pct"/>
            <w:shd w:val="clear" w:color="auto" w:fill="FFFFFF"/>
            <w:tcMar>
              <w:top w:w="70" w:type="dxa"/>
              <w:left w:w="80" w:type="dxa"/>
              <w:bottom w:w="70" w:type="dxa"/>
              <w:right w:w="80" w:type="dxa"/>
            </w:tcMar>
            <w:vAlign w:val="center"/>
          </w:tcPr>
          <w:p w14:paraId="53646DA4">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-0.47</w:t>
            </w:r>
          </w:p>
        </w:tc>
      </w:tr>
      <w:tr w14:paraId="3B61DB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6" w:type="pct"/>
            <w:shd w:val="clear" w:color="auto" w:fill="FFFFFF"/>
            <w:tcMar>
              <w:top w:w="70" w:type="dxa"/>
              <w:left w:w="80" w:type="dxa"/>
              <w:bottom w:w="70" w:type="dxa"/>
              <w:right w:w="80" w:type="dxa"/>
            </w:tcMar>
            <w:vAlign w:val="center"/>
          </w:tcPr>
          <w:p w14:paraId="3AA1FEAC">
            <w:pPr>
              <w:pStyle w:val="24"/>
              <w:spacing w:before="0" w:after="30" w:line="247"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ε</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elec</m:t>
                    </m:r>
                    <m:ctrlPr>
                      <w:rPr>
                        <w:rFonts w:hint="default" w:ascii="Cambria Math" w:hAnsi="Cambria Math" w:cs="Times New Roman"/>
                        <w:sz w:val="24"/>
                        <w:szCs w:val="24"/>
                      </w:rPr>
                    </m:ctrlPr>
                  </m:sub>
                </m:sSub>
              </m:oMath>
            </m:oMathPara>
          </w:p>
        </w:tc>
        <w:tc>
          <w:tcPr>
            <w:tcW w:w="1666" w:type="pct"/>
            <w:shd w:val="clear" w:color="auto" w:fill="FFFFFF"/>
            <w:tcMar>
              <w:top w:w="70" w:type="dxa"/>
              <w:left w:w="80" w:type="dxa"/>
              <w:bottom w:w="70" w:type="dxa"/>
              <w:right w:w="80" w:type="dxa"/>
            </w:tcMar>
            <w:vAlign w:val="center"/>
          </w:tcPr>
          <w:p w14:paraId="757C2C9F">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Max EN</w:t>
            </w:r>
          </w:p>
        </w:tc>
        <w:tc>
          <w:tcPr>
            <w:tcW w:w="1666" w:type="pct"/>
            <w:shd w:val="clear" w:color="auto" w:fill="FFFFFF"/>
            <w:tcMar>
              <w:top w:w="70" w:type="dxa"/>
              <w:left w:w="80" w:type="dxa"/>
              <w:bottom w:w="70" w:type="dxa"/>
              <w:right w:w="80" w:type="dxa"/>
            </w:tcMar>
            <w:vAlign w:val="center"/>
          </w:tcPr>
          <w:p w14:paraId="2C3A7BCC">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-0.50</w:t>
            </w:r>
          </w:p>
        </w:tc>
      </w:tr>
      <w:tr w14:paraId="606BEE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6" w:type="pct"/>
            <w:shd w:val="clear" w:color="auto" w:fill="FFFFFF"/>
            <w:tcMar>
              <w:top w:w="70" w:type="dxa"/>
              <w:left w:w="80" w:type="dxa"/>
              <w:bottom w:w="70" w:type="dxa"/>
              <w:right w:w="80" w:type="dxa"/>
            </w:tcMar>
            <w:vAlign w:val="center"/>
          </w:tcPr>
          <w:p w14:paraId="583E20A3">
            <w:pPr>
              <w:pStyle w:val="24"/>
              <w:spacing w:before="0" w:after="30" w:line="247"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ε</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elec</m:t>
                    </m:r>
                    <m:ctrlPr>
                      <w:rPr>
                        <w:rFonts w:hint="default" w:ascii="Cambria Math" w:hAnsi="Cambria Math" w:cs="Times New Roman"/>
                        <w:sz w:val="24"/>
                        <w:szCs w:val="24"/>
                      </w:rPr>
                    </m:ctrlPr>
                  </m:sub>
                </m:sSub>
              </m:oMath>
            </m:oMathPara>
          </w:p>
        </w:tc>
        <w:tc>
          <w:tcPr>
            <w:tcW w:w="1666" w:type="pct"/>
            <w:shd w:val="clear" w:color="auto" w:fill="FFFFFF"/>
            <w:tcMar>
              <w:top w:w="70" w:type="dxa"/>
              <w:left w:w="80" w:type="dxa"/>
              <w:bottom w:w="70" w:type="dxa"/>
              <w:right w:w="80" w:type="dxa"/>
            </w:tcMar>
            <w:vAlign w:val="center"/>
          </w:tcPr>
          <w:p w14:paraId="1C60E31D">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Mean Abs Dev EN</w:t>
            </w:r>
          </w:p>
        </w:tc>
        <w:tc>
          <w:tcPr>
            <w:tcW w:w="1666" w:type="pct"/>
            <w:shd w:val="clear" w:color="auto" w:fill="FFFFFF"/>
            <w:tcMar>
              <w:top w:w="70" w:type="dxa"/>
              <w:left w:w="80" w:type="dxa"/>
              <w:bottom w:w="70" w:type="dxa"/>
              <w:right w:w="80" w:type="dxa"/>
            </w:tcMar>
            <w:vAlign w:val="center"/>
          </w:tcPr>
          <w:p w14:paraId="21DF719E">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-0.46</w:t>
            </w:r>
          </w:p>
        </w:tc>
      </w:tr>
      <w:tr w14:paraId="3B2AAE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6" w:type="pct"/>
            <w:shd w:val="clear" w:color="auto" w:fill="FFFFFF"/>
            <w:tcMar>
              <w:top w:w="70" w:type="dxa"/>
              <w:left w:w="80" w:type="dxa"/>
              <w:bottom w:w="70" w:type="dxa"/>
              <w:right w:w="80" w:type="dxa"/>
            </w:tcMar>
            <w:vAlign w:val="center"/>
          </w:tcPr>
          <w:p w14:paraId="00DF863C">
            <w:pPr>
              <w:pStyle w:val="24"/>
              <w:spacing w:before="0" w:after="30" w:line="247"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ε</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elec</m:t>
                    </m:r>
                    <m:ctrlPr>
                      <w:rPr>
                        <w:rFonts w:hint="default" w:ascii="Cambria Math" w:hAnsi="Cambria Math" w:cs="Times New Roman"/>
                        <w:sz w:val="24"/>
                        <w:szCs w:val="24"/>
                      </w:rPr>
                    </m:ctrlPr>
                  </m:sub>
                </m:sSub>
              </m:oMath>
            </m:oMathPara>
          </w:p>
        </w:tc>
        <w:tc>
          <w:tcPr>
            <w:tcW w:w="1666" w:type="pct"/>
            <w:shd w:val="clear" w:color="auto" w:fill="FFFFFF"/>
            <w:tcMar>
              <w:top w:w="70" w:type="dxa"/>
              <w:left w:w="80" w:type="dxa"/>
              <w:bottom w:w="70" w:type="dxa"/>
              <w:right w:w="80" w:type="dxa"/>
            </w:tcMar>
            <w:vAlign w:val="center"/>
          </w:tcPr>
          <w:p w14:paraId="26E4D349">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OFM:p4-d10</w:t>
            </w:r>
          </w:p>
        </w:tc>
        <w:tc>
          <w:tcPr>
            <w:tcW w:w="1666" w:type="pct"/>
            <w:shd w:val="clear" w:color="auto" w:fill="FFFFFF"/>
            <w:tcMar>
              <w:top w:w="70" w:type="dxa"/>
              <w:left w:w="80" w:type="dxa"/>
              <w:bottom w:w="70" w:type="dxa"/>
              <w:right w:w="80" w:type="dxa"/>
            </w:tcMar>
            <w:vAlign w:val="center"/>
          </w:tcPr>
          <w:p w14:paraId="6EF77486">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0.47</w:t>
            </w:r>
          </w:p>
        </w:tc>
      </w:tr>
      <w:tr w14:paraId="355111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6" w:type="pct"/>
            <w:shd w:val="clear" w:color="auto" w:fill="FFFFFF"/>
            <w:tcMar>
              <w:top w:w="70" w:type="dxa"/>
              <w:left w:w="80" w:type="dxa"/>
              <w:bottom w:w="70" w:type="dxa"/>
              <w:right w:w="80" w:type="dxa"/>
            </w:tcMar>
            <w:vAlign w:val="center"/>
          </w:tcPr>
          <w:p w14:paraId="2A43B31F">
            <w:pPr>
              <w:pStyle w:val="24"/>
              <w:spacing w:before="0" w:after="30" w:line="247"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ε</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ionic</m:t>
                    </m:r>
                    <m:ctrlPr>
                      <w:rPr>
                        <w:rFonts w:hint="default" w:ascii="Cambria Math" w:hAnsi="Cambria Math" w:cs="Times New Roman"/>
                        <w:sz w:val="24"/>
                        <w:szCs w:val="24"/>
                      </w:rPr>
                    </m:ctrlPr>
                  </m:sub>
                </m:sSub>
              </m:oMath>
            </m:oMathPara>
          </w:p>
        </w:tc>
        <w:tc>
          <w:tcPr>
            <w:tcW w:w="1666" w:type="pct"/>
            <w:shd w:val="clear" w:color="auto" w:fill="FFFFFF"/>
            <w:tcMar>
              <w:top w:w="70" w:type="dxa"/>
              <w:left w:w="80" w:type="dxa"/>
              <w:bottom w:w="70" w:type="dxa"/>
              <w:right w:w="80" w:type="dxa"/>
            </w:tcMar>
            <w:vAlign w:val="center"/>
          </w:tcPr>
          <w:p w14:paraId="3C1C1972">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Covalent Radius Mean Abs Dev</w:t>
            </w:r>
          </w:p>
        </w:tc>
        <w:tc>
          <w:tcPr>
            <w:tcW w:w="1666" w:type="pct"/>
            <w:shd w:val="clear" w:color="auto" w:fill="FFFFFF"/>
            <w:tcMar>
              <w:top w:w="70" w:type="dxa"/>
              <w:left w:w="80" w:type="dxa"/>
              <w:bottom w:w="70" w:type="dxa"/>
              <w:right w:w="80" w:type="dxa"/>
            </w:tcMar>
            <w:vAlign w:val="center"/>
          </w:tcPr>
          <w:p w14:paraId="124363F3">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0.06</w:t>
            </w:r>
          </w:p>
        </w:tc>
      </w:tr>
      <w:tr w14:paraId="35426F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6" w:type="pct"/>
            <w:shd w:val="clear" w:color="auto" w:fill="FFFFFF"/>
            <w:tcMar>
              <w:top w:w="70" w:type="dxa"/>
              <w:left w:w="80" w:type="dxa"/>
              <w:bottom w:w="70" w:type="dxa"/>
              <w:right w:w="80" w:type="dxa"/>
            </w:tcMar>
            <w:vAlign w:val="center"/>
          </w:tcPr>
          <w:p w14:paraId="60D3AD60">
            <w:pPr>
              <w:pStyle w:val="24"/>
              <w:spacing w:before="0" w:after="30" w:line="247"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ε</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ionic</m:t>
                    </m:r>
                    <m:ctrlPr>
                      <w:rPr>
                        <w:rFonts w:hint="default" w:ascii="Cambria Math" w:hAnsi="Cambria Math" w:cs="Times New Roman"/>
                        <w:sz w:val="24"/>
                        <w:szCs w:val="24"/>
                      </w:rPr>
                    </m:ctrlPr>
                  </m:sub>
                </m:sSub>
              </m:oMath>
            </m:oMathPara>
          </w:p>
        </w:tc>
        <w:tc>
          <w:tcPr>
            <w:tcW w:w="1666" w:type="pct"/>
            <w:shd w:val="clear" w:color="auto" w:fill="FFFFFF"/>
            <w:tcMar>
              <w:top w:w="70" w:type="dxa"/>
              <w:left w:w="80" w:type="dxa"/>
              <w:bottom w:w="70" w:type="dxa"/>
              <w:right w:w="80" w:type="dxa"/>
            </w:tcMar>
            <w:vAlign w:val="center"/>
          </w:tcPr>
          <w:p w14:paraId="59994C2D">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Mean Melting T</w:t>
            </w:r>
          </w:p>
        </w:tc>
        <w:tc>
          <w:tcPr>
            <w:tcW w:w="1666" w:type="pct"/>
            <w:shd w:val="clear" w:color="auto" w:fill="FFFFFF"/>
            <w:tcMar>
              <w:top w:w="70" w:type="dxa"/>
              <w:left w:w="80" w:type="dxa"/>
              <w:bottom w:w="70" w:type="dxa"/>
              <w:right w:w="80" w:type="dxa"/>
            </w:tcMar>
            <w:vAlign w:val="center"/>
          </w:tcPr>
          <w:p w14:paraId="1E717B50">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-0.09</w:t>
            </w:r>
          </w:p>
        </w:tc>
      </w:tr>
      <w:tr w14:paraId="19F561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6" w:type="pct"/>
            <w:shd w:val="clear" w:color="auto" w:fill="FFFFFF"/>
            <w:tcMar>
              <w:top w:w="70" w:type="dxa"/>
              <w:left w:w="80" w:type="dxa"/>
              <w:bottom w:w="70" w:type="dxa"/>
              <w:right w:w="80" w:type="dxa"/>
            </w:tcMar>
            <w:vAlign w:val="center"/>
          </w:tcPr>
          <w:p w14:paraId="3EB05D65">
            <w:pPr>
              <w:pStyle w:val="24"/>
              <w:spacing w:before="0" w:after="30" w:line="247"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ε</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ionic</m:t>
                    </m:r>
                    <m:ctrlPr>
                      <w:rPr>
                        <w:rFonts w:hint="default" w:ascii="Cambria Math" w:hAnsi="Cambria Math" w:cs="Times New Roman"/>
                        <w:sz w:val="24"/>
                        <w:szCs w:val="24"/>
                      </w:rPr>
                    </m:ctrlPr>
                  </m:sub>
                </m:sSub>
              </m:oMath>
            </m:oMathPara>
          </w:p>
        </w:tc>
        <w:tc>
          <w:tcPr>
            <w:tcW w:w="1666" w:type="pct"/>
            <w:shd w:val="clear" w:color="auto" w:fill="FFFFFF"/>
            <w:tcMar>
              <w:top w:w="70" w:type="dxa"/>
              <w:left w:w="80" w:type="dxa"/>
              <w:bottom w:w="70" w:type="dxa"/>
              <w:right w:w="80" w:type="dxa"/>
            </w:tcMar>
            <w:vAlign w:val="center"/>
          </w:tcPr>
          <w:p w14:paraId="1D43740E">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Min GS Volume Per Atom</w:t>
            </w:r>
          </w:p>
        </w:tc>
        <w:tc>
          <w:tcPr>
            <w:tcW w:w="1666" w:type="pct"/>
            <w:shd w:val="clear" w:color="auto" w:fill="FFFFFF"/>
            <w:tcMar>
              <w:top w:w="70" w:type="dxa"/>
              <w:left w:w="80" w:type="dxa"/>
              <w:bottom w:w="70" w:type="dxa"/>
              <w:right w:w="80" w:type="dxa"/>
            </w:tcMar>
            <w:vAlign w:val="center"/>
          </w:tcPr>
          <w:p w14:paraId="349D14F4">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0.19</w:t>
            </w:r>
          </w:p>
        </w:tc>
      </w:tr>
      <w:tr w14:paraId="6E0781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6" w:type="pct"/>
            <w:shd w:val="clear" w:color="auto" w:fill="FFFFFF"/>
            <w:tcMar>
              <w:top w:w="70" w:type="dxa"/>
              <w:left w:w="80" w:type="dxa"/>
              <w:bottom w:w="70" w:type="dxa"/>
              <w:right w:w="80" w:type="dxa"/>
            </w:tcMar>
            <w:vAlign w:val="center"/>
          </w:tcPr>
          <w:p w14:paraId="7E81FB36">
            <w:pPr>
              <w:pStyle w:val="24"/>
              <w:spacing w:before="0" w:after="30" w:line="247"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ε</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ionic</m:t>
                    </m:r>
                    <m:ctrlPr>
                      <w:rPr>
                        <w:rFonts w:hint="default" w:ascii="Cambria Math" w:hAnsi="Cambria Math" w:cs="Times New Roman"/>
                        <w:sz w:val="24"/>
                        <w:szCs w:val="24"/>
                      </w:rPr>
                    </m:ctrlPr>
                  </m:sub>
                </m:sSub>
              </m:oMath>
            </m:oMathPara>
          </w:p>
        </w:tc>
        <w:tc>
          <w:tcPr>
            <w:tcW w:w="1666" w:type="pct"/>
            <w:shd w:val="clear" w:color="auto" w:fill="FFFFFF"/>
            <w:tcMar>
              <w:top w:w="70" w:type="dxa"/>
              <w:left w:w="80" w:type="dxa"/>
              <w:bottom w:w="70" w:type="dxa"/>
              <w:right w:w="80" w:type="dxa"/>
            </w:tcMar>
            <w:vAlign w:val="center"/>
          </w:tcPr>
          <w:p w14:paraId="3F0BA7E8">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Mean Shell-1 Ordering</w:t>
            </w:r>
          </w:p>
        </w:tc>
        <w:tc>
          <w:tcPr>
            <w:tcW w:w="1666" w:type="pct"/>
            <w:shd w:val="clear" w:color="auto" w:fill="FFFFFF"/>
            <w:tcMar>
              <w:top w:w="70" w:type="dxa"/>
              <w:left w:w="80" w:type="dxa"/>
              <w:bottom w:w="70" w:type="dxa"/>
              <w:right w:w="80" w:type="dxa"/>
            </w:tcMar>
            <w:vAlign w:val="center"/>
          </w:tcPr>
          <w:p w14:paraId="08E2249F">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0.24</w:t>
            </w:r>
          </w:p>
        </w:tc>
      </w:tr>
      <w:tr w14:paraId="1D1DD5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6" w:type="pct"/>
            <w:shd w:val="clear" w:color="auto" w:fill="FFFFFF"/>
            <w:tcMar>
              <w:top w:w="70" w:type="dxa"/>
              <w:left w:w="80" w:type="dxa"/>
              <w:bottom w:w="70" w:type="dxa"/>
              <w:right w:w="80" w:type="dxa"/>
            </w:tcMar>
            <w:vAlign w:val="center"/>
          </w:tcPr>
          <w:p w14:paraId="5FD194A7">
            <w:pPr>
              <w:pStyle w:val="24"/>
              <w:spacing w:before="0" w:after="30" w:line="247"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ε</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ionic</m:t>
                    </m:r>
                    <m:ctrlPr>
                      <w:rPr>
                        <w:rFonts w:hint="default" w:ascii="Cambria Math" w:hAnsi="Cambria Math" w:cs="Times New Roman"/>
                        <w:sz w:val="24"/>
                        <w:szCs w:val="24"/>
                      </w:rPr>
                    </m:ctrlPr>
                  </m:sub>
                </m:sSub>
              </m:oMath>
            </m:oMathPara>
          </w:p>
        </w:tc>
        <w:tc>
          <w:tcPr>
            <w:tcW w:w="1666" w:type="pct"/>
            <w:shd w:val="clear" w:color="auto" w:fill="FFFFFF"/>
            <w:tcMar>
              <w:top w:w="70" w:type="dxa"/>
              <w:left w:w="80" w:type="dxa"/>
              <w:bottom w:w="70" w:type="dxa"/>
              <w:right w:w="80" w:type="dxa"/>
            </w:tcMar>
            <w:vAlign w:val="center"/>
          </w:tcPr>
          <w:p w14:paraId="671A407A">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RDF 4.9-5.0 A</w:t>
            </w:r>
          </w:p>
        </w:tc>
        <w:tc>
          <w:tcPr>
            <w:tcW w:w="1666" w:type="pct"/>
            <w:shd w:val="clear" w:color="auto" w:fill="FFFFFF"/>
            <w:tcMar>
              <w:top w:w="70" w:type="dxa"/>
              <w:left w:w="80" w:type="dxa"/>
              <w:bottom w:w="70" w:type="dxa"/>
              <w:right w:w="80" w:type="dxa"/>
            </w:tcMar>
            <w:vAlign w:val="center"/>
          </w:tcPr>
          <w:p w14:paraId="334264E1">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-0.14</w:t>
            </w:r>
          </w:p>
        </w:tc>
      </w:tr>
      <w:tr w14:paraId="5CA93E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6" w:type="pct"/>
            <w:shd w:val="clear" w:color="auto" w:fill="FFFFFF"/>
            <w:tcMar>
              <w:top w:w="70" w:type="dxa"/>
              <w:left w:w="80" w:type="dxa"/>
              <w:bottom w:w="70" w:type="dxa"/>
              <w:right w:w="80" w:type="dxa"/>
            </w:tcMar>
            <w:vAlign w:val="center"/>
          </w:tcPr>
          <w:p w14:paraId="429CDF72">
            <w:pPr>
              <w:pStyle w:val="24"/>
              <w:spacing w:before="0" w:after="30" w:line="247"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ε</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total</m:t>
                    </m:r>
                    <m:ctrlPr>
                      <w:rPr>
                        <w:rFonts w:hint="default" w:ascii="Cambria Math" w:hAnsi="Cambria Math" w:cs="Times New Roman"/>
                        <w:sz w:val="24"/>
                        <w:szCs w:val="24"/>
                      </w:rPr>
                    </m:ctrlPr>
                  </m:sub>
                </m:sSub>
              </m:oMath>
            </m:oMathPara>
          </w:p>
        </w:tc>
        <w:tc>
          <w:tcPr>
            <w:tcW w:w="1666" w:type="pct"/>
            <w:shd w:val="clear" w:color="auto" w:fill="FFFFFF"/>
            <w:tcMar>
              <w:top w:w="70" w:type="dxa"/>
              <w:left w:w="80" w:type="dxa"/>
              <w:bottom w:w="70" w:type="dxa"/>
              <w:right w:w="80" w:type="dxa"/>
            </w:tcMar>
            <w:vAlign w:val="center"/>
          </w:tcPr>
          <w:p w14:paraId="5960C62F">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Effective Density</w:t>
            </w:r>
          </w:p>
        </w:tc>
        <w:tc>
          <w:tcPr>
            <w:tcW w:w="1666" w:type="pct"/>
            <w:shd w:val="clear" w:color="auto" w:fill="FFFFFF"/>
            <w:tcMar>
              <w:top w:w="70" w:type="dxa"/>
              <w:left w:w="80" w:type="dxa"/>
              <w:bottom w:w="70" w:type="dxa"/>
              <w:right w:w="80" w:type="dxa"/>
            </w:tcMar>
            <w:vAlign w:val="center"/>
          </w:tcPr>
          <w:p w14:paraId="6077988C">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0.31</w:t>
            </w:r>
          </w:p>
        </w:tc>
      </w:tr>
      <w:tr w14:paraId="6C17DB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6" w:type="pct"/>
            <w:shd w:val="clear" w:color="auto" w:fill="FFFFFF"/>
            <w:tcMar>
              <w:top w:w="70" w:type="dxa"/>
              <w:left w:w="80" w:type="dxa"/>
              <w:bottom w:w="70" w:type="dxa"/>
              <w:right w:w="80" w:type="dxa"/>
            </w:tcMar>
            <w:vAlign w:val="center"/>
          </w:tcPr>
          <w:p w14:paraId="1EE4B0F3">
            <w:pPr>
              <w:pStyle w:val="24"/>
              <w:spacing w:before="0" w:after="30" w:line="247"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ε</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total</m:t>
                    </m:r>
                    <m:ctrlPr>
                      <w:rPr>
                        <w:rFonts w:hint="default" w:ascii="Cambria Math" w:hAnsi="Cambria Math" w:cs="Times New Roman"/>
                        <w:sz w:val="24"/>
                        <w:szCs w:val="24"/>
                      </w:rPr>
                    </m:ctrlPr>
                  </m:sub>
                </m:sSub>
              </m:oMath>
            </m:oMathPara>
          </w:p>
        </w:tc>
        <w:tc>
          <w:tcPr>
            <w:tcW w:w="1666" w:type="pct"/>
            <w:shd w:val="clear" w:color="auto" w:fill="FFFFFF"/>
            <w:tcMar>
              <w:top w:w="70" w:type="dxa"/>
              <w:left w:w="80" w:type="dxa"/>
              <w:bottom w:w="70" w:type="dxa"/>
              <w:right w:w="80" w:type="dxa"/>
            </w:tcMar>
            <w:vAlign w:val="center"/>
          </w:tcPr>
          <w:p w14:paraId="6E089979">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OFM:p4-d10</w:t>
            </w:r>
          </w:p>
        </w:tc>
        <w:tc>
          <w:tcPr>
            <w:tcW w:w="1666" w:type="pct"/>
            <w:shd w:val="clear" w:color="auto" w:fill="FFFFFF"/>
            <w:tcMar>
              <w:top w:w="70" w:type="dxa"/>
              <w:left w:w="80" w:type="dxa"/>
              <w:bottom w:w="70" w:type="dxa"/>
              <w:right w:w="80" w:type="dxa"/>
            </w:tcMar>
            <w:vAlign w:val="center"/>
          </w:tcPr>
          <w:p w14:paraId="1FE3DE69">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0.36</w:t>
            </w:r>
          </w:p>
        </w:tc>
      </w:tr>
      <w:tr w14:paraId="22E6F9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6" w:type="pct"/>
            <w:shd w:val="clear" w:color="auto" w:fill="FFFFFF"/>
            <w:tcMar>
              <w:top w:w="70" w:type="dxa"/>
              <w:left w:w="80" w:type="dxa"/>
              <w:bottom w:w="70" w:type="dxa"/>
              <w:right w:w="80" w:type="dxa"/>
            </w:tcMar>
            <w:vAlign w:val="center"/>
          </w:tcPr>
          <w:p w14:paraId="4C3A35B0">
            <w:pPr>
              <w:pStyle w:val="24"/>
              <w:spacing w:before="0" w:after="30" w:line="247"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ε</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total</m:t>
                    </m:r>
                    <m:ctrlPr>
                      <w:rPr>
                        <w:rFonts w:hint="default" w:ascii="Cambria Math" w:hAnsi="Cambria Math" w:cs="Times New Roman"/>
                        <w:sz w:val="24"/>
                        <w:szCs w:val="24"/>
                      </w:rPr>
                    </m:ctrlPr>
                  </m:sub>
                </m:sSub>
              </m:oMath>
            </m:oMathPara>
          </w:p>
        </w:tc>
        <w:tc>
          <w:tcPr>
            <w:tcW w:w="1666" w:type="pct"/>
            <w:shd w:val="clear" w:color="auto" w:fill="FFFFFF"/>
            <w:tcMar>
              <w:top w:w="70" w:type="dxa"/>
              <w:left w:w="80" w:type="dxa"/>
              <w:bottom w:w="70" w:type="dxa"/>
              <w:right w:w="80" w:type="dxa"/>
            </w:tcMar>
            <w:vAlign w:val="center"/>
          </w:tcPr>
          <w:p w14:paraId="145558A2">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RDF 4.9-5.0 A</w:t>
            </w:r>
          </w:p>
        </w:tc>
        <w:tc>
          <w:tcPr>
            <w:tcW w:w="1666" w:type="pct"/>
            <w:shd w:val="clear" w:color="auto" w:fill="FFFFFF"/>
            <w:tcMar>
              <w:top w:w="70" w:type="dxa"/>
              <w:left w:w="80" w:type="dxa"/>
              <w:bottom w:w="70" w:type="dxa"/>
              <w:right w:w="80" w:type="dxa"/>
            </w:tcMar>
            <w:vAlign w:val="center"/>
          </w:tcPr>
          <w:p w14:paraId="1E32DF3D">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-0.19</w:t>
            </w:r>
          </w:p>
        </w:tc>
      </w:tr>
      <w:tr w14:paraId="46E671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6" w:type="pct"/>
            <w:shd w:val="clear" w:color="auto" w:fill="FFFFFF"/>
            <w:tcMar>
              <w:top w:w="70" w:type="dxa"/>
              <w:left w:w="80" w:type="dxa"/>
              <w:bottom w:w="70" w:type="dxa"/>
              <w:right w:w="80" w:type="dxa"/>
            </w:tcMar>
            <w:vAlign w:val="center"/>
          </w:tcPr>
          <w:p w14:paraId="303435AF">
            <w:pPr>
              <w:pStyle w:val="24"/>
              <w:spacing w:before="0" w:after="30" w:line="247"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ε</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total</m:t>
                    </m:r>
                    <m:ctrlPr>
                      <w:rPr>
                        <w:rFonts w:hint="default" w:ascii="Cambria Math" w:hAnsi="Cambria Math" w:cs="Times New Roman"/>
                        <w:sz w:val="24"/>
                        <w:szCs w:val="24"/>
                      </w:rPr>
                    </m:ctrlPr>
                  </m:sub>
                </m:sSub>
              </m:oMath>
            </m:oMathPara>
          </w:p>
        </w:tc>
        <w:tc>
          <w:tcPr>
            <w:tcW w:w="1666" w:type="pct"/>
            <w:shd w:val="clear" w:color="auto" w:fill="FFFFFF"/>
            <w:tcMar>
              <w:top w:w="70" w:type="dxa"/>
              <w:left w:w="80" w:type="dxa"/>
              <w:bottom w:w="70" w:type="dxa"/>
              <w:right w:w="80" w:type="dxa"/>
            </w:tcMar>
            <w:vAlign w:val="center"/>
          </w:tcPr>
          <w:p w14:paraId="534403B8">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Mean p-unfilled</w:t>
            </w:r>
          </w:p>
        </w:tc>
        <w:tc>
          <w:tcPr>
            <w:tcW w:w="1666" w:type="pct"/>
            <w:shd w:val="clear" w:color="auto" w:fill="FFFFFF"/>
            <w:tcMar>
              <w:top w:w="70" w:type="dxa"/>
              <w:left w:w="80" w:type="dxa"/>
              <w:bottom w:w="70" w:type="dxa"/>
              <w:right w:w="80" w:type="dxa"/>
            </w:tcMar>
            <w:vAlign w:val="center"/>
          </w:tcPr>
          <w:p w14:paraId="6B54BB7D">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0.34</w:t>
            </w:r>
          </w:p>
        </w:tc>
      </w:tr>
      <w:tr w14:paraId="60AF35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6" w:type="pct"/>
            <w:shd w:val="clear" w:color="auto" w:fill="FFFFFF"/>
            <w:tcMar>
              <w:top w:w="70" w:type="dxa"/>
              <w:left w:w="80" w:type="dxa"/>
              <w:bottom w:w="70" w:type="dxa"/>
              <w:right w:w="80" w:type="dxa"/>
            </w:tcMar>
            <w:vAlign w:val="center"/>
          </w:tcPr>
          <w:p w14:paraId="75D2CAAB">
            <w:pPr>
              <w:pStyle w:val="24"/>
              <w:spacing w:before="0" w:after="30" w:line="247"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ε</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total</m:t>
                    </m:r>
                    <m:ctrlPr>
                      <w:rPr>
                        <w:rFonts w:hint="default" w:ascii="Cambria Math" w:hAnsi="Cambria Math" w:cs="Times New Roman"/>
                        <w:sz w:val="24"/>
                        <w:szCs w:val="24"/>
                      </w:rPr>
                    </m:ctrlPr>
                  </m:sub>
                </m:sSub>
              </m:oMath>
            </m:oMathPara>
          </w:p>
        </w:tc>
        <w:tc>
          <w:tcPr>
            <w:tcW w:w="1666" w:type="pct"/>
            <w:shd w:val="clear" w:color="auto" w:fill="FFFFFF"/>
            <w:tcMar>
              <w:top w:w="70" w:type="dxa"/>
              <w:left w:w="80" w:type="dxa"/>
              <w:bottom w:w="70" w:type="dxa"/>
              <w:right w:w="80" w:type="dxa"/>
            </w:tcMar>
            <w:vAlign w:val="center"/>
          </w:tcPr>
          <w:p w14:paraId="5AAFD891">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OFM:s2-p4</w:t>
            </w:r>
          </w:p>
        </w:tc>
        <w:tc>
          <w:tcPr>
            <w:tcW w:w="1666" w:type="pct"/>
            <w:shd w:val="clear" w:color="auto" w:fill="FFFFFF"/>
            <w:tcMar>
              <w:top w:w="70" w:type="dxa"/>
              <w:left w:w="80" w:type="dxa"/>
              <w:bottom w:w="70" w:type="dxa"/>
              <w:right w:w="80" w:type="dxa"/>
            </w:tcMar>
            <w:vAlign w:val="center"/>
          </w:tcPr>
          <w:p w14:paraId="6C586BDA">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0.21</w:t>
            </w:r>
          </w:p>
        </w:tc>
      </w:tr>
      <w:bookmarkEnd w:id="2"/>
    </w:tbl>
    <w:p w14:paraId="6D600E23">
      <w:pPr>
        <w:pStyle w:val="4"/>
        <w:spacing w:before="0" w:after="80" w:line="259" w:lineRule="auto"/>
        <w:rPr>
          <w:rFonts w:hint="default" w:ascii="Times New Roman" w:hAnsi="Times New Roman" w:cs="Times New Roman"/>
          <w:b/>
          <w:color w:val="000000"/>
          <w:sz w:val="32"/>
          <w:szCs w:val="32"/>
        </w:rPr>
      </w:pPr>
      <w:bookmarkStart w:id="3" w:name="X8b411e8282ab1b5f386f51897a1b50a0e02c8a8"/>
    </w:p>
    <w:p w14:paraId="79F1F4FA">
      <w:pPr>
        <w:pStyle w:val="4"/>
        <w:spacing w:before="0" w:after="80" w:line="259" w:lineRule="auto"/>
        <w:rPr>
          <w:rFonts w:hint="default" w:ascii="Times New Roman" w:hAnsi="Times New Roman" w:cs="Times New Roman"/>
          <w:sz w:val="32"/>
          <w:szCs w:val="32"/>
        </w:rPr>
      </w:pPr>
      <w:r>
        <w:rPr>
          <w:rFonts w:hint="default" w:ascii="Times New Roman" w:hAnsi="Times New Roman" w:cs="Times New Roman"/>
          <w:b/>
          <w:color w:val="000000"/>
          <w:sz w:val="32"/>
          <w:szCs w:val="32"/>
        </w:rPr>
        <w:t>Supplementary Table S</w:t>
      </w:r>
      <w:r>
        <w:rPr>
          <w:rFonts w:hint="eastAsia" w:ascii="Times New Roman" w:hAnsi="Times New Roman" w:cs="Times New Roman"/>
          <w:b/>
          <w:color w:val="000000"/>
          <w:sz w:val="32"/>
          <w:szCs w:val="32"/>
          <w:lang w:val="en-US" w:eastAsia="zh-CN"/>
        </w:rPr>
        <w:t>2</w:t>
      </w:r>
      <w:r>
        <w:rPr>
          <w:rFonts w:hint="default" w:ascii="Times New Roman" w:hAnsi="Times New Roman" w:cs="Times New Roman"/>
          <w:b/>
          <w:color w:val="000000"/>
          <w:sz w:val="32"/>
          <w:szCs w:val="32"/>
        </w:rPr>
        <w:t xml:space="preserve"> | Feature abbreviations, original feature names, and physical meanings</w:t>
      </w:r>
    </w:p>
    <w:p w14:paraId="665FDCD6">
      <w:pPr>
        <w:pStyle w:val="23"/>
        <w:spacing w:before="0" w:after="80" w:line="259" w:lineRule="auto"/>
        <w:rPr>
          <w:rFonts w:hint="default" w:ascii="Times New Roman" w:hAnsi="Times New Roman" w:cs="Times New Roman"/>
          <w:sz w:val="24"/>
          <w:szCs w:val="24"/>
        </w:rPr>
      </w:pPr>
      <w:r>
        <w:rPr>
          <w:rFonts w:hint="default" w:ascii="Times New Roman" w:hAnsi="Times New Roman" w:cs="Times New Roman"/>
          <w:color w:val="000000"/>
          <w:sz w:val="24"/>
          <w:szCs w:val="24"/>
        </w:rPr>
        <w:t>This table maps the abbreviated descriptors shown in the feature-ranking and distribution figures to their original feature names and physical meanings. The notation follows the naming conventions used by the feature-generation workflow.</w:t>
      </w:r>
    </w:p>
    <w:tbl>
      <w:tblPr>
        <w:tblStyle w:val="30"/>
        <w:tblW w:w="499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804"/>
        <w:gridCol w:w="4804"/>
        <w:gridCol w:w="4805"/>
      </w:tblGrid>
      <w:tr w14:paraId="0B807A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666" w:type="pct"/>
            <w:shd w:val="clear" w:color="auto" w:fill="FFFFFF"/>
            <w:tcMar>
              <w:top w:w="70" w:type="dxa"/>
              <w:left w:w="80" w:type="dxa"/>
              <w:bottom w:w="70" w:type="dxa"/>
              <w:right w:w="80" w:type="dxa"/>
            </w:tcMar>
            <w:vAlign w:val="center"/>
          </w:tcPr>
          <w:p w14:paraId="102768F7">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b/>
                <w:i w:val="0"/>
                <w:color w:val="000000"/>
                <w:sz w:val="24"/>
                <w:szCs w:val="24"/>
              </w:rPr>
              <w:t>Physical abbreviation</w:t>
            </w:r>
          </w:p>
        </w:tc>
        <w:tc>
          <w:tcPr>
            <w:tcW w:w="1666" w:type="pct"/>
            <w:shd w:val="clear" w:color="auto" w:fill="FFFFFF"/>
            <w:tcMar>
              <w:top w:w="70" w:type="dxa"/>
              <w:left w:w="80" w:type="dxa"/>
              <w:bottom w:w="70" w:type="dxa"/>
              <w:right w:w="80" w:type="dxa"/>
            </w:tcMar>
            <w:vAlign w:val="center"/>
          </w:tcPr>
          <w:p w14:paraId="6DE894B3">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b/>
                <w:i w:val="0"/>
                <w:color w:val="000000"/>
                <w:sz w:val="24"/>
                <w:szCs w:val="24"/>
              </w:rPr>
              <w:t>Original feature name</w:t>
            </w:r>
          </w:p>
        </w:tc>
        <w:tc>
          <w:tcPr>
            <w:tcW w:w="1666" w:type="pct"/>
            <w:shd w:val="clear" w:color="auto" w:fill="FFFFFF"/>
            <w:tcMar>
              <w:top w:w="70" w:type="dxa"/>
              <w:left w:w="80" w:type="dxa"/>
              <w:bottom w:w="70" w:type="dxa"/>
              <w:right w:w="80" w:type="dxa"/>
            </w:tcMar>
            <w:vAlign w:val="center"/>
          </w:tcPr>
          <w:p w14:paraId="36F8ABD8">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b/>
                <w:i w:val="0"/>
                <w:color w:val="000000"/>
                <w:sz w:val="24"/>
                <w:szCs w:val="24"/>
              </w:rPr>
              <w:t>Physical meaning</w:t>
            </w:r>
          </w:p>
        </w:tc>
      </w:tr>
      <w:tr w14:paraId="46A447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6" w:type="pct"/>
            <w:shd w:val="clear" w:color="auto" w:fill="FFFFFF"/>
            <w:tcMar>
              <w:top w:w="70" w:type="dxa"/>
              <w:left w:w="80" w:type="dxa"/>
              <w:bottom w:w="70" w:type="dxa"/>
              <w:right w:w="80" w:type="dxa"/>
            </w:tcMar>
            <w:vAlign w:val="center"/>
          </w:tcPr>
          <w:p w14:paraId="78571148">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Mode Melting T</w:t>
            </w:r>
          </w:p>
        </w:tc>
        <w:tc>
          <w:tcPr>
            <w:tcW w:w="1666" w:type="pct"/>
            <w:shd w:val="clear" w:color="auto" w:fill="FFFFFF"/>
            <w:tcMar>
              <w:top w:w="70" w:type="dxa"/>
              <w:left w:w="80" w:type="dxa"/>
              <w:bottom w:w="70" w:type="dxa"/>
              <w:right w:w="80" w:type="dxa"/>
            </w:tcMar>
            <w:vAlign w:val="center"/>
          </w:tcPr>
          <w:p w14:paraId="3BD46AE8">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MagpieData_mode_MeltingT</w:t>
            </w:r>
          </w:p>
        </w:tc>
        <w:tc>
          <w:tcPr>
            <w:tcW w:w="1666" w:type="pct"/>
            <w:shd w:val="clear" w:color="auto" w:fill="FFFFFF"/>
            <w:tcMar>
              <w:top w:w="70" w:type="dxa"/>
              <w:left w:w="80" w:type="dxa"/>
              <w:bottom w:w="70" w:type="dxa"/>
              <w:right w:w="80" w:type="dxa"/>
            </w:tcMar>
            <w:vAlign w:val="center"/>
          </w:tcPr>
          <w:p w14:paraId="4A16949F">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Mode of the melting points of constituent elements.</w:t>
            </w:r>
          </w:p>
        </w:tc>
      </w:tr>
      <w:tr w14:paraId="35315F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6" w:type="pct"/>
            <w:shd w:val="clear" w:color="auto" w:fill="FFFFFF"/>
            <w:tcMar>
              <w:top w:w="70" w:type="dxa"/>
              <w:left w:w="80" w:type="dxa"/>
              <w:bottom w:w="70" w:type="dxa"/>
              <w:right w:w="80" w:type="dxa"/>
            </w:tcMar>
            <w:vAlign w:val="center"/>
          </w:tcPr>
          <w:p w14:paraId="277E7DBF">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Max EN Difference</w:t>
            </w:r>
          </w:p>
        </w:tc>
        <w:tc>
          <w:tcPr>
            <w:tcW w:w="1666" w:type="pct"/>
            <w:shd w:val="clear" w:color="auto" w:fill="FFFFFF"/>
            <w:tcMar>
              <w:top w:w="70" w:type="dxa"/>
              <w:left w:w="80" w:type="dxa"/>
              <w:bottom w:w="70" w:type="dxa"/>
              <w:right w:w="80" w:type="dxa"/>
            </w:tcMar>
            <w:vAlign w:val="center"/>
          </w:tcPr>
          <w:p w14:paraId="128F0B72">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Max_EN_Diff</w:t>
            </w:r>
          </w:p>
        </w:tc>
        <w:tc>
          <w:tcPr>
            <w:tcW w:w="1666" w:type="pct"/>
            <w:shd w:val="clear" w:color="auto" w:fill="FFFFFF"/>
            <w:tcMar>
              <w:top w:w="70" w:type="dxa"/>
              <w:left w:w="80" w:type="dxa"/>
              <w:bottom w:w="70" w:type="dxa"/>
              <w:right w:w="80" w:type="dxa"/>
            </w:tcMar>
            <w:vAlign w:val="center"/>
          </w:tcPr>
          <w:p w14:paraId="7F561F67">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Maximum electronegativity difference between constituent atoms.</w:t>
            </w:r>
          </w:p>
        </w:tc>
      </w:tr>
      <w:tr w14:paraId="501FA0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6" w:type="pct"/>
            <w:shd w:val="clear" w:color="auto" w:fill="FFFFFF"/>
            <w:tcMar>
              <w:top w:w="70" w:type="dxa"/>
              <w:left w:w="80" w:type="dxa"/>
              <w:bottom w:w="70" w:type="dxa"/>
              <w:right w:w="80" w:type="dxa"/>
            </w:tcMar>
            <w:vAlign w:val="center"/>
          </w:tcPr>
          <w:p w14:paraId="3F1FAA16">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Max EN</w:t>
            </w:r>
          </w:p>
        </w:tc>
        <w:tc>
          <w:tcPr>
            <w:tcW w:w="1666" w:type="pct"/>
            <w:shd w:val="clear" w:color="auto" w:fill="FFFFFF"/>
            <w:tcMar>
              <w:top w:w="70" w:type="dxa"/>
              <w:left w:w="80" w:type="dxa"/>
              <w:bottom w:w="70" w:type="dxa"/>
              <w:right w:w="80" w:type="dxa"/>
            </w:tcMar>
            <w:vAlign w:val="center"/>
          </w:tcPr>
          <w:p w14:paraId="5E4F2654">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MagpieData_maximum_Electronegativity</w:t>
            </w:r>
          </w:p>
        </w:tc>
        <w:tc>
          <w:tcPr>
            <w:tcW w:w="1666" w:type="pct"/>
            <w:shd w:val="clear" w:color="auto" w:fill="FFFFFF"/>
            <w:tcMar>
              <w:top w:w="70" w:type="dxa"/>
              <w:left w:w="80" w:type="dxa"/>
              <w:bottom w:w="70" w:type="dxa"/>
              <w:right w:w="80" w:type="dxa"/>
            </w:tcMar>
            <w:vAlign w:val="center"/>
          </w:tcPr>
          <w:p w14:paraId="4547EEDC">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Maximum electronegativity among constituent elements.</w:t>
            </w:r>
          </w:p>
        </w:tc>
      </w:tr>
      <w:tr w14:paraId="54C49C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6" w:type="pct"/>
            <w:shd w:val="clear" w:color="auto" w:fill="FFFFFF"/>
            <w:tcMar>
              <w:top w:w="70" w:type="dxa"/>
              <w:left w:w="80" w:type="dxa"/>
              <w:bottom w:w="70" w:type="dxa"/>
              <w:right w:w="80" w:type="dxa"/>
            </w:tcMar>
            <w:vAlign w:val="center"/>
          </w:tcPr>
          <w:p w14:paraId="67CAF74D">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Mean Abs Dev EN</w:t>
            </w:r>
          </w:p>
        </w:tc>
        <w:tc>
          <w:tcPr>
            <w:tcW w:w="1666" w:type="pct"/>
            <w:shd w:val="clear" w:color="auto" w:fill="FFFFFF"/>
            <w:tcMar>
              <w:top w:w="70" w:type="dxa"/>
              <w:left w:w="80" w:type="dxa"/>
              <w:bottom w:w="70" w:type="dxa"/>
              <w:right w:w="80" w:type="dxa"/>
            </w:tcMar>
            <w:vAlign w:val="center"/>
          </w:tcPr>
          <w:p w14:paraId="429BB409">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MagpieData_avg_dev_Electronegativity</w:t>
            </w:r>
          </w:p>
        </w:tc>
        <w:tc>
          <w:tcPr>
            <w:tcW w:w="1666" w:type="pct"/>
            <w:shd w:val="clear" w:color="auto" w:fill="FFFFFF"/>
            <w:tcMar>
              <w:top w:w="70" w:type="dxa"/>
              <w:left w:w="80" w:type="dxa"/>
              <w:bottom w:w="70" w:type="dxa"/>
              <w:right w:w="80" w:type="dxa"/>
            </w:tcMar>
            <w:vAlign w:val="center"/>
          </w:tcPr>
          <w:p w14:paraId="45020E4B">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Mean absolute deviation of the electronegativity of constituent elements.</w:t>
            </w:r>
          </w:p>
        </w:tc>
      </w:tr>
      <w:tr w14:paraId="3074DF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6" w:type="pct"/>
            <w:shd w:val="clear" w:color="auto" w:fill="FFFFFF"/>
            <w:tcMar>
              <w:top w:w="70" w:type="dxa"/>
              <w:left w:w="80" w:type="dxa"/>
              <w:bottom w:w="70" w:type="dxa"/>
              <w:right w:w="80" w:type="dxa"/>
            </w:tcMar>
            <w:vAlign w:val="center"/>
          </w:tcPr>
          <w:p w14:paraId="0F845098">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OFM:p4-d10</w:t>
            </w:r>
          </w:p>
        </w:tc>
        <w:tc>
          <w:tcPr>
            <w:tcW w:w="1666" w:type="pct"/>
            <w:shd w:val="clear" w:color="auto" w:fill="FFFFFF"/>
            <w:tcMar>
              <w:top w:w="70" w:type="dxa"/>
              <w:left w:w="80" w:type="dxa"/>
              <w:bottom w:w="70" w:type="dxa"/>
              <w:right w:w="80" w:type="dxa"/>
            </w:tcMar>
            <w:vAlign w:val="center"/>
          </w:tcPr>
          <w:p w14:paraId="2A73057B">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OFM__p_4___d_10</w:t>
            </w:r>
          </w:p>
        </w:tc>
        <w:tc>
          <w:tcPr>
            <w:tcW w:w="1666" w:type="pct"/>
            <w:shd w:val="clear" w:color="auto" w:fill="FFFFFF"/>
            <w:tcMar>
              <w:top w:w="70" w:type="dxa"/>
              <w:left w:w="80" w:type="dxa"/>
              <w:bottom w:w="70" w:type="dxa"/>
              <w:right w:w="80" w:type="dxa"/>
            </w:tcMar>
            <w:vAlign w:val="center"/>
          </w:tcPr>
          <w:p w14:paraId="4CB51C67">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p4-d10 valence-orbital interaction or co-occurrence component in the orbital field matrix.</w:t>
            </w:r>
          </w:p>
        </w:tc>
      </w:tr>
      <w:tr w14:paraId="6745D2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6" w:type="pct"/>
            <w:shd w:val="clear" w:color="auto" w:fill="FFFFFF"/>
            <w:tcMar>
              <w:top w:w="70" w:type="dxa"/>
              <w:left w:w="80" w:type="dxa"/>
              <w:bottom w:w="70" w:type="dxa"/>
              <w:right w:w="80" w:type="dxa"/>
            </w:tcMar>
            <w:vAlign w:val="center"/>
          </w:tcPr>
          <w:p w14:paraId="5EECB57F">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Covalent Radius Mean Abs Dev</w:t>
            </w:r>
          </w:p>
        </w:tc>
        <w:tc>
          <w:tcPr>
            <w:tcW w:w="1666" w:type="pct"/>
            <w:shd w:val="clear" w:color="auto" w:fill="FFFFFF"/>
            <w:tcMar>
              <w:top w:w="70" w:type="dxa"/>
              <w:left w:w="80" w:type="dxa"/>
              <w:bottom w:w="70" w:type="dxa"/>
              <w:right w:w="80" w:type="dxa"/>
            </w:tcMar>
            <w:vAlign w:val="center"/>
          </w:tcPr>
          <w:p w14:paraId="2E5E2373">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MagpieData_avg_dev_CovalentRadius</w:t>
            </w:r>
          </w:p>
        </w:tc>
        <w:tc>
          <w:tcPr>
            <w:tcW w:w="1666" w:type="pct"/>
            <w:shd w:val="clear" w:color="auto" w:fill="FFFFFF"/>
            <w:tcMar>
              <w:top w:w="70" w:type="dxa"/>
              <w:left w:w="80" w:type="dxa"/>
              <w:bottom w:w="70" w:type="dxa"/>
              <w:right w:w="80" w:type="dxa"/>
            </w:tcMar>
            <w:vAlign w:val="center"/>
          </w:tcPr>
          <w:p w14:paraId="00D192FB">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Mean absolute deviation of the covalent radius of constituent elements.</w:t>
            </w:r>
          </w:p>
        </w:tc>
      </w:tr>
      <w:tr w14:paraId="505895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6" w:type="pct"/>
            <w:shd w:val="clear" w:color="auto" w:fill="FFFFFF"/>
            <w:tcMar>
              <w:top w:w="70" w:type="dxa"/>
              <w:left w:w="80" w:type="dxa"/>
              <w:bottom w:w="70" w:type="dxa"/>
              <w:right w:w="80" w:type="dxa"/>
            </w:tcMar>
            <w:vAlign w:val="center"/>
          </w:tcPr>
          <w:p w14:paraId="4B6EE54E">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Mean Melting T</w:t>
            </w:r>
          </w:p>
        </w:tc>
        <w:tc>
          <w:tcPr>
            <w:tcW w:w="1666" w:type="pct"/>
            <w:shd w:val="clear" w:color="auto" w:fill="FFFFFF"/>
            <w:tcMar>
              <w:top w:w="70" w:type="dxa"/>
              <w:left w:w="80" w:type="dxa"/>
              <w:bottom w:w="70" w:type="dxa"/>
              <w:right w:w="80" w:type="dxa"/>
            </w:tcMar>
            <w:vAlign w:val="center"/>
          </w:tcPr>
          <w:p w14:paraId="462F6ECA">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MagpieData_mean_MeltingT</w:t>
            </w:r>
          </w:p>
        </w:tc>
        <w:tc>
          <w:tcPr>
            <w:tcW w:w="1666" w:type="pct"/>
            <w:shd w:val="clear" w:color="auto" w:fill="FFFFFF"/>
            <w:tcMar>
              <w:top w:w="70" w:type="dxa"/>
              <w:left w:w="80" w:type="dxa"/>
              <w:bottom w:w="70" w:type="dxa"/>
              <w:right w:w="80" w:type="dxa"/>
            </w:tcMar>
            <w:vAlign w:val="center"/>
          </w:tcPr>
          <w:p w14:paraId="671BC1B7">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Mean melting point of constituent elements.</w:t>
            </w:r>
          </w:p>
        </w:tc>
      </w:tr>
      <w:tr w14:paraId="2A679B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6" w:type="pct"/>
            <w:shd w:val="clear" w:color="auto" w:fill="FFFFFF"/>
            <w:tcMar>
              <w:top w:w="70" w:type="dxa"/>
              <w:left w:w="80" w:type="dxa"/>
              <w:bottom w:w="70" w:type="dxa"/>
              <w:right w:w="80" w:type="dxa"/>
            </w:tcMar>
            <w:vAlign w:val="center"/>
          </w:tcPr>
          <w:p w14:paraId="39ED4A3E">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Min GS Volume Per Atom</w:t>
            </w:r>
          </w:p>
        </w:tc>
        <w:tc>
          <w:tcPr>
            <w:tcW w:w="1666" w:type="pct"/>
            <w:shd w:val="clear" w:color="auto" w:fill="FFFFFF"/>
            <w:tcMar>
              <w:top w:w="70" w:type="dxa"/>
              <w:left w:w="80" w:type="dxa"/>
              <w:bottom w:w="70" w:type="dxa"/>
              <w:right w:w="80" w:type="dxa"/>
            </w:tcMar>
            <w:vAlign w:val="center"/>
          </w:tcPr>
          <w:p w14:paraId="42A0831C">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MagpieData_minimum_GSvolume_pa</w:t>
            </w:r>
          </w:p>
        </w:tc>
        <w:tc>
          <w:tcPr>
            <w:tcW w:w="1666" w:type="pct"/>
            <w:shd w:val="clear" w:color="auto" w:fill="FFFFFF"/>
            <w:tcMar>
              <w:top w:w="70" w:type="dxa"/>
              <w:left w:w="80" w:type="dxa"/>
              <w:bottom w:w="70" w:type="dxa"/>
              <w:right w:w="80" w:type="dxa"/>
            </w:tcMar>
            <w:vAlign w:val="center"/>
          </w:tcPr>
          <w:p w14:paraId="27136D61">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Minimum ground-state atomic volume per atom among constituent elements.</w:t>
            </w:r>
          </w:p>
        </w:tc>
      </w:tr>
      <w:tr w14:paraId="42353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6" w:type="pct"/>
            <w:shd w:val="clear" w:color="auto" w:fill="FFFFFF"/>
            <w:tcMar>
              <w:top w:w="70" w:type="dxa"/>
              <w:left w:w="80" w:type="dxa"/>
              <w:bottom w:w="70" w:type="dxa"/>
              <w:right w:w="80" w:type="dxa"/>
            </w:tcMar>
            <w:vAlign w:val="center"/>
          </w:tcPr>
          <w:p w14:paraId="79FBE99C">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Mean Shell-1 Ordering</w:t>
            </w:r>
          </w:p>
        </w:tc>
        <w:tc>
          <w:tcPr>
            <w:tcW w:w="1666" w:type="pct"/>
            <w:shd w:val="clear" w:color="auto" w:fill="FFFFFF"/>
            <w:tcMar>
              <w:top w:w="70" w:type="dxa"/>
              <w:left w:w="80" w:type="dxa"/>
              <w:bottom w:w="70" w:type="dxa"/>
              <w:right w:w="80" w:type="dxa"/>
            </w:tcMar>
            <w:vAlign w:val="center"/>
          </w:tcPr>
          <w:p w14:paraId="1B948753">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mean_ordering_parameter_shell_1</w:t>
            </w:r>
          </w:p>
        </w:tc>
        <w:tc>
          <w:tcPr>
            <w:tcW w:w="1666" w:type="pct"/>
            <w:shd w:val="clear" w:color="auto" w:fill="FFFFFF"/>
            <w:tcMar>
              <w:top w:w="70" w:type="dxa"/>
              <w:left w:w="80" w:type="dxa"/>
              <w:bottom w:w="70" w:type="dxa"/>
              <w:right w:w="80" w:type="dxa"/>
            </w:tcMar>
            <w:vAlign w:val="center"/>
          </w:tcPr>
          <w:p w14:paraId="7D19F391">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Mean ordering parameter of the first nearest-neighbor shell.</w:t>
            </w:r>
          </w:p>
        </w:tc>
      </w:tr>
      <w:tr w14:paraId="093890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6" w:type="pct"/>
            <w:shd w:val="clear" w:color="auto" w:fill="FFFFFF"/>
            <w:tcMar>
              <w:top w:w="70" w:type="dxa"/>
              <w:left w:w="80" w:type="dxa"/>
              <w:bottom w:w="70" w:type="dxa"/>
              <w:right w:w="80" w:type="dxa"/>
            </w:tcMar>
            <w:vAlign w:val="center"/>
          </w:tcPr>
          <w:p w14:paraId="23CE7D61">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RDF 4.9-5.0 A</w:t>
            </w:r>
          </w:p>
        </w:tc>
        <w:tc>
          <w:tcPr>
            <w:tcW w:w="1666" w:type="pct"/>
            <w:shd w:val="clear" w:color="auto" w:fill="FFFFFF"/>
            <w:tcMar>
              <w:top w:w="70" w:type="dxa"/>
              <w:left w:w="80" w:type="dxa"/>
              <w:bottom w:w="70" w:type="dxa"/>
              <w:right w:w="80" w:type="dxa"/>
            </w:tcMar>
            <w:vAlign w:val="center"/>
          </w:tcPr>
          <w:p w14:paraId="5D926D5A">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rdf__4_90000___5_00000_A</w:t>
            </w:r>
          </w:p>
        </w:tc>
        <w:tc>
          <w:tcPr>
            <w:tcW w:w="1666" w:type="pct"/>
            <w:shd w:val="clear" w:color="auto" w:fill="FFFFFF"/>
            <w:tcMar>
              <w:top w:w="70" w:type="dxa"/>
              <w:left w:w="80" w:type="dxa"/>
              <w:bottom w:w="70" w:type="dxa"/>
              <w:right w:w="80" w:type="dxa"/>
            </w:tcMar>
            <w:vAlign w:val="center"/>
          </w:tcPr>
          <w:p w14:paraId="5C4693BD">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Radial distribution function intensity in the 4.9-5.0 A distance range.</w:t>
            </w:r>
          </w:p>
        </w:tc>
      </w:tr>
      <w:tr w14:paraId="5181F3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6" w:type="pct"/>
            <w:shd w:val="clear" w:color="auto" w:fill="FFFFFF"/>
            <w:tcMar>
              <w:top w:w="70" w:type="dxa"/>
              <w:left w:w="80" w:type="dxa"/>
              <w:bottom w:w="70" w:type="dxa"/>
              <w:right w:w="80" w:type="dxa"/>
            </w:tcMar>
            <w:vAlign w:val="center"/>
          </w:tcPr>
          <w:p w14:paraId="6C8B80EC">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Effective Density</w:t>
            </w:r>
          </w:p>
        </w:tc>
        <w:tc>
          <w:tcPr>
            <w:tcW w:w="1666" w:type="pct"/>
            <w:shd w:val="clear" w:color="auto" w:fill="FFFFFF"/>
            <w:tcMar>
              <w:top w:w="70" w:type="dxa"/>
              <w:left w:w="80" w:type="dxa"/>
              <w:bottom w:w="70" w:type="dxa"/>
              <w:right w:w="80" w:type="dxa"/>
            </w:tcMar>
            <w:vAlign w:val="center"/>
          </w:tcPr>
          <w:p w14:paraId="1A51D25C">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Effective_Density</w:t>
            </w:r>
          </w:p>
        </w:tc>
        <w:tc>
          <w:tcPr>
            <w:tcW w:w="1666" w:type="pct"/>
            <w:shd w:val="clear" w:color="auto" w:fill="FFFFFF"/>
            <w:tcMar>
              <w:top w:w="70" w:type="dxa"/>
              <w:left w:w="80" w:type="dxa"/>
              <w:bottom w:w="70" w:type="dxa"/>
              <w:right w:w="80" w:type="dxa"/>
            </w:tcMar>
            <w:vAlign w:val="center"/>
          </w:tcPr>
          <w:p w14:paraId="2238C9F3">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Effective density descriptor computed using the effective layer volume rather than the raw supercell volume.</w:t>
            </w:r>
          </w:p>
        </w:tc>
      </w:tr>
      <w:tr w14:paraId="3B9A8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6" w:type="pct"/>
            <w:shd w:val="clear" w:color="auto" w:fill="FFFFFF"/>
            <w:tcMar>
              <w:top w:w="70" w:type="dxa"/>
              <w:left w:w="80" w:type="dxa"/>
              <w:bottom w:w="70" w:type="dxa"/>
              <w:right w:w="80" w:type="dxa"/>
            </w:tcMar>
            <w:vAlign w:val="center"/>
          </w:tcPr>
          <w:p w14:paraId="2442B7DD">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Mean p-unfilled</w:t>
            </w:r>
          </w:p>
        </w:tc>
        <w:tc>
          <w:tcPr>
            <w:tcW w:w="1666" w:type="pct"/>
            <w:shd w:val="clear" w:color="auto" w:fill="FFFFFF"/>
            <w:tcMar>
              <w:top w:w="70" w:type="dxa"/>
              <w:left w:w="80" w:type="dxa"/>
              <w:bottom w:w="70" w:type="dxa"/>
              <w:right w:w="80" w:type="dxa"/>
            </w:tcMar>
            <w:vAlign w:val="center"/>
          </w:tcPr>
          <w:p w14:paraId="73A1E872">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MagpieData_mean_NpUnfilled</w:t>
            </w:r>
          </w:p>
        </w:tc>
        <w:tc>
          <w:tcPr>
            <w:tcW w:w="1666" w:type="pct"/>
            <w:shd w:val="clear" w:color="auto" w:fill="FFFFFF"/>
            <w:tcMar>
              <w:top w:w="70" w:type="dxa"/>
              <w:left w:w="80" w:type="dxa"/>
              <w:bottom w:w="70" w:type="dxa"/>
              <w:right w:w="80" w:type="dxa"/>
            </w:tcMar>
            <w:vAlign w:val="center"/>
          </w:tcPr>
          <w:p w14:paraId="3BFD8CF0">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Mean number of unfilled p-valence states among constituent elements.</w:t>
            </w:r>
          </w:p>
        </w:tc>
      </w:tr>
      <w:tr w14:paraId="109846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6" w:type="pct"/>
            <w:shd w:val="clear" w:color="auto" w:fill="FFFFFF"/>
            <w:tcMar>
              <w:top w:w="70" w:type="dxa"/>
              <w:left w:w="80" w:type="dxa"/>
              <w:bottom w:w="70" w:type="dxa"/>
              <w:right w:w="80" w:type="dxa"/>
            </w:tcMar>
            <w:vAlign w:val="center"/>
          </w:tcPr>
          <w:p w14:paraId="7BA65B55">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OFM:s2-p4</w:t>
            </w:r>
          </w:p>
        </w:tc>
        <w:tc>
          <w:tcPr>
            <w:tcW w:w="1666" w:type="pct"/>
            <w:shd w:val="clear" w:color="auto" w:fill="FFFFFF"/>
            <w:tcMar>
              <w:top w:w="70" w:type="dxa"/>
              <w:left w:w="80" w:type="dxa"/>
              <w:bottom w:w="70" w:type="dxa"/>
              <w:right w:w="80" w:type="dxa"/>
            </w:tcMar>
            <w:vAlign w:val="center"/>
          </w:tcPr>
          <w:p w14:paraId="13DC5A6B">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OFM__s_2___p_4</w:t>
            </w:r>
          </w:p>
        </w:tc>
        <w:tc>
          <w:tcPr>
            <w:tcW w:w="1666" w:type="pct"/>
            <w:shd w:val="clear" w:color="auto" w:fill="FFFFFF"/>
            <w:tcMar>
              <w:top w:w="70" w:type="dxa"/>
              <w:left w:w="80" w:type="dxa"/>
              <w:bottom w:w="70" w:type="dxa"/>
              <w:right w:w="80" w:type="dxa"/>
            </w:tcMar>
            <w:vAlign w:val="center"/>
          </w:tcPr>
          <w:p w14:paraId="4B7E70BD">
            <w:pPr>
              <w:pStyle w:val="24"/>
              <w:spacing w:before="0" w:after="30" w:line="247" w:lineRule="auto"/>
              <w:jc w:val="center"/>
              <w:rPr>
                <w:rFonts w:hint="default" w:ascii="Times New Roman" w:hAnsi="Times New Roman" w:cs="Times New Roman"/>
                <w:sz w:val="24"/>
                <w:szCs w:val="24"/>
              </w:rPr>
            </w:pPr>
            <w:r>
              <w:rPr>
                <w:rFonts w:hint="default" w:ascii="Times New Roman" w:hAnsi="Times New Roman" w:cs="Times New Roman"/>
                <w:i w:val="0"/>
                <w:color w:val="000000"/>
                <w:sz w:val="24"/>
                <w:szCs w:val="24"/>
              </w:rPr>
              <w:t>s2-p4 valence-orbital interaction or co-occurrence component in the orbital field matrix.</w:t>
            </w:r>
          </w:p>
        </w:tc>
      </w:tr>
      <w:bookmarkEnd w:id="3"/>
    </w:tbl>
    <w:p w14:paraId="5C71D726">
      <w:pPr>
        <w:pStyle w:val="38"/>
        <w:spacing w:before="0" w:after="80" w:line="259" w:lineRule="auto"/>
        <w:rPr>
          <w:rFonts w:hint="default" w:ascii="Times New Roman" w:hAnsi="Times New Roman" w:cs="Times New Roman"/>
          <w:sz w:val="24"/>
          <w:szCs w:val="24"/>
        </w:rPr>
      </w:pPr>
      <w:bookmarkStart w:id="4" w:name="reference-entry-for-the-main-manuscript"/>
    </w:p>
    <w:bookmarkEnd w:id="0"/>
    <w:bookmarkEnd w:id="4"/>
    <w:sectPr>
      <w:pgSz w:w="15840" w:h="12240" w:orient="landscape"/>
      <w:pgMar w:top="792" w:right="792" w:bottom="792" w:left="792"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ourier New">
    <w:panose1 w:val="02070309020205020404"/>
    <w:charset w:val="00"/>
    <w:family w:val="auto"/>
    <w:pitch w:val="default"/>
    <w:sig w:usb0="E0002EFF" w:usb1="C0007843" w:usb2="00000009" w:usb3="00000000" w:csb0="400001FF" w:csb1="FFFF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D692CC9"/>
    <w:rsid w:val="3E876E2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imes New Roman" w:hAnsi="Times New Roman" w:eastAsia="Times New Roman" w:cs="Times New Roman"/>
      <w:color w:val="000000"/>
      <w:sz w:val="21"/>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rPr>
      <w:rFonts w:ascii="Times New Roman" w:hAnsi="Times New Roman" w:eastAsia="Times New Roman" w:cs="Times New Roman"/>
      <w:color w:val="000000"/>
      <w:sz w:val="21"/>
    </w:rPr>
  </w:style>
  <w:style w:type="paragraph" w:styleId="12">
    <w:name w:val="caption"/>
    <w:basedOn w:val="1"/>
    <w:qFormat/>
    <w:uiPriority w:val="0"/>
    <w:pPr>
      <w:spacing w:before="0" w:after="120"/>
    </w:pPr>
    <w:rPr>
      <w:rFonts w:ascii="Times New Roman" w:hAnsi="Times New Roman" w:eastAsia="Times New Roman" w:cs="Times New Roman"/>
      <w:color w:val="000000"/>
      <w:sz w:val="20"/>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imes New Roman" w:hAnsi="Times New Roman" w:eastAsia="Times New Roman" w:cs="Times New Roman"/>
      <w:color w:val="000000"/>
      <w:sz w:val="21"/>
      <w:szCs w:val="24"/>
      <w:lang w:val="en-US" w:eastAsia="en-US" w:bidi="ar-SA"/>
    </w:rPr>
  </w:style>
  <w:style w:type="paragraph" w:styleId="15">
    <w:name w:val="Subtitle"/>
    <w:basedOn w:val="16"/>
    <w:next w:val="3"/>
    <w:qFormat/>
    <w:uiPriority w:val="0"/>
    <w:pPr>
      <w:keepNext/>
      <w:keepLines/>
      <w:spacing w:before="240" w:after="240"/>
      <w:jc w:val="center"/>
    </w:pPr>
    <w:rPr>
      <w:rFonts w:ascii="Times New Roman" w:hAnsi="Times New Roman" w:eastAsia="Times New Roman" w:cs="Times New Roman"/>
      <w:color w:val="000000"/>
      <w:sz w:val="24"/>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000000"/>
      <w:sz w:val="34"/>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imes New Roman" w:hAnsi="Times New Roman" w:eastAsia="Times New Roman" w:cs="Times New Roman"/>
      <w:color w:val="000000"/>
      <w:sz w:val="21"/>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paragraph" w:customStyle="1" w:styleId="29">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30">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1">
    <w:name w:val="Definition Term"/>
    <w:basedOn w:val="1"/>
    <w:next w:val="32"/>
    <w:uiPriority w:val="0"/>
    <w:pPr>
      <w:keepNext/>
      <w:keepLines/>
      <w:spacing w:after="0"/>
    </w:pPr>
    <w:rPr>
      <w:b/>
    </w:rPr>
  </w:style>
  <w:style w:type="paragraph" w:customStyle="1" w:styleId="32">
    <w:name w:val="Definition"/>
    <w:basedOn w:val="1"/>
    <w:uiPriority w:val="0"/>
  </w:style>
  <w:style w:type="paragraph" w:customStyle="1" w:styleId="33">
    <w:name w:val="Table Caption"/>
    <w:basedOn w:val="12"/>
    <w:uiPriority w:val="0"/>
    <w:pPr>
      <w:keepNext/>
    </w:pPr>
  </w:style>
  <w:style w:type="paragraph" w:customStyle="1" w:styleId="34">
    <w:name w:val="Image Caption"/>
    <w:basedOn w:val="12"/>
    <w:uiPriority w:val="0"/>
  </w:style>
  <w:style w:type="paragraph" w:customStyle="1" w:styleId="35">
    <w:name w:val="Figure"/>
    <w:basedOn w:val="1"/>
    <w:uiPriority w:val="0"/>
  </w:style>
  <w:style w:type="paragraph" w:customStyle="1" w:styleId="36">
    <w:name w:val="Captioned Figure"/>
    <w:basedOn w:val="35"/>
    <w:qFormat/>
    <w:uiPriority w:val="0"/>
    <w:pPr>
      <w:keepNext/>
    </w:pPr>
  </w:style>
  <w:style w:type="character" w:customStyle="1" w:styleId="37">
    <w:name w:val="Verbatim Char"/>
    <w:basedOn w:val="21"/>
    <w:link w:val="38"/>
    <w:qFormat/>
    <w:uiPriority w:val="0"/>
    <w:rPr>
      <w:rFonts w:ascii="Consolas" w:hAnsi="Consolas"/>
      <w:sz w:val="22"/>
    </w:rPr>
  </w:style>
  <w:style w:type="paragraph" w:customStyle="1" w:styleId="38">
    <w:name w:val="Source Code"/>
    <w:basedOn w:val="1"/>
    <w:link w:val="37"/>
    <w:uiPriority w:val="0"/>
    <w:pPr>
      <w:wordWrap w:val="0"/>
    </w:pPr>
  </w:style>
  <w:style w:type="character" w:customStyle="1" w:styleId="39">
    <w:name w:val="Section Number"/>
    <w:basedOn w:val="21"/>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1">
    <w:name w:val="KeywordTok"/>
    <w:basedOn w:val="37"/>
    <w:qFormat/>
    <w:uiPriority w:val="0"/>
    <w:rPr>
      <w:b/>
      <w:color w:val="007020"/>
    </w:rPr>
  </w:style>
  <w:style w:type="character" w:customStyle="1" w:styleId="42">
    <w:name w:val="DataTypeTok"/>
    <w:basedOn w:val="37"/>
    <w:uiPriority w:val="0"/>
    <w:rPr>
      <w:color w:val="902000"/>
    </w:rPr>
  </w:style>
  <w:style w:type="character" w:customStyle="1" w:styleId="43">
    <w:name w:val="DecValTok"/>
    <w:basedOn w:val="37"/>
    <w:qFormat/>
    <w:uiPriority w:val="0"/>
    <w:rPr>
      <w:color w:val="40A070"/>
    </w:rPr>
  </w:style>
  <w:style w:type="character" w:customStyle="1" w:styleId="44">
    <w:name w:val="BaseNTok"/>
    <w:basedOn w:val="37"/>
    <w:qFormat/>
    <w:uiPriority w:val="0"/>
    <w:rPr>
      <w:color w:val="40A070"/>
    </w:rPr>
  </w:style>
  <w:style w:type="character" w:customStyle="1" w:styleId="45">
    <w:name w:val="FloatTok"/>
    <w:basedOn w:val="37"/>
    <w:uiPriority w:val="0"/>
    <w:rPr>
      <w:color w:val="40A070"/>
    </w:rPr>
  </w:style>
  <w:style w:type="character" w:customStyle="1" w:styleId="46">
    <w:name w:val="ConstantTok"/>
    <w:basedOn w:val="37"/>
    <w:uiPriority w:val="0"/>
    <w:rPr>
      <w:color w:val="880000"/>
    </w:rPr>
  </w:style>
  <w:style w:type="character" w:customStyle="1" w:styleId="47">
    <w:name w:val="CharTok"/>
    <w:basedOn w:val="37"/>
    <w:uiPriority w:val="0"/>
    <w:rPr>
      <w:color w:val="4070A0"/>
    </w:rPr>
  </w:style>
  <w:style w:type="character" w:customStyle="1" w:styleId="48">
    <w:name w:val="SpecialCharTok"/>
    <w:basedOn w:val="37"/>
    <w:qFormat/>
    <w:uiPriority w:val="0"/>
    <w:rPr>
      <w:color w:val="4070A0"/>
    </w:rPr>
  </w:style>
  <w:style w:type="character" w:customStyle="1" w:styleId="49">
    <w:name w:val="StringTok"/>
    <w:basedOn w:val="37"/>
    <w:qFormat/>
    <w:uiPriority w:val="0"/>
    <w:rPr>
      <w:color w:val="4070A0"/>
    </w:rPr>
  </w:style>
  <w:style w:type="character" w:customStyle="1" w:styleId="50">
    <w:name w:val="VerbatimStringTok"/>
    <w:basedOn w:val="37"/>
    <w:uiPriority w:val="0"/>
    <w:rPr>
      <w:color w:val="4070A0"/>
    </w:rPr>
  </w:style>
  <w:style w:type="character" w:customStyle="1" w:styleId="51">
    <w:name w:val="SpecialStringTok"/>
    <w:basedOn w:val="37"/>
    <w:qFormat/>
    <w:uiPriority w:val="0"/>
    <w:rPr>
      <w:color w:val="BB6688"/>
    </w:rPr>
  </w:style>
  <w:style w:type="character" w:customStyle="1" w:styleId="52">
    <w:name w:val="ImportTok"/>
    <w:basedOn w:val="37"/>
    <w:uiPriority w:val="0"/>
    <w:rPr>
      <w:b/>
      <w:color w:val="008000"/>
    </w:rPr>
  </w:style>
  <w:style w:type="character" w:customStyle="1" w:styleId="53">
    <w:name w:val="CommentTok"/>
    <w:basedOn w:val="37"/>
    <w:qFormat/>
    <w:uiPriority w:val="0"/>
    <w:rPr>
      <w:i/>
      <w:color w:val="60A0B0"/>
    </w:rPr>
  </w:style>
  <w:style w:type="character" w:customStyle="1" w:styleId="54">
    <w:name w:val="DocumentationTok"/>
    <w:basedOn w:val="37"/>
    <w:uiPriority w:val="0"/>
    <w:rPr>
      <w:i/>
      <w:color w:val="BA2121"/>
    </w:rPr>
  </w:style>
  <w:style w:type="character" w:customStyle="1" w:styleId="55">
    <w:name w:val="AnnotationTok"/>
    <w:basedOn w:val="37"/>
    <w:qFormat/>
    <w:uiPriority w:val="0"/>
    <w:rPr>
      <w:b/>
      <w:i/>
      <w:color w:val="60A0B0"/>
    </w:rPr>
  </w:style>
  <w:style w:type="character" w:customStyle="1" w:styleId="56">
    <w:name w:val="CommentVarTok"/>
    <w:basedOn w:val="37"/>
    <w:uiPriority w:val="0"/>
    <w:rPr>
      <w:b/>
      <w:i/>
      <w:color w:val="60A0B0"/>
    </w:rPr>
  </w:style>
  <w:style w:type="character" w:customStyle="1" w:styleId="57">
    <w:name w:val="OtherTok"/>
    <w:basedOn w:val="37"/>
    <w:qFormat/>
    <w:uiPriority w:val="0"/>
    <w:rPr>
      <w:color w:val="007020"/>
    </w:rPr>
  </w:style>
  <w:style w:type="character" w:customStyle="1" w:styleId="58">
    <w:name w:val="FunctionTok"/>
    <w:basedOn w:val="37"/>
    <w:qFormat/>
    <w:uiPriority w:val="0"/>
    <w:rPr>
      <w:color w:val="06287E"/>
    </w:rPr>
  </w:style>
  <w:style w:type="character" w:customStyle="1" w:styleId="59">
    <w:name w:val="VariableTok"/>
    <w:basedOn w:val="37"/>
    <w:qFormat/>
    <w:uiPriority w:val="0"/>
    <w:rPr>
      <w:color w:val="19177C"/>
    </w:rPr>
  </w:style>
  <w:style w:type="character" w:customStyle="1" w:styleId="60">
    <w:name w:val="ControlFlowTok"/>
    <w:basedOn w:val="37"/>
    <w:uiPriority w:val="0"/>
    <w:rPr>
      <w:b/>
      <w:color w:val="007020"/>
    </w:rPr>
  </w:style>
  <w:style w:type="character" w:customStyle="1" w:styleId="61">
    <w:name w:val="OperatorTok"/>
    <w:basedOn w:val="37"/>
    <w:qFormat/>
    <w:uiPriority w:val="0"/>
    <w:rPr>
      <w:color w:val="666666"/>
    </w:rPr>
  </w:style>
  <w:style w:type="character" w:customStyle="1" w:styleId="62">
    <w:name w:val="BuiltInTok"/>
    <w:basedOn w:val="37"/>
    <w:qFormat/>
    <w:uiPriority w:val="0"/>
    <w:rPr>
      <w:color w:val="008000"/>
    </w:rPr>
  </w:style>
  <w:style w:type="character" w:customStyle="1" w:styleId="63">
    <w:name w:val="ExtensionTok"/>
    <w:basedOn w:val="37"/>
    <w:qFormat/>
    <w:uiPriority w:val="0"/>
  </w:style>
  <w:style w:type="character" w:customStyle="1" w:styleId="64">
    <w:name w:val="PreprocessorTok"/>
    <w:basedOn w:val="37"/>
    <w:qFormat/>
    <w:uiPriority w:val="0"/>
    <w:rPr>
      <w:color w:val="BC7A00"/>
    </w:rPr>
  </w:style>
  <w:style w:type="character" w:customStyle="1" w:styleId="65">
    <w:name w:val="AttributeTok"/>
    <w:basedOn w:val="37"/>
    <w:qFormat/>
    <w:uiPriority w:val="0"/>
    <w:rPr>
      <w:color w:val="7D9029"/>
    </w:rPr>
  </w:style>
  <w:style w:type="character" w:customStyle="1" w:styleId="66">
    <w:name w:val="RegionMarkerTok"/>
    <w:basedOn w:val="37"/>
    <w:qFormat/>
    <w:uiPriority w:val="0"/>
  </w:style>
  <w:style w:type="character" w:customStyle="1" w:styleId="67">
    <w:name w:val="InformationTok"/>
    <w:basedOn w:val="37"/>
    <w:qFormat/>
    <w:uiPriority w:val="0"/>
    <w:rPr>
      <w:b/>
      <w:i/>
      <w:color w:val="60A0B0"/>
    </w:rPr>
  </w:style>
  <w:style w:type="character" w:customStyle="1" w:styleId="68">
    <w:name w:val="WarningTok"/>
    <w:basedOn w:val="37"/>
    <w:qFormat/>
    <w:uiPriority w:val="0"/>
    <w:rPr>
      <w:b/>
      <w:i/>
      <w:color w:val="60A0B0"/>
    </w:rPr>
  </w:style>
  <w:style w:type="character" w:customStyle="1" w:styleId="69">
    <w:name w:val="AlertTok"/>
    <w:basedOn w:val="37"/>
    <w:uiPriority w:val="0"/>
    <w:rPr>
      <w:b/>
      <w:color w:val="FF0000"/>
    </w:rPr>
  </w:style>
  <w:style w:type="character" w:customStyle="1" w:styleId="70">
    <w:name w:val="ErrorTok"/>
    <w:basedOn w:val="37"/>
    <w:uiPriority w:val="0"/>
    <w:rPr>
      <w:b/>
      <w:color w:val="FF0000"/>
    </w:rPr>
  </w:style>
  <w:style w:type="character" w:customStyle="1" w:styleId="71">
    <w:name w:val="NormalTok"/>
    <w:basedOn w:val="37"/>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Pages>
  <Words>1045</Words>
  <Characters>6277</Characters>
  <Lines>12</Lines>
  <Paragraphs>8</Paragraphs>
  <TotalTime>6</TotalTime>
  <ScaleCrop>false</ScaleCrop>
  <LinksUpToDate>false</LinksUpToDate>
  <CharactersWithSpaces>6989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2026-06-17T11:03:00Z</dcterms:created>
  <dc:creator>Tao Zhu</dc:creator>
  <cp:keywords>supplementary information; dielectric constants; two-dimensional materials; machine learning</cp:keywords>
  <cp:lastModifiedBy> -</cp:lastModifiedBy>
  <dcterms:modified xsi:type="dcterms:W3CDTF">2026-06-17T11:15:41Z</dcterms:modified>
  <dc:subject>Physically reconstructed features and Pearson-correlation analysis</dc:subject>
  <dc:title>Supplementary Information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fontsize">
    <vt:lpwstr>11pt</vt:lpwstr>
  </property>
  <property fmtid="{D5CDD505-2E9C-101B-9397-08002B2CF9AE}" pid="4" name="subtitle">
    <vt:lpwstr>Cross-dimensional machine learning of in-plane dielectric constants in two-dimensional materials from three-dimensional van der Waals crystals</vt:lpwstr>
  </property>
  <property fmtid="{D5CDD505-2E9C-101B-9397-08002B2CF9AE}" pid="5" name="KSOTemplateDocerSaveRecord">
    <vt:lpwstr>eyJoZGlkIjoiOTE4YTE5OTZmNGQyNjBhY2ZiZmU3M2FhMjM3NjY3YWUiLCJ1c2VySWQiOiI2ODIwNzI1NjEifQ==</vt:lpwstr>
  </property>
  <property fmtid="{D5CDD505-2E9C-101B-9397-08002B2CF9AE}" pid="6" name="KSOProductBuildVer">
    <vt:lpwstr>2052-12.1.0.26895</vt:lpwstr>
  </property>
  <property fmtid="{D5CDD505-2E9C-101B-9397-08002B2CF9AE}" pid="7" name="ICV">
    <vt:lpwstr>FCEB2EE93B054C0582A8170BD657F639_13</vt:lpwstr>
  </property>
</Properties>
</file>