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6"/>
        </w:rPr>
        <w:t>BOF ComplianceFlow Pro</w:t>
        <w:br/>
        <w:t>Consolidated DQF Master Pack</w:t>
        <w:br/>
      </w:r>
      <w:r>
        <w:rPr>
          <w:rFonts w:ascii="Arial" w:hAnsi="Arial"/>
          <w:b w:val="0"/>
          <w:color w:val="475569"/>
          <w:sz w:val="20"/>
        </w:rPr>
        <w:t>Canonical source file recommendation for Windsurf / BOF Vault wiring</w:t>
      </w:r>
    </w:p>
    <w:p>
      <w:pPr>
        <w:jc w:val="center"/>
      </w:pPr>
      <w:r>
        <w:rPr>
          <w:rFonts w:ascii="Arial" w:hAnsi="Arial"/>
          <w:b w:val="0"/>
          <w:color w:val="64748B"/>
          <w:sz w:val="18"/>
        </w:rPr>
        <w:t>Prepared from 5 uploaded DQF source packs</w:t>
      </w:r>
    </w:p>
    <w:p>
      <w:r>
        <w:rPr>
          <w:rFonts w:ascii="Arial" w:hAnsi="Arial"/>
          <w:b/>
          <w:sz w:val="22"/>
        </w:rPr>
        <w:t xml:space="preserve">Bottom line: </w:t>
      </w:r>
      <w:r>
        <w:rPr>
          <w:rFonts w:ascii="Arial" w:hAnsi="Arial"/>
          <w:b w:val="0"/>
          <w:sz w:val="22"/>
        </w:rPr>
        <w:t xml:space="preserve">use the merged </w:t>
      </w:r>
      <w:r>
        <w:rPr>
          <w:rFonts w:ascii="Arial" w:hAnsi="Arial"/>
          <w:b/>
          <w:sz w:val="22"/>
        </w:rPr>
        <w:t>driver disqualificarion templates.docx</w:t>
      </w:r>
      <w:r>
        <w:rPr>
          <w:rFonts w:ascii="Arial" w:hAnsi="Arial"/>
          <w:b w:val="0"/>
          <w:sz w:val="22"/>
        </w:rPr>
        <w:t xml:space="preserve"> as the base, but update and split it into DQF Core vs BOF Operational/Supporting Forms.</w:t>
      </w:r>
    </w:p>
    <w:p>
      <w:pPr>
        <w:pStyle w:val="Heading1"/>
      </w:pPr>
      <w:r>
        <w:t>Recommended disposition by source pack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20"/>
              </w:rPr>
              <w:t>Source file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/>
                <w:sz w:val="20"/>
              </w:rPr>
              <w:t>Use?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/>
                <w:sz w:val="20"/>
              </w:rPr>
              <w:t>Reason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/>
                <w:sz w:val="20"/>
              </w:rPr>
              <w:t>Action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driver disqualificarion templates.docx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Yes — best base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Already merges FMCSA 4-Pack + Onboarding 10-Pack + updated SPH and drug-test logic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Use as base but separate DQF core from operational docs; fix typos/naming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Operational_Onboarding_Templates_10Pack.docx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Mostly duplicate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Its 10 docs are duplicated by Sections 5–14 of the base file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Retire after cross-check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FMSCA_Required_Documents_4Pack.docx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Duplicate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Its 4 docs are duplicated by Sections 1–4 of the base file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Retire after cross-check; correct FMCSA spelling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FMCSA_DQF_Next10_Templates.docx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Keep selectively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Contains 8 unique or better DQF forms; 2 are superseded by improved versions in the base file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Pull forms 1,2,4,5,6,7,8,9; supersede 3 and 10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Unified_DQR_7_Documents_Compliance_2026.docx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Keep partially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Strongest source for Driver Application / DQF master application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8"/>
              </w:rPr>
              <w:t>Use for canonical Driver Application / Qualification Record</w:t>
            </w:r>
          </w:p>
        </w:tc>
      </w:tr>
    </w:tbl>
    <w:p>
      <w:pPr>
        <w:pStyle w:val="Heading1"/>
      </w:pPr>
      <w:r>
        <w:t>What is duplicated / superseded</w:t>
      </w:r>
    </w:p>
    <w:p>
      <w:pPr>
        <w:pStyle w:val="ListBullet"/>
      </w:pPr>
      <w:r>
        <w:rPr>
          <w:rFonts w:ascii="Arial" w:hAnsi="Arial"/>
          <w:b w:val="0"/>
          <w:sz w:val="20"/>
        </w:rPr>
        <w:t>Operational Onboarding 10-Pack docs #1–10 are duplicated by Sections 5–14 of the merged base file.</w:t>
      </w:r>
    </w:p>
    <w:p>
      <w:pPr>
        <w:pStyle w:val="ListBullet"/>
      </w:pPr>
      <w:r>
        <w:rPr>
          <w:rFonts w:ascii="Arial" w:hAnsi="Arial"/>
          <w:b w:val="0"/>
          <w:sz w:val="20"/>
        </w:rPr>
        <w:t>FMCSA Required Documents 4-Pack docs #1–4 are duplicated by Sections 1–4 of the merged base file.</w:t>
      </w:r>
    </w:p>
    <w:p>
      <w:pPr>
        <w:pStyle w:val="ListBullet"/>
      </w:pPr>
      <w:r>
        <w:rPr>
          <w:rFonts w:ascii="Arial" w:hAnsi="Arial"/>
          <w:b w:val="0"/>
          <w:sz w:val="20"/>
        </w:rPr>
        <w:t>FMCSA Next10 #3 SPH Request is superseded by Section 15 of the merged base file because the newer version adds Driver Release and explicit Good Faith workflow.</w:t>
      </w:r>
    </w:p>
    <w:p>
      <w:pPr>
        <w:pStyle w:val="ListBullet"/>
      </w:pPr>
      <w:r>
        <w:rPr>
          <w:rFonts w:ascii="Arial" w:hAnsi="Arial"/>
          <w:b w:val="0"/>
          <w:sz w:val="20"/>
        </w:rPr>
        <w:t>FMCSA Next10 #10 Drug &amp; Alcohol Pre-Employment Test Result is superseded by Section 16 of the merged base file because the newer version adds Negative-Dilute and re-test logic.</w:t>
      </w:r>
    </w:p>
    <w:p>
      <w:pPr>
        <w:pStyle w:val="Heading1"/>
      </w:pPr>
      <w:r>
        <w:t>What should be updated</w:t>
      </w:r>
    </w:p>
    <w:p>
      <w:pPr>
        <w:pStyle w:val="ListBullet"/>
      </w:pPr>
      <w:r>
        <w:rPr>
          <w:rFonts w:ascii="Arial" w:hAnsi="Arial"/>
          <w:b w:val="0"/>
          <w:sz w:val="20"/>
        </w:rPr>
        <w:t>Fix naming: use FMCSA, not FMSCA. Rename the base file to a clean master-pack name.</w:t>
      </w:r>
    </w:p>
    <w:p>
      <w:pPr>
        <w:pStyle w:val="ListBullet"/>
      </w:pPr>
      <w:r>
        <w:rPr>
          <w:rFonts w:ascii="Arial" w:hAnsi="Arial"/>
          <w:b w:val="0"/>
          <w:sz w:val="20"/>
        </w:rPr>
        <w:t>Separate DQF core records from BOF operational/onboarding forms. Operational forms may live in Vault, but they are not FMCSA DQF core.</w:t>
      </w:r>
    </w:p>
    <w:p>
      <w:pPr>
        <w:pStyle w:val="ListBullet"/>
      </w:pPr>
      <w:r>
        <w:rPr>
          <w:rFonts w:ascii="Arial" w:hAnsi="Arial"/>
          <w:b w:val="0"/>
          <w:sz w:val="20"/>
        </w:rPr>
        <w:t>Use the Unified DQR file as the source for the canonical Driver Application / Qualification Record because it has the strongest residency, equipment, gap, and safety-history structure.</w:t>
      </w:r>
    </w:p>
    <w:p>
      <w:pPr>
        <w:pStyle w:val="ListBullet"/>
      </w:pPr>
      <w:r>
        <w:rPr>
          <w:rFonts w:ascii="Arial" w:hAnsi="Arial"/>
          <w:b w:val="0"/>
          <w:sz w:val="20"/>
        </w:rPr>
        <w:t>Keep the upgraded Good Faith employer-inquiry table with Contact Name/Title.</w:t>
      </w:r>
    </w:p>
    <w:p>
      <w:pPr>
        <w:pStyle w:val="ListBullet"/>
      </w:pPr>
      <w:r>
        <w:rPr>
          <w:rFonts w:ascii="Arial" w:hAnsi="Arial"/>
          <w:b w:val="0"/>
          <w:sz w:val="20"/>
        </w:rPr>
        <w:t>Keep the upgraded drug-test logic that distinguishes Negative-Dilute and can trigger a re-test workflow.</w:t>
      </w:r>
    </w:p>
    <w:p>
      <w:pPr>
        <w:pStyle w:val="ListBullet"/>
      </w:pPr>
      <w:r>
        <w:rPr>
          <w:rFonts w:ascii="Arial" w:hAnsi="Arial"/>
          <w:b w:val="0"/>
          <w:sz w:val="20"/>
        </w:rPr>
        <w:t>Add a vehicle/configuration-tested field to the Road Test Certificate so BOF can later support tanker/configuration gating.</w:t>
      </w:r>
    </w:p>
    <w:p>
      <w:pPr>
        <w:pStyle w:val="ListBullet"/>
      </w:pPr>
      <w:r>
        <w:rPr>
          <w:rFonts w:ascii="Arial" w:hAnsi="Arial"/>
          <w:b w:val="0"/>
          <w:sz w:val="20"/>
        </w:rPr>
        <w:t>Treat emergency contact and bank information as BOF Vault driver records, not DQF-core records.</w:t>
      </w:r>
    </w:p>
    <w:p>
      <w:pPr>
        <w:pStyle w:val="Heading1"/>
      </w:pPr>
      <w:r>
        <w:t>Recommended consolidated master pack</w:t>
      </w:r>
    </w:p>
    <w:p>
      <w:r>
        <w:rPr>
          <w:rFonts w:ascii="Arial" w:hAnsi="Arial"/>
          <w:b/>
          <w:sz w:val="22"/>
        </w:rPr>
        <w:t xml:space="preserve">Structure the final upload as two sections inside one file: </w:t>
      </w:r>
      <w:r>
        <w:rPr>
          <w:rFonts w:ascii="Arial" w:hAnsi="Arial"/>
          <w:b w:val="0"/>
          <w:sz w:val="22"/>
        </w:rPr>
        <w:t>DQF Core and BOF Operational / Supporting Forms.</w:t>
      </w:r>
    </w:p>
    <w:p>
      <w:pPr>
        <w:pStyle w:val="Heading2"/>
      </w:pPr>
      <w:r>
        <w:t>A. DQF Core documents</w:t>
      </w:r>
    </w:p>
    <w:p>
      <w:pPr>
        <w:pStyle w:val="ListNumber"/>
      </w:pPr>
      <w:r>
        <w:rPr>
          <w:rFonts w:ascii="Arial" w:hAnsi="Arial"/>
          <w:b w:val="0"/>
          <w:sz w:val="20"/>
        </w:rPr>
        <w:t>Driver Qualification Record — Driver Application (from Unified DQR)</w:t>
      </w:r>
    </w:p>
    <w:p>
      <w:pPr>
        <w:pStyle w:val="ListNumber"/>
      </w:pPr>
      <w:r>
        <w:rPr>
          <w:rFonts w:ascii="Arial" w:hAnsi="Arial"/>
          <w:b w:val="0"/>
          <w:sz w:val="20"/>
        </w:rPr>
        <w:t>Driver Inquiry to State Agencies — MVR Request Record</w:t>
      </w:r>
    </w:p>
    <w:p>
      <w:pPr>
        <w:pStyle w:val="ListNumber"/>
      </w:pPr>
      <w:r>
        <w:rPr>
          <w:rFonts w:ascii="Arial" w:hAnsi="Arial"/>
          <w:b w:val="0"/>
          <w:sz w:val="20"/>
        </w:rPr>
        <w:t>Certificate of Violations — Annual List of Violations</w:t>
      </w:r>
    </w:p>
    <w:p>
      <w:pPr>
        <w:pStyle w:val="ListNumber"/>
      </w:pPr>
      <w:r>
        <w:rPr>
          <w:rFonts w:ascii="Arial" w:hAnsi="Arial"/>
          <w:b w:val="0"/>
          <w:sz w:val="20"/>
        </w:rPr>
        <w:t>Annual Review of Driving Record — Carrier Evaluation</w:t>
      </w:r>
    </w:p>
    <w:p>
      <w:pPr>
        <w:pStyle w:val="ListNumber"/>
      </w:pPr>
      <w:r>
        <w:rPr>
          <w:rFonts w:ascii="Arial" w:hAnsi="Arial"/>
          <w:b w:val="0"/>
          <w:sz w:val="20"/>
        </w:rPr>
        <w:t>Medical Examiner’s Certificate — Verification / Upload Record</w:t>
      </w:r>
    </w:p>
    <w:p>
      <w:pPr>
        <w:pStyle w:val="ListNumber"/>
      </w:pPr>
      <w:r>
        <w:rPr>
          <w:rFonts w:ascii="Arial" w:hAnsi="Arial"/>
          <w:b w:val="0"/>
          <w:sz w:val="20"/>
        </w:rPr>
        <w:t>Driver License &amp; CDL Copy Placeholder</w:t>
      </w:r>
    </w:p>
    <w:p>
      <w:pPr>
        <w:pStyle w:val="ListNumber"/>
      </w:pPr>
      <w:r>
        <w:rPr>
          <w:rFonts w:ascii="Arial" w:hAnsi="Arial"/>
          <w:b w:val="0"/>
          <w:sz w:val="20"/>
        </w:rPr>
        <w:t>PSP Consent Form</w:t>
      </w:r>
    </w:p>
    <w:p>
      <w:pPr>
        <w:pStyle w:val="ListNumber"/>
      </w:pPr>
      <w:r>
        <w:rPr>
          <w:rFonts w:ascii="Arial" w:hAnsi="Arial"/>
          <w:b w:val="0"/>
          <w:sz w:val="20"/>
        </w:rPr>
        <w:t>Clearinghouse Full Query Consent</w:t>
      </w:r>
    </w:p>
    <w:p>
      <w:pPr>
        <w:pStyle w:val="ListNumber"/>
      </w:pPr>
      <w:r>
        <w:rPr>
          <w:rFonts w:ascii="Arial" w:hAnsi="Arial"/>
          <w:b w:val="0"/>
          <w:sz w:val="20"/>
        </w:rPr>
        <w:t>Safety Performance History (SPH) Request — with Driver Release + Good Faith logging hook</w:t>
      </w:r>
    </w:p>
    <w:p>
      <w:pPr>
        <w:pStyle w:val="ListNumber"/>
      </w:pPr>
      <w:r>
        <w:rPr>
          <w:rFonts w:ascii="Arial" w:hAnsi="Arial"/>
          <w:b w:val="0"/>
          <w:sz w:val="20"/>
        </w:rPr>
        <w:t>Previous Employer Drug &amp; Alcohol History Attempt Log / Good Faith Effort Log</w:t>
      </w:r>
    </w:p>
    <w:p>
      <w:pPr>
        <w:pStyle w:val="ListNumber"/>
      </w:pPr>
      <w:r>
        <w:rPr>
          <w:rFonts w:ascii="Arial" w:hAnsi="Arial"/>
          <w:b w:val="0"/>
          <w:sz w:val="20"/>
        </w:rPr>
        <w:t>Safety Performance History (SPH) Response Summary</w:t>
      </w:r>
    </w:p>
    <w:p>
      <w:pPr>
        <w:pStyle w:val="ListNumber"/>
      </w:pPr>
      <w:r>
        <w:rPr>
          <w:rFonts w:ascii="Arial" w:hAnsi="Arial"/>
          <w:b w:val="0"/>
          <w:sz w:val="20"/>
        </w:rPr>
        <w:t>Drug &amp; Alcohol Pre-Employment Test Result / CCF Summary (updated Negative-Dilute logic)</w:t>
      </w:r>
    </w:p>
    <w:p>
      <w:pPr>
        <w:pStyle w:val="ListNumber"/>
      </w:pPr>
      <w:r>
        <w:rPr>
          <w:rFonts w:ascii="Arial" w:hAnsi="Arial"/>
          <w:b w:val="0"/>
          <w:sz w:val="20"/>
        </w:rPr>
        <w:t>Road Test Certificate</w:t>
      </w:r>
    </w:p>
    <w:p>
      <w:pPr>
        <w:pStyle w:val="ListNumber"/>
      </w:pPr>
      <w:r>
        <w:rPr>
          <w:rFonts w:ascii="Arial" w:hAnsi="Arial"/>
          <w:b w:val="0"/>
          <w:sz w:val="20"/>
        </w:rPr>
        <w:t>Road Test Examiner Qualification Record</w:t>
      </w:r>
    </w:p>
    <w:p>
      <w:pPr>
        <w:pStyle w:val="ListNumber"/>
      </w:pPr>
      <w:r>
        <w:rPr>
          <w:rFonts w:ascii="Arial" w:hAnsi="Arial"/>
          <w:b w:val="0"/>
          <w:sz w:val="20"/>
        </w:rPr>
        <w:t>Road Test Waiver — CDL Skills Test Exemption</w:t>
      </w:r>
    </w:p>
    <w:p>
      <w:pPr>
        <w:pStyle w:val="Heading2"/>
      </w:pPr>
      <w:r>
        <w:t>B. BOF operational / supporting forms</w:t>
      </w:r>
    </w:p>
    <w:p>
      <w:pPr>
        <w:pStyle w:val="ListNumber"/>
      </w:pPr>
      <w:r>
        <w:rPr>
          <w:rFonts w:ascii="Arial" w:hAnsi="Arial"/>
          <w:b w:val="0"/>
          <w:sz w:val="20"/>
        </w:rPr>
        <w:t>Driver Assignment Sheet</w:t>
      </w:r>
    </w:p>
    <w:p>
      <w:pPr>
        <w:pStyle w:val="ListNumber"/>
      </w:pPr>
      <w:r>
        <w:rPr>
          <w:rFonts w:ascii="Arial" w:hAnsi="Arial"/>
          <w:b w:val="0"/>
          <w:sz w:val="20"/>
        </w:rPr>
        <w:t>Pre-Trip Readiness Summary</w:t>
      </w:r>
    </w:p>
    <w:p>
      <w:pPr>
        <w:pStyle w:val="ListNumber"/>
      </w:pPr>
      <w:r>
        <w:rPr>
          <w:rFonts w:ascii="Arial" w:hAnsi="Arial"/>
          <w:b w:val="0"/>
          <w:sz w:val="20"/>
        </w:rPr>
        <w:t>Load-Specific Driver Instruction Sheet</w:t>
      </w:r>
    </w:p>
    <w:p>
      <w:pPr>
        <w:pStyle w:val="ListNumber"/>
      </w:pPr>
      <w:r>
        <w:rPr>
          <w:rFonts w:ascii="Arial" w:hAnsi="Arial"/>
          <w:b w:val="0"/>
          <w:sz w:val="20"/>
        </w:rPr>
        <w:t>Facility Rules Acknowledgment</w:t>
      </w:r>
    </w:p>
    <w:p>
      <w:pPr>
        <w:pStyle w:val="ListNumber"/>
      </w:pPr>
      <w:r>
        <w:rPr>
          <w:rFonts w:ascii="Arial" w:hAnsi="Arial"/>
          <w:b w:val="0"/>
          <w:sz w:val="20"/>
        </w:rPr>
        <w:t>Driver Proof Requirements Sheet</w:t>
      </w:r>
    </w:p>
    <w:p>
      <w:pPr>
        <w:pStyle w:val="ListNumber"/>
      </w:pPr>
      <w:r>
        <w:rPr>
          <w:rFonts w:ascii="Arial" w:hAnsi="Arial"/>
          <w:b w:val="0"/>
          <w:sz w:val="20"/>
        </w:rPr>
        <w:t>Dispatch Release Checklist</w:t>
      </w:r>
    </w:p>
    <w:p>
      <w:pPr>
        <w:pStyle w:val="ListNumber"/>
      </w:pPr>
      <w:r>
        <w:rPr>
          <w:rFonts w:ascii="Arial" w:hAnsi="Arial"/>
          <w:b w:val="0"/>
          <w:sz w:val="20"/>
        </w:rPr>
        <w:t>Driver Compliance Reminder / Missing Docs Notice</w:t>
      </w:r>
    </w:p>
    <w:p>
      <w:pPr>
        <w:pStyle w:val="ListNumber"/>
      </w:pPr>
      <w:r>
        <w:rPr>
          <w:rFonts w:ascii="Arial" w:hAnsi="Arial"/>
          <w:b w:val="0"/>
          <w:sz w:val="20"/>
        </w:rPr>
        <w:t>Orientation Checklist</w:t>
      </w:r>
    </w:p>
    <w:p>
      <w:pPr>
        <w:pStyle w:val="ListNumber"/>
      </w:pPr>
      <w:r>
        <w:rPr>
          <w:rFonts w:ascii="Arial" w:hAnsi="Arial"/>
          <w:b w:val="0"/>
          <w:sz w:val="20"/>
        </w:rPr>
        <w:t>Driver Handbook Acknowledgment</w:t>
      </w:r>
    </w:p>
    <w:p>
      <w:pPr>
        <w:pStyle w:val="ListNumber"/>
      </w:pPr>
      <w:r>
        <w:rPr>
          <w:rFonts w:ascii="Arial" w:hAnsi="Arial"/>
          <w:b w:val="0"/>
          <w:sz w:val="20"/>
        </w:rPr>
        <w:t>Equipment Responsibility Agreement</w:t>
      </w:r>
    </w:p>
    <w:p>
      <w:pPr>
        <w:pStyle w:val="Heading1"/>
      </w:pPr>
      <w:r>
        <w:t>Recommended upload filename</w:t>
      </w:r>
    </w:p>
    <w:p>
      <w:r>
        <w:rPr>
          <w:rFonts w:ascii="Arial" w:hAnsi="Arial"/>
          <w:b/>
          <w:sz w:val="22"/>
        </w:rPr>
        <w:t>BOF_ComplianceFlow_Pro_DQF_Master_Pack_2026.docx</w:t>
      </w:r>
    </w:p>
    <w:p>
      <w:pPr>
        <w:pStyle w:val="Heading1"/>
      </w:pPr>
      <w:r>
        <w:t>Appendix — duplicate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Arial" w:hAnsi="Arial"/>
                <w:b/>
                <w:sz w:val="20"/>
              </w:rPr>
              <w:t>Source item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/>
                <w:sz w:val="20"/>
              </w:rPr>
              <w:t>Disposition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Operational_Onboarding_10Pack #1–10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Duplicated by merged base file Sections 5–14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Superseded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FMSCA_Required_Documents_4Pack #1–4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Duplicated by merged base file Sections 1–4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Superseded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FMCSA_DQF_Next10 #3 SPH Request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Superseded by merged base file Section 15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Superseded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FMCSA_DQF_Next10 #10 Drug Test Summary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Superseded by merged base file Section 16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Superseded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FMCSA_DQF_Next10 #1,2,4,5,6,7,8,9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Not duplicated in full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Keep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Unified_DQR_7 file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Not duplicated in full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 w:val="0"/>
                <w:sz w:val="18"/>
              </w:rPr>
              <w:t>Keep as DQF application source</w:t>
            </w:r>
          </w:p>
        </w:tc>
      </w:tr>
    </w:tbl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