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78" w:rsidRPr="00065F7F" w:rsidRDefault="00471478" w:rsidP="00471478">
      <w:pPr>
        <w:rPr>
          <w:rFonts w:ascii="Times New Roman" w:hAnsi="Times New Roman" w:cs="Times New Roman"/>
          <w:sz w:val="36"/>
          <w:szCs w:val="36"/>
        </w:rPr>
      </w:pPr>
      <w:r w:rsidRPr="00065F7F">
        <w:rPr>
          <w:rFonts w:ascii="Times New Roman" w:hAnsi="Times New Roman" w:cs="Times New Roman"/>
          <w:sz w:val="36"/>
          <w:szCs w:val="36"/>
        </w:rPr>
        <w:t>Chapter 5.  Simulation and Performance Evaluation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sz w:val="28"/>
          <w:szCs w:val="28"/>
        </w:rPr>
      </w:pPr>
    </w:p>
    <w:p w:rsidR="00471478" w:rsidRPr="00065F7F" w:rsidRDefault="00471478" w:rsidP="0047147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  </w:t>
      </w:r>
      <w:r w:rsidRPr="00065F7F">
        <w:rPr>
          <w:rFonts w:ascii="Times New Roman" w:hAnsi="Times New Roman" w:cs="Times New Roman"/>
          <w:kern w:val="0"/>
          <w:szCs w:val="24"/>
        </w:rPr>
        <w:t xml:space="preserve">To verify the feasibility of proposed </w:t>
      </w:r>
      <w:r w:rsidRPr="00065F7F">
        <w:rPr>
          <w:rFonts w:ascii="Times New Roman" w:hAnsi="Times New Roman" w:cs="Times New Roman"/>
          <w:szCs w:val="24"/>
        </w:rPr>
        <w:t>strategy</w:t>
      </w:r>
      <w:r w:rsidRPr="00065F7F">
        <w:rPr>
          <w:rFonts w:ascii="Times New Roman" w:hAnsi="Times New Roman" w:cs="Times New Roman"/>
          <w:kern w:val="0"/>
          <w:szCs w:val="24"/>
        </w:rPr>
        <w:t xml:space="preserve">, we </w:t>
      </w:r>
      <w:r>
        <w:rPr>
          <w:rFonts w:ascii="Times New Roman" w:hAnsi="Times New Roman" w:cs="Times New Roman" w:hint="eastAsia"/>
          <w:kern w:val="0"/>
          <w:szCs w:val="24"/>
        </w:rPr>
        <w:t>s</w:t>
      </w:r>
      <w:r>
        <w:rPr>
          <w:rFonts w:ascii="Times New Roman" w:hAnsi="Times New Roman" w:cs="Times New Roman"/>
          <w:kern w:val="0"/>
          <w:szCs w:val="24"/>
        </w:rPr>
        <w:t>imulate the proposed approach in a cubic indoor environment, 15 * 20 * 2.3 (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kern w:val="0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kern w:val="0"/>
          <w:szCs w:val="24"/>
        </w:rPr>
        <w:t xml:space="preserve">), </w:t>
      </w:r>
      <w:r w:rsidRPr="00065F7F">
        <w:rPr>
          <w:rFonts w:ascii="Times New Roman" w:hAnsi="Times New Roman" w:cs="Times New Roman"/>
          <w:kern w:val="0"/>
          <w:szCs w:val="24"/>
        </w:rPr>
        <w:t>by using Python programming language</w:t>
      </w:r>
      <w:r w:rsidRPr="00065F7F">
        <w:rPr>
          <w:rFonts w:ascii="Times New Roman" w:hAnsi="Times New Roman" w:cs="Times New Roman"/>
        </w:rPr>
        <w:t xml:space="preserve">. In section 5.1, we describe the experimental setting. NSGA-II convergence experiments are demonstrated in section 5.2 afterwards. Finally, we compare the proposed method with Jian </w:t>
      </w:r>
      <w:r w:rsidRPr="00065F7F">
        <w:rPr>
          <w:rFonts w:ascii="Times New Roman" w:hAnsi="Times New Roman" w:cs="Times New Roman"/>
          <w:i/>
          <w:szCs w:val="24"/>
        </w:rPr>
        <w:t>et al.</w:t>
      </w:r>
      <w:r w:rsidRPr="00065F7F">
        <w:rPr>
          <w:rFonts w:ascii="Times New Roman" w:hAnsi="Times New Roman" w:cs="Times New Roman"/>
          <w:szCs w:val="24"/>
        </w:rPr>
        <w:t>’s</w:t>
      </w:r>
      <w:r w:rsidRPr="00065F7F">
        <w:rPr>
          <w:rFonts w:ascii="Times New Roman" w:hAnsi="Times New Roman" w:cs="Times New Roman"/>
          <w:i/>
          <w:szCs w:val="24"/>
        </w:rPr>
        <w:t xml:space="preserve"> </w:t>
      </w:r>
      <w:r w:rsidRPr="00065F7F">
        <w:rPr>
          <w:rFonts w:ascii="Times New Roman" w:hAnsi="Times New Roman" w:cs="Times New Roman"/>
          <w:szCs w:val="24"/>
        </w:rPr>
        <w:t xml:space="preserve">SABC approach and </w:t>
      </w:r>
      <w:r w:rsidRPr="00065F7F">
        <w:rPr>
          <w:rFonts w:ascii="Times New Roman" w:hAnsi="Times New Roman" w:cs="Times New Roman"/>
        </w:rPr>
        <w:t xml:space="preserve">Jian </w:t>
      </w:r>
      <w:r w:rsidRPr="00065F7F">
        <w:rPr>
          <w:rFonts w:ascii="Times New Roman" w:hAnsi="Times New Roman" w:cs="Times New Roman"/>
          <w:i/>
          <w:szCs w:val="24"/>
        </w:rPr>
        <w:t>et al.</w:t>
      </w:r>
      <w:r w:rsidRPr="00065F7F">
        <w:rPr>
          <w:rFonts w:ascii="Times New Roman" w:hAnsi="Times New Roman" w:cs="Times New Roman"/>
          <w:szCs w:val="24"/>
        </w:rPr>
        <w:t>’s LSABC approach</w:t>
      </w:r>
      <w:r w:rsidRPr="00065F7F">
        <w:rPr>
          <w:rFonts w:ascii="Times New Roman" w:hAnsi="Times New Roman" w:cs="Times New Roman"/>
          <w:kern w:val="0"/>
          <w:szCs w:val="24"/>
        </w:rPr>
        <w:t xml:space="preserve"> in terms of </w:t>
      </w:r>
      <w:r w:rsidRPr="00065F7F">
        <w:rPr>
          <w:rFonts w:ascii="Times New Roman" w:hAnsi="Times New Roman" w:cs="Times New Roman"/>
          <w:szCs w:val="24"/>
        </w:rPr>
        <w:t>the number of charging stations and the overall charging power in section 5.3.</w:t>
      </w:r>
    </w:p>
    <w:p w:rsidR="00471478" w:rsidRPr="00065F7F" w:rsidRDefault="00471478" w:rsidP="004714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478" w:rsidRPr="00065F7F" w:rsidRDefault="00471478" w:rsidP="00471478">
      <w:pPr>
        <w:rPr>
          <w:rFonts w:ascii="Times New Roman" w:hAnsi="Times New Roman" w:cs="Times New Roman"/>
          <w:sz w:val="32"/>
          <w:szCs w:val="32"/>
        </w:rPr>
      </w:pPr>
      <w:r w:rsidRPr="00065F7F">
        <w:rPr>
          <w:rFonts w:ascii="Times New Roman" w:hAnsi="Times New Roman" w:cs="Times New Roman"/>
          <w:sz w:val="32"/>
          <w:szCs w:val="32"/>
        </w:rPr>
        <w:t>5.1 Experimental Setting</w:t>
      </w:r>
    </w:p>
    <w:p w:rsidR="00471478" w:rsidRPr="00065F7F" w:rsidRDefault="00471478" w:rsidP="00471478">
      <w:pPr>
        <w:spacing w:line="360" w:lineRule="auto"/>
        <w:jc w:val="both"/>
        <w:rPr>
          <w:rFonts w:ascii="Times New Roman" w:hAnsi="Times New Roman" w:cs="Times New Roman"/>
        </w:rPr>
      </w:pPr>
      <w:r w:rsidRPr="0006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In the simulation experiment,</w:t>
      </w:r>
      <w:r w:rsidRPr="00065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065F7F">
        <w:rPr>
          <w:rFonts w:ascii="Times New Roman" w:hAnsi="Times New Roman" w:cs="Times New Roman"/>
        </w:rPr>
        <w:t xml:space="preserve">he sensor nodes are randomly deployed on the ground. </w:t>
      </w:r>
      <w:r>
        <w:rPr>
          <w:rFonts w:ascii="Times New Roman" w:hAnsi="Times New Roman" w:cs="Times New Roman"/>
        </w:rPr>
        <w:t>For a charging station, t</w:t>
      </w:r>
      <w:r w:rsidRPr="00065F7F">
        <w:rPr>
          <w:rFonts w:ascii="Times New Roman" w:hAnsi="Times New Roman" w:cs="Times New Roman"/>
        </w:rPr>
        <w:t>he effectual charging distance is 3(m) and</w:t>
      </w:r>
      <w:r>
        <w:rPr>
          <w:rFonts w:ascii="Times New Roman" w:hAnsi="Times New Roman" w:cs="Times New Roman"/>
        </w:rPr>
        <w:t xml:space="preserve"> the angle</w:t>
      </w:r>
      <w:r w:rsidRPr="00065F7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065F7F">
        <w:rPr>
          <w:rFonts w:ascii="Times New Roman" w:hAnsi="Times New Roman" w:cs="Times New Roman"/>
        </w:rPr>
        <w:t xml:space="preserve"> is set</w:t>
      </w:r>
      <w:r>
        <w:rPr>
          <w:rFonts w:ascii="Times New Roman" w:hAnsi="Times New Roman" w:cs="Times New Roman"/>
        </w:rPr>
        <w:t xml:space="preserve"> to</w:t>
      </w:r>
      <w:r w:rsidRPr="00065F7F">
        <w:rPr>
          <w:rFonts w:ascii="Times New Roman" w:hAnsi="Times New Roman" w:cs="Times New Roman"/>
        </w:rPr>
        <w:t xml:space="preserve"> 30</w:t>
      </w:r>
      <m:oMath>
        <m:r>
          <m:rPr>
            <m:sty m:val="p"/>
          </m:rPr>
          <w:rPr>
            <w:rFonts w:ascii="Cambria Math" w:hAnsi="Cambria Math" w:cs="Times New Roman"/>
          </w:rPr>
          <m:t>°</m:t>
        </m:r>
      </m:oMath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&lt;EndNote&gt;&lt;Cite&gt;&lt;Author&gt;Jiang&lt;/Author&gt;&lt;Year&gt;2018&lt;/Year&gt;&lt;RecNum&gt;7&lt;/RecNum&gt;&lt;DisplayText&gt;[21]&lt;/DisplayText&gt;&lt;record&gt;&lt;rec-number&gt;7&lt;/rec-number&gt;&lt;foreign-keys&gt;&lt;key app="EN" db-id="vtwrtwswtf5a0eer2w85rv0peepdp0zwfsps" timestamp="1566800433"&gt;7&lt;/key&gt;&lt;/foreign-keys&gt;&lt;ref-type name="Journal Article"&gt;17&lt;/ref-type&gt;&lt;contributors&gt;&lt;authors&gt;&lt;author&gt;Jiang, Jehn-Ruey&lt;/author&gt;&lt;author&gt;Chen, Yen-Chung&lt;/author&gt;&lt;author&gt;Lin, Ting-Yu&lt;/author&gt;&lt;/authors&gt;&lt;/contributors&gt;&lt;titles&gt;&lt;title&gt;Particle swarm optimization for charger deployment in wireless rechargeable sensor networks&lt;/title&gt;&lt;secondary-title&gt;International Journal of Parallel, Emergent and Distributed Systems&lt;/secondary-title&gt;&lt;/titles&gt;&lt;periodical&gt;&lt;full-title&gt;International Journal of Parallel, Emergent and Distributed Systems&lt;/full-title&gt;&lt;/periodical&gt;&lt;pages&gt;1-16&lt;/pages&gt;&lt;dates&gt;&lt;year&gt;2018&lt;/year&gt;&lt;/dates&gt;&lt;isbn&gt;1744-5760&lt;/isbn&gt;&lt;urls&gt;&lt;/urls&gt;&lt;/record&gt;&lt;/Cite&gt;&lt;/EndNote&gt;</w:instrText>
      </w:r>
      <w:r w:rsidRPr="00065F7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[21]</w:t>
      </w:r>
      <w:r w:rsidRPr="00065F7F">
        <w:rPr>
          <w:rFonts w:ascii="Times New Roman" w:hAnsi="Times New Roman" w:cs="Times New Roman"/>
        </w:rPr>
        <w:fldChar w:fldCharType="end"/>
      </w:r>
      <w:r w:rsidRPr="00065F7F">
        <w:rPr>
          <w:rFonts w:ascii="Times New Roman" w:hAnsi="Times New Roman" w:cs="Times New Roman"/>
        </w:rPr>
        <w:t xml:space="preserve">. Number of sensor nodes are set </w:t>
      </w:r>
      <w:r>
        <w:rPr>
          <w:rFonts w:ascii="Times New Roman" w:hAnsi="Times New Roman" w:cs="Times New Roman"/>
        </w:rPr>
        <w:t>vary from</w:t>
      </w:r>
      <w:r w:rsidRPr="00065F7F">
        <w:rPr>
          <w:rFonts w:ascii="Times New Roman" w:hAnsi="Times New Roman" w:cs="Times New Roman"/>
        </w:rPr>
        <w:t xml:space="preserve"> 25 to 125</w:t>
      </w:r>
      <w:r>
        <w:rPr>
          <w:rFonts w:ascii="Times New Roman" w:hAnsi="Times New Roman" w:cs="Times New Roman"/>
        </w:rPr>
        <w:t xml:space="preserve"> with increment of 25</w:t>
      </w:r>
      <w:r w:rsidRPr="00065F7F">
        <w:rPr>
          <w:rFonts w:ascii="Times New Roman" w:hAnsi="Times New Roman" w:cs="Times New Roman"/>
        </w:rPr>
        <w:t xml:space="preserve">. According to </w:t>
      </w:r>
      <w:proofErr w:type="spellStart"/>
      <w:r w:rsidRPr="00065F7F">
        <w:rPr>
          <w:rFonts w:ascii="Times New Roman" w:hAnsi="Times New Roman" w:cs="Times New Roman"/>
        </w:rPr>
        <w:t>powercast's</w:t>
      </w:r>
      <w:proofErr w:type="spellEnd"/>
      <w:r w:rsidRPr="00065F7F">
        <w:rPr>
          <w:rFonts w:ascii="Times New Roman" w:hAnsi="Times New Roman" w:cs="Times New Roman"/>
        </w:rPr>
        <w:t xml:space="preserve"> products, frequency</w:t>
      </w:r>
      <w:r>
        <w:rPr>
          <w:rFonts w:ascii="Times New Roman" w:hAnsi="Times New Roman" w:cs="Times New Roman"/>
        </w:rPr>
        <w:t xml:space="preserve"> of</w:t>
      </w:r>
      <w:r w:rsidRPr="00065F7F">
        <w:rPr>
          <w:rFonts w:ascii="Times New Roman" w:hAnsi="Times New Roman" w:cs="Times New Roman"/>
        </w:rPr>
        <w:t xml:space="preserve"> charging station</w:t>
      </w:r>
      <w:r>
        <w:rPr>
          <w:rFonts w:ascii="Times New Roman" w:hAnsi="Times New Roman" w:cs="Times New Roman"/>
        </w:rPr>
        <w:t xml:space="preserve"> is set</w:t>
      </w:r>
      <w:r w:rsidRPr="00065F7F">
        <w:rPr>
          <w:rFonts w:ascii="Times New Roman" w:hAnsi="Times New Roman" w:cs="Times New Roman"/>
        </w:rPr>
        <w:t xml:space="preserve"> to 915 </w:t>
      </w:r>
      <w:r w:rsidRPr="00065F7F">
        <w:rPr>
          <w:rFonts w:ascii="Times New Roman" w:hAnsi="Times New Roman" w:cs="Times New Roman"/>
          <w:i/>
        </w:rPr>
        <w:t>MHz</w:t>
      </w:r>
      <w:r w:rsidRPr="00065F7F">
        <w:rPr>
          <w:rFonts w:ascii="Times New Roman" w:hAnsi="Times New Roman" w:cs="Times New Roman"/>
        </w:rPr>
        <w:t xml:space="preserve"> and the transmission power is 3 </w:t>
      </w:r>
      <w:r w:rsidRPr="00065F7F">
        <w:rPr>
          <w:rFonts w:ascii="Times New Roman" w:hAnsi="Times New Roman" w:cs="Times New Roman"/>
          <w:i/>
        </w:rPr>
        <w:t>W EIPR</w:t>
      </w:r>
      <w:r w:rsidRPr="00065F7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Note that as the same with other researches, we assume that</w:t>
      </w:r>
      <w:r w:rsidRPr="00065F7F">
        <w:rPr>
          <w:rFonts w:ascii="Times New Roman" w:hAnsi="Times New Roman" w:cs="Times New Roman"/>
          <w:szCs w:val="24"/>
        </w:rPr>
        <w:t xml:space="preserve"> the charging efficiency is not affected by the number of sensor nodes. In other words, the time required to charge multiple power-depleted sensor nodes is the same as to charge a single one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ADDIN EN.CITE &lt;EndNote&gt;&lt;Cite&gt;&lt;Author&gt;Ma&lt;/Author&gt;&lt;Year&gt;2018&lt;/Year&gt;&lt;RecNum&gt;20&lt;/RecNum&gt;&lt;DisplayText&gt;[22, 23]&lt;/DisplayText&gt;&lt;record&gt;&lt;rec-number&gt;20&lt;/rec-number&gt;&lt;foreign-keys&gt;&lt;key app="EN" db-id="vtwrtwswtf5a0eer2w85rv0peepdp0zwfsps" timestamp="1583396297"&gt;20&lt;/key&gt;&lt;/foreign-keys&gt;&lt;ref-type name="Journal Article"&gt;17&lt;/ref-type&gt;&lt;contributors&gt;&lt;authors&gt;&lt;author&gt;Ma, Yu&lt;/author&gt;&lt;author&gt;Liang, Weifa&lt;/author&gt;&lt;author&gt;Xu, Wenzheng&lt;/author&gt;&lt;/authors&gt;&lt;/contributors&gt;&lt;titles&gt;&lt;title&gt;Charging utility maximization in wireless rechargeable sensor networks by charging multiple sensors simultaneously&lt;/title&gt;&lt;secondary-title&gt;IEEE/ACM Transactions on Networking&lt;/secondary-title&gt;&lt;/titles&gt;&lt;periodical&gt;&lt;full-title&gt;IEEE/ACM Transactions on Networking&lt;/full-title&gt;&lt;/periodical&gt;&lt;pages&gt;1591-1604&lt;/pages&gt;&lt;volume&gt;26&lt;/volume&gt;&lt;number&gt;4&lt;/number&gt;&lt;dates&gt;&lt;year&gt;2018&lt;/year&gt;&lt;/dates&gt;&lt;isbn&gt;1063-6692&lt;/isbn&gt;&lt;urls&gt;&lt;/urls&gt;&lt;/record&gt;&lt;/Cite&gt;&lt;Cite&gt;&lt;Author&gt;Lai&lt;/Author&gt;&lt;Year&gt;2019&lt;/Year&gt;&lt;RecNum&gt;18&lt;/RecNum&gt;&lt;record&gt;&lt;rec-number&gt;18&lt;/rec-number&gt;&lt;foreign-keys&gt;&lt;key app="EN" db-id="vtwrtwswtf5a0eer2w85rv0peepdp0zwfsps" timestamp="1583394504"&gt;18&lt;/key&gt;&lt;/foreign-keys&gt;&lt;ref-type name="Journal Article"&gt;17&lt;/ref-type&gt;&lt;contributors&gt;&lt;authors&gt;&lt;author&gt;Lai, Wei-Yu&lt;/author&gt;&lt;author&gt;Hsiang, Tien-Ruey&lt;/author&gt;&lt;/authors&gt;&lt;/contributors&gt;&lt;titles&gt;&lt;title&gt;Wireless Charging Deployment in Sensor Networks&lt;/title&gt;&lt;secondary-title&gt;Sensors&lt;/secondary-title&gt;&lt;/titles&gt;&lt;periodical&gt;&lt;full-title&gt;Sensors&lt;/full-title&gt;&lt;/periodical&gt;&lt;pages&gt;201&lt;/pages&gt;&lt;volume&gt;19&lt;/volume&gt;&lt;number&gt;1&lt;/number&gt;&lt;dates&gt;&lt;year&gt;2019&lt;/year&gt;&lt;/dates&gt;&lt;urls&gt;&lt;/urls&gt;&lt;/record&gt;&lt;/Cite&gt;&lt;/EndNote&gt;</w:instrText>
      </w:r>
      <w:r w:rsidRPr="00065F7F"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[22, 23]</w:t>
      </w:r>
      <w:r w:rsidRPr="00065F7F">
        <w:rPr>
          <w:rFonts w:ascii="Times New Roman" w:hAnsi="Times New Roman" w:cs="Times New Roman"/>
          <w:szCs w:val="24"/>
        </w:rPr>
        <w:fldChar w:fldCharType="end"/>
      </w:r>
      <w:r w:rsidRPr="00065F7F">
        <w:rPr>
          <w:rFonts w:ascii="Times New Roman" w:hAnsi="Times New Roman" w:cs="Times New Roman"/>
          <w:szCs w:val="24"/>
        </w:rPr>
        <w:t xml:space="preserve"> 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C68BA">
        <w:rPr>
          <w:rFonts w:ascii="Times New Roman" w:hAnsi="Times New Roman" w:cs="Times New Roman"/>
          <w:szCs w:val="24"/>
        </w:rPr>
        <w:t>In order to avoid the algorithm taking too long to execute, we chose a population of 10 as the experimental setting</w:t>
      </w:r>
      <w:r>
        <w:rPr>
          <w:rFonts w:ascii="Times New Roman" w:hAnsi="Times New Roman" w:cs="Times New Roman" w:hint="eastAsia"/>
          <w:szCs w:val="24"/>
        </w:rPr>
        <w:t>.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Cs w:val="24"/>
        </w:rPr>
        <w:t xml:space="preserve">Before </w:t>
      </w:r>
      <w:r>
        <w:rPr>
          <w:rFonts w:ascii="Times New Roman" w:hAnsi="Times New Roman" w:cs="Times New Roman"/>
          <w:szCs w:val="24"/>
        </w:rPr>
        <w:t xml:space="preserve">performing the comparisons between the proposed approach and other approaches, </w:t>
      </w:r>
      <w:r w:rsidRPr="00065F7F">
        <w:rPr>
          <w:rFonts w:ascii="Times New Roman" w:hAnsi="Times New Roman" w:cs="Times New Roman"/>
          <w:szCs w:val="24"/>
        </w:rPr>
        <w:t>the crossover rate and mutation rate should be identified for the proposed NSGA-II approach.</w:t>
      </w:r>
      <w:r>
        <w:rPr>
          <w:rFonts w:ascii="Times New Roman" w:hAnsi="Times New Roman" w:cs="Times New Roman"/>
          <w:szCs w:val="24"/>
        </w:rPr>
        <w:t xml:space="preserve"> </w:t>
      </w:r>
      <w:r w:rsidRPr="00065F7F">
        <w:rPr>
          <w:rFonts w:ascii="Times New Roman" w:hAnsi="Times New Roman" w:cs="Times New Roman"/>
        </w:rPr>
        <w:t>The parameters details are shown in Table 1.</w:t>
      </w:r>
    </w:p>
    <w:p w:rsidR="00471478" w:rsidRPr="00065F7F" w:rsidRDefault="00471478" w:rsidP="00471478">
      <w:pPr>
        <w:autoSpaceDE w:val="0"/>
        <w:autoSpaceDN w:val="0"/>
        <w:adjustRightInd w:val="0"/>
        <w:spacing w:line="360" w:lineRule="auto"/>
        <w:ind w:firstLineChars="100" w:firstLine="24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1A458D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7703AD6" wp14:editId="778DC8C1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274310" cy="4597400"/>
            <wp:effectExtent l="0" t="0" r="254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kern w:val="0"/>
          <w:sz w:val="20"/>
          <w:szCs w:val="20"/>
        </w:rPr>
        <w:t>Table 1. Simulation parameters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sz w:val="28"/>
          <w:szCs w:val="28"/>
        </w:rPr>
      </w:pPr>
      <w:r w:rsidRPr="00065F7F">
        <w:rPr>
          <w:rFonts w:ascii="Times New Roman" w:hAnsi="Times New Roman" w:cs="Times New Roman"/>
          <w:sz w:val="28"/>
          <w:szCs w:val="28"/>
        </w:rPr>
        <w:br w:type="page"/>
      </w:r>
    </w:p>
    <w:p w:rsidR="00471478" w:rsidRPr="00065F7F" w:rsidRDefault="00471478" w:rsidP="00471478">
      <w:pPr>
        <w:rPr>
          <w:rFonts w:ascii="Times New Roman" w:hAnsi="Times New Roman" w:cs="Times New Roman"/>
          <w:sz w:val="32"/>
          <w:szCs w:val="32"/>
        </w:rPr>
      </w:pPr>
      <w:r w:rsidRPr="00065F7F">
        <w:rPr>
          <w:rFonts w:ascii="Times New Roman" w:hAnsi="Times New Roman" w:cs="Times New Roman"/>
          <w:sz w:val="32"/>
          <w:szCs w:val="32"/>
        </w:rPr>
        <w:lastRenderedPageBreak/>
        <w:t>5.2 NSGA-II Convergence Experiment</w:t>
      </w:r>
    </w:p>
    <w:p w:rsidR="00471478" w:rsidRPr="00065F7F" w:rsidRDefault="00471478" w:rsidP="004714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478" w:rsidRPr="00065F7F" w:rsidRDefault="00471478" w:rsidP="00471478">
      <w:pPr>
        <w:spacing w:line="360" w:lineRule="auto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55B89FA" wp14:editId="73C90B04">
            <wp:simplePos x="0" y="0"/>
            <wp:positionH relativeFrom="margin">
              <wp:posOffset>-759460</wp:posOffset>
            </wp:positionH>
            <wp:positionV relativeFrom="paragraph">
              <wp:posOffset>2712720</wp:posOffset>
            </wp:positionV>
            <wp:extent cx="6889115" cy="4322445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F7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065F7F">
        <w:rPr>
          <w:rFonts w:ascii="Times New Roman" w:hAnsi="Times New Roman" w:cs="Times New Roman"/>
          <w:szCs w:val="24"/>
        </w:rPr>
        <w:t xml:space="preserve">Under the number of charging station, we performed the experiment to observe the convergence behavior of the NSGA-II. In the experiment, the default values of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and</m:t>
        </m:r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population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</m:t>
        </m:r>
      </m:oMath>
      <w:r w:rsidRPr="00065F7F">
        <w:rPr>
          <w:rFonts w:ascii="Times New Roman" w:hAnsi="Times New Roman" w:cs="Times New Roman"/>
          <w:szCs w:val="24"/>
        </w:rPr>
        <w:t xml:space="preserve">were set to 100%, 80% and 10, respectively. First, we varied the value of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 w:rsidRPr="00065F7F">
        <w:rPr>
          <w:rFonts w:ascii="Times New Roman" w:hAnsi="Times New Roman" w:cs="Times New Roman"/>
          <w:szCs w:val="24"/>
        </w:rPr>
        <w:t xml:space="preserve"> from 20% to 100% with increments of 20% to observe the effects on the NSGA-II convergence. The result is presented in Figure 9. From the figure, we observe that the number of charging station is smallest for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 w:rsidRPr="00065F7F">
        <w:rPr>
          <w:rFonts w:ascii="Times New Roman" w:hAnsi="Times New Roman" w:cs="Times New Roman"/>
          <w:szCs w:val="24"/>
        </w:rPr>
        <w:t xml:space="preserve"> values of 100%. As a result, we </w:t>
      </w:r>
      <w:r w:rsidRPr="00576BBF">
        <w:rPr>
          <w:rFonts w:ascii="Times New Roman" w:hAnsi="Times New Roman" w:cs="Times New Roman"/>
          <w:szCs w:val="24"/>
        </w:rPr>
        <w:t>set the crossover rate to 100%.</w:t>
      </w:r>
      <w:r w:rsidRPr="00576BBF">
        <w:rPr>
          <w:rFonts w:ascii="Times New Roman" w:hAnsi="Times New Roman" w:cs="Times New Roman"/>
          <w:kern w:val="0"/>
          <w:szCs w:val="24"/>
        </w:rPr>
        <w:t xml:space="preserve"> This means that every time you will go through the steps of crossover</w:t>
      </w:r>
      <w:r>
        <w:rPr>
          <w:rFonts w:ascii="Times New Roman" w:hAnsi="Times New Roman" w:cs="Times New Roman"/>
          <w:kern w:val="0"/>
          <w:szCs w:val="24"/>
        </w:rPr>
        <w:t>.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kern w:val="0"/>
          <w:sz w:val="20"/>
          <w:szCs w:val="20"/>
        </w:rPr>
        <w:t>Figure 9. Effects of the crossover rate on NSGA-II convergence</w:t>
      </w:r>
    </w:p>
    <w:p w:rsidR="00471478" w:rsidRDefault="00471478" w:rsidP="00471478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471478" w:rsidRPr="00065F7F" w:rsidRDefault="00471478" w:rsidP="00471478">
      <w:pPr>
        <w:spacing w:line="360" w:lineRule="auto"/>
        <w:ind w:firstLineChars="100" w:firstLine="200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2B8986F" wp14:editId="7EBC9716">
            <wp:simplePos x="0" y="0"/>
            <wp:positionH relativeFrom="margin">
              <wp:align>center</wp:align>
            </wp:positionH>
            <wp:positionV relativeFrom="paragraph">
              <wp:posOffset>1496060</wp:posOffset>
            </wp:positionV>
            <wp:extent cx="6889115" cy="4322445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t>Next, w</w:t>
      </w:r>
      <w:r w:rsidRPr="00065F7F">
        <w:rPr>
          <w:rFonts w:ascii="Times New Roman" w:hAnsi="Times New Roman" w:cs="Times New Roman"/>
          <w:szCs w:val="24"/>
        </w:rPr>
        <w:t xml:space="preserve">e varied the value of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  <w:r w:rsidRPr="00065F7F">
        <w:rPr>
          <w:rFonts w:ascii="Times New Roman" w:hAnsi="Times New Roman" w:cs="Times New Roman"/>
          <w:szCs w:val="24"/>
        </w:rPr>
        <w:t xml:space="preserve"> from 20% to 100% with increments of 20% to observe the effects on the NSGA-II convergence. The result is presented in Figure 10. From the figure, we observe that the number of charging station is smallest for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  <w:r w:rsidRPr="00065F7F">
        <w:rPr>
          <w:rFonts w:ascii="Times New Roman" w:hAnsi="Times New Roman" w:cs="Times New Roman"/>
          <w:szCs w:val="24"/>
        </w:rPr>
        <w:t xml:space="preserve"> values of 80%. As a result, we set the mutation rate to 80%.</w:t>
      </w:r>
      <w:r w:rsidRPr="00065F7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kern w:val="0"/>
          <w:sz w:val="20"/>
          <w:szCs w:val="20"/>
        </w:rPr>
        <w:t>Figure 10. Effects of the mutation rate on NSGA-II convergence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kern w:val="0"/>
          <w:sz w:val="20"/>
          <w:szCs w:val="20"/>
        </w:rPr>
      </w:pPr>
    </w:p>
    <w:p w:rsidR="00471478" w:rsidRPr="00065F7F" w:rsidRDefault="00471478" w:rsidP="00471478">
      <w:pPr>
        <w:widowControl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kern w:val="0"/>
          <w:sz w:val="20"/>
          <w:szCs w:val="20"/>
        </w:rPr>
        <w:br w:type="page"/>
      </w:r>
    </w:p>
    <w:p w:rsidR="00471478" w:rsidRPr="00065F7F" w:rsidRDefault="00471478" w:rsidP="00471478">
      <w:pPr>
        <w:rPr>
          <w:rFonts w:ascii="Times New Roman" w:hAnsi="Times New Roman" w:cs="Times New Roman"/>
          <w:sz w:val="32"/>
          <w:szCs w:val="32"/>
        </w:rPr>
      </w:pPr>
      <w:r w:rsidRPr="00065F7F">
        <w:rPr>
          <w:rFonts w:ascii="Times New Roman" w:hAnsi="Times New Roman" w:cs="Times New Roman"/>
          <w:sz w:val="32"/>
          <w:szCs w:val="32"/>
        </w:rPr>
        <w:lastRenderedPageBreak/>
        <w:t>5.3 Simulation result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471478" w:rsidRPr="00065F7F" w:rsidRDefault="00471478" w:rsidP="00471478">
      <w:pPr>
        <w:rPr>
          <w:rFonts w:ascii="Times New Roman" w:hAnsi="Times New Roman" w:cs="Times New Roman"/>
          <w:sz w:val="28"/>
          <w:szCs w:val="28"/>
        </w:rPr>
      </w:pPr>
    </w:p>
    <w:p w:rsidR="00471478" w:rsidRPr="00065F7F" w:rsidRDefault="00471478" w:rsidP="00471478">
      <w:pPr>
        <w:spacing w:line="360" w:lineRule="auto"/>
        <w:ind w:firstLineChars="100" w:firstLine="240"/>
        <w:jc w:val="both"/>
        <w:rPr>
          <w:rFonts w:ascii="Times New Roman" w:hAnsi="Times New Roman" w:cs="Times New Roman"/>
        </w:rPr>
      </w:pPr>
      <w:r w:rsidRPr="00065F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3FD331D" wp14:editId="439E9D5A">
            <wp:simplePos x="0" y="0"/>
            <wp:positionH relativeFrom="margin">
              <wp:align>center</wp:align>
            </wp:positionH>
            <wp:positionV relativeFrom="paragraph">
              <wp:posOffset>3276600</wp:posOffset>
            </wp:positionV>
            <wp:extent cx="6694170" cy="4200525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F7F">
        <w:rPr>
          <w:rFonts w:ascii="Times New Roman" w:hAnsi="Times New Roman" w:cs="Times New Roman"/>
          <w:szCs w:val="24"/>
        </w:rPr>
        <w:t>In our experiments, the simulations were executed 30 times. We measured the average number of charging station and the average energy received of each sensor node.</w:t>
      </w:r>
      <w:r w:rsidRPr="00065F7F">
        <w:rPr>
          <w:rFonts w:ascii="Times New Roman" w:hAnsi="Times New Roman" w:cs="Times New Roman"/>
        </w:rPr>
        <w:t xml:space="preserve"> The Figure 11 shows the comparison of number of chargers with NSGA-II, LSABC and SABC. X-axis represents</w:t>
      </w:r>
      <w:r>
        <w:rPr>
          <w:rFonts w:ascii="Times New Roman" w:hAnsi="Times New Roman" w:cs="Times New Roman"/>
        </w:rPr>
        <w:t xml:space="preserve"> the</w:t>
      </w:r>
      <w:r w:rsidRPr="00065F7F">
        <w:rPr>
          <w:rFonts w:ascii="Times New Roman" w:hAnsi="Times New Roman" w:cs="Times New Roman"/>
        </w:rPr>
        <w:t xml:space="preserve"> number of sensor node</w:t>
      </w:r>
      <w:r>
        <w:rPr>
          <w:rFonts w:ascii="Times New Roman" w:hAnsi="Times New Roman" w:cs="Times New Roman"/>
        </w:rPr>
        <w:t>s</w:t>
      </w:r>
      <w:r w:rsidRPr="00065F7F">
        <w:rPr>
          <w:rFonts w:ascii="Times New Roman" w:hAnsi="Times New Roman" w:cs="Times New Roman"/>
        </w:rPr>
        <w:t xml:space="preserve">, and Y-axis represents </w:t>
      </w:r>
      <w:r>
        <w:rPr>
          <w:rFonts w:ascii="Times New Roman" w:hAnsi="Times New Roman" w:cs="Times New Roman"/>
        </w:rPr>
        <w:t xml:space="preserve">the </w:t>
      </w:r>
      <w:r w:rsidRPr="00065F7F">
        <w:rPr>
          <w:rFonts w:ascii="Times New Roman" w:hAnsi="Times New Roman" w:cs="Times New Roman"/>
        </w:rPr>
        <w:t>number of charging station</w:t>
      </w:r>
      <w:r>
        <w:rPr>
          <w:rFonts w:ascii="Times New Roman" w:hAnsi="Times New Roman" w:cs="Times New Roman"/>
        </w:rPr>
        <w:t>s</w:t>
      </w:r>
      <w:r w:rsidRPr="00065F7F">
        <w:rPr>
          <w:rFonts w:ascii="Times New Roman" w:hAnsi="Times New Roman" w:cs="Times New Roman"/>
        </w:rPr>
        <w:t xml:space="preserve">. Obviously, </w:t>
      </w:r>
      <w:r>
        <w:rPr>
          <w:rFonts w:ascii="Times New Roman" w:hAnsi="Times New Roman" w:cs="Times New Roman"/>
        </w:rPr>
        <w:t xml:space="preserve">the </w:t>
      </w:r>
      <w:r w:rsidRPr="00065F7F">
        <w:rPr>
          <w:rFonts w:ascii="Times New Roman" w:hAnsi="Times New Roman" w:cs="Times New Roman"/>
        </w:rPr>
        <w:t xml:space="preserve">number of charging station of NSGA-II and LSABC is lower than SABC </w:t>
      </w:r>
      <w:r>
        <w:rPr>
          <w:rFonts w:ascii="Times New Roman" w:hAnsi="Times New Roman" w:cs="Times New Roman"/>
        </w:rPr>
        <w:t>and</w:t>
      </w:r>
      <w:r w:rsidRPr="00065F7F">
        <w:rPr>
          <w:rFonts w:ascii="Times New Roman" w:hAnsi="Times New Roman" w:cs="Times New Roman"/>
        </w:rPr>
        <w:t xml:space="preserve"> this phenomenon become evident increasingly when </w:t>
      </w:r>
      <w:r>
        <w:rPr>
          <w:rFonts w:ascii="Times New Roman" w:hAnsi="Times New Roman" w:cs="Times New Roman"/>
        </w:rPr>
        <w:t xml:space="preserve">the </w:t>
      </w:r>
      <w:r w:rsidRPr="00065F7F">
        <w:rPr>
          <w:rFonts w:ascii="Times New Roman" w:hAnsi="Times New Roman" w:cs="Times New Roman"/>
        </w:rPr>
        <w:t>number of sensor node</w:t>
      </w:r>
      <w:r>
        <w:rPr>
          <w:rFonts w:ascii="Times New Roman" w:hAnsi="Times New Roman" w:cs="Times New Roman"/>
        </w:rPr>
        <w:t>s</w:t>
      </w:r>
      <w:r w:rsidRPr="00065F7F">
        <w:rPr>
          <w:rFonts w:ascii="Times New Roman" w:hAnsi="Times New Roman" w:cs="Times New Roman"/>
        </w:rPr>
        <w:t xml:space="preserve"> is increased. This is because NSGA-II uses the mechanisms of crossover and mutation and LSABC uses the layoff algorithm to avoid falling into local optimum.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kern w:val="0"/>
          <w:sz w:val="20"/>
          <w:szCs w:val="20"/>
        </w:rPr>
        <w:t>Figure 11. The number of charging station with the number of sensor node increasing from 25 to 125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szCs w:val="24"/>
        </w:rPr>
      </w:pPr>
      <w:r w:rsidRPr="00065F7F">
        <w:rPr>
          <w:rFonts w:ascii="Times New Roman" w:hAnsi="Times New Roman" w:cs="Times New Roman"/>
          <w:szCs w:val="24"/>
        </w:rPr>
        <w:br w:type="page"/>
      </w:r>
    </w:p>
    <w:p w:rsidR="00471478" w:rsidRDefault="00471478" w:rsidP="00471478">
      <w:pPr>
        <w:spacing w:line="360" w:lineRule="auto"/>
        <w:ind w:firstLineChars="100" w:firstLine="240"/>
        <w:jc w:val="both"/>
        <w:rPr>
          <w:rFonts w:ascii="Times New Roman" w:hAnsi="Times New Roman" w:cs="Times New Roman"/>
        </w:rPr>
      </w:pPr>
      <w:r w:rsidRPr="00065F7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0759EA" wp14:editId="30114624">
            <wp:simplePos x="0" y="0"/>
            <wp:positionH relativeFrom="margin">
              <wp:posOffset>-616585</wp:posOffset>
            </wp:positionH>
            <wp:positionV relativeFrom="paragraph">
              <wp:posOffset>2103120</wp:posOffset>
            </wp:positionV>
            <wp:extent cx="6889115" cy="432244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</w:rPr>
        <w:t xml:space="preserve">The Figure 12 shows the comparison of </w:t>
      </w:r>
      <w:r w:rsidRPr="00065F7F">
        <w:rPr>
          <w:rFonts w:ascii="Times New Roman" w:hAnsi="Times New Roman" w:cs="Times New Roman"/>
          <w:szCs w:val="24"/>
        </w:rPr>
        <w:t>the average energy received of each sensor node</w:t>
      </w:r>
      <w:r w:rsidRPr="00065F7F">
        <w:rPr>
          <w:rFonts w:ascii="Times New Roman" w:hAnsi="Times New Roman" w:cs="Times New Roman"/>
        </w:rPr>
        <w:t xml:space="preserve">. X-axis represents number of sensor node, and Y-axis represents </w:t>
      </w:r>
      <w:r w:rsidRPr="00065F7F">
        <w:rPr>
          <w:rFonts w:ascii="Times New Roman" w:hAnsi="Times New Roman" w:cs="Times New Roman"/>
          <w:szCs w:val="24"/>
        </w:rPr>
        <w:t>the average energy received of each sensor node (</w:t>
      </w:r>
      <w:proofErr w:type="spellStart"/>
      <w:r w:rsidRPr="00065F7F">
        <w:rPr>
          <w:rFonts w:ascii="Times New Roman" w:hAnsi="Times New Roman" w:cs="Times New Roman"/>
          <w:i/>
          <w:szCs w:val="24"/>
        </w:rPr>
        <w:t>mW</w:t>
      </w:r>
      <w:proofErr w:type="spellEnd"/>
      <w:r w:rsidRPr="00065F7F">
        <w:rPr>
          <w:rFonts w:ascii="Times New Roman" w:hAnsi="Times New Roman" w:cs="Times New Roman"/>
          <w:szCs w:val="24"/>
        </w:rPr>
        <w:t>)</w:t>
      </w:r>
      <w:r w:rsidRPr="00065F7F">
        <w:rPr>
          <w:rFonts w:ascii="Times New Roman" w:hAnsi="Times New Roman" w:cs="Times New Roman"/>
        </w:rPr>
        <w:t xml:space="preserve">. The simulation results that NSGA-II can receive more power than LSABC and SABC, because LSABC and SABC do not </w:t>
      </w:r>
      <w:proofErr w:type="gramStart"/>
      <w:r w:rsidRPr="00065F7F">
        <w:rPr>
          <w:rFonts w:ascii="Times New Roman" w:hAnsi="Times New Roman" w:cs="Times New Roman"/>
        </w:rPr>
        <w:t>take into account</w:t>
      </w:r>
      <w:proofErr w:type="gramEnd"/>
      <w:r w:rsidRPr="00065F7F">
        <w:rPr>
          <w:rFonts w:ascii="Times New Roman" w:hAnsi="Times New Roman" w:cs="Times New Roman"/>
        </w:rPr>
        <w:t xml:space="preserve"> the distance between the charging station and the sensor node. When the distance is closer, the sensor can receive more energy. </w:t>
      </w:r>
    </w:p>
    <w:p w:rsidR="00471478" w:rsidRPr="00065F7F" w:rsidRDefault="00471478" w:rsidP="00471478">
      <w:pPr>
        <w:spacing w:line="360" w:lineRule="auto"/>
        <w:ind w:firstLineChars="100" w:firstLine="200"/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065F7F">
        <w:rPr>
          <w:rFonts w:ascii="Times New Roman" w:hAnsi="Times New Roman" w:cs="Times New Roman"/>
          <w:kern w:val="0"/>
          <w:sz w:val="20"/>
          <w:szCs w:val="20"/>
        </w:rPr>
        <w:t xml:space="preserve">Figure 12. </w:t>
      </w:r>
      <w:r w:rsidRPr="00065F7F">
        <w:rPr>
          <w:rFonts w:ascii="Times New Roman" w:hAnsi="Times New Roman" w:cs="Times New Roman"/>
          <w:sz w:val="20"/>
          <w:szCs w:val="20"/>
        </w:rPr>
        <w:t>the average energy received of each sensor node</w:t>
      </w:r>
      <w:r w:rsidRPr="00065F7F">
        <w:rPr>
          <w:rFonts w:ascii="Times New Roman" w:hAnsi="Times New Roman" w:cs="Times New Roman"/>
          <w:kern w:val="0"/>
          <w:sz w:val="20"/>
          <w:szCs w:val="20"/>
        </w:rPr>
        <w:t xml:space="preserve"> with the number of sensor node increasing from 50 to 125</w:t>
      </w:r>
    </w:p>
    <w:p w:rsidR="00471478" w:rsidRDefault="00471478" w:rsidP="00471478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471478" w:rsidRDefault="00471478" w:rsidP="004714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lastRenderedPageBreak/>
        <w:t xml:space="preserve">  </w:t>
      </w:r>
      <w:r w:rsidRPr="006C11AC">
        <w:rPr>
          <w:rFonts w:ascii="Times New Roman" w:hAnsi="Times New Roman" w:cs="Times New Roman"/>
          <w:szCs w:val="24"/>
        </w:rPr>
        <w:t>We also compare the number of charging stations required by different methods under different sensor</w:t>
      </w:r>
      <w:r>
        <w:rPr>
          <w:rFonts w:ascii="Times New Roman" w:hAnsi="Times New Roman" w:cs="Times New Roman"/>
          <w:szCs w:val="24"/>
        </w:rPr>
        <w:t xml:space="preserve"> node</w:t>
      </w:r>
      <w:r w:rsidRPr="006C11AC">
        <w:rPr>
          <w:rFonts w:ascii="Times New Roman" w:hAnsi="Times New Roman" w:cs="Times New Roman"/>
          <w:szCs w:val="24"/>
        </w:rPr>
        <w:t xml:space="preserve"> number and the overall sensor </w:t>
      </w:r>
      <w:r>
        <w:rPr>
          <w:rFonts w:ascii="Times New Roman" w:hAnsi="Times New Roman" w:cs="Times New Roman"/>
          <w:szCs w:val="24"/>
        </w:rPr>
        <w:t xml:space="preserve">nodes </w:t>
      </w:r>
      <w:r w:rsidRPr="006C11AC">
        <w:rPr>
          <w:rFonts w:ascii="Times New Roman" w:hAnsi="Times New Roman" w:cs="Times New Roman"/>
          <w:szCs w:val="24"/>
        </w:rPr>
        <w:t>energy received</w:t>
      </w:r>
      <w:r>
        <w:rPr>
          <w:rFonts w:ascii="Times New Roman" w:hAnsi="Times New Roman" w:cs="Times New Roman"/>
          <w:szCs w:val="24"/>
        </w:rPr>
        <w:t xml:space="preserve">. </w:t>
      </w:r>
      <w:r w:rsidRPr="00065F7F">
        <w:rPr>
          <w:rFonts w:ascii="Times New Roman" w:hAnsi="Times New Roman" w:cs="Times New Roman"/>
        </w:rPr>
        <w:t xml:space="preserve">The details are shown in Table </w:t>
      </w:r>
      <w:r>
        <w:rPr>
          <w:rFonts w:ascii="Times New Roman" w:hAnsi="Times New Roman" w:cs="Times New Roman"/>
        </w:rPr>
        <w:t>2</w:t>
      </w:r>
      <w:r w:rsidRPr="00065F7F">
        <w:rPr>
          <w:rFonts w:ascii="Times New Roman" w:hAnsi="Times New Roman" w:cs="Times New Roman"/>
        </w:rPr>
        <w:t>.</w:t>
      </w:r>
      <w:r w:rsidRPr="006C11A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We</w:t>
      </w:r>
      <w:r w:rsidRPr="00A63C8B">
        <w:rPr>
          <w:rFonts w:ascii="Times New Roman" w:hAnsi="Times New Roman" w:cs="Times New Roman"/>
          <w:szCs w:val="24"/>
        </w:rPr>
        <w:t xml:space="preserve"> can be seen that under the same number of charging stations, the overall energy received by the NSGA-II method is greater than that of other methods</w:t>
      </w:r>
      <w:r>
        <w:rPr>
          <w:rFonts w:ascii="Times New Roman" w:hAnsi="Times New Roman" w:cs="Times New Roman"/>
          <w:szCs w:val="24"/>
        </w:rPr>
        <w:t>.</w:t>
      </w:r>
      <w:r w:rsidRPr="00A63C8B">
        <w:rPr>
          <w:rFonts w:ascii="Times New Roman" w:hAnsi="Times New Roman" w:cs="Times New Roman"/>
          <w:szCs w:val="24"/>
        </w:rPr>
        <w:t xml:space="preserve"> </w:t>
      </w:r>
      <w:r w:rsidRPr="00065F7F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s</w:t>
      </w:r>
      <w:r w:rsidRPr="00065F7F">
        <w:rPr>
          <w:rFonts w:ascii="Times New Roman" w:hAnsi="Times New Roman" w:cs="Times New Roman"/>
        </w:rPr>
        <w:t xml:space="preserve"> 13-15 show where to place the charging station for different number of sensor nodes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BCAEA5" wp14:editId="5E84A21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274310" cy="2439670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kern w:val="0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2</w:t>
      </w:r>
      <w:r w:rsidRPr="00065F7F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6C11AC">
        <w:rPr>
          <w:rFonts w:ascii="Times New Roman" w:hAnsi="Times New Roman" w:cs="Times New Roman"/>
          <w:kern w:val="0"/>
          <w:sz w:val="20"/>
          <w:szCs w:val="20"/>
        </w:rPr>
        <w:t>Charging Station vs. Charging Efficiency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different sensor node number</w:t>
      </w:r>
    </w:p>
    <w:p w:rsidR="00471478" w:rsidRDefault="00471478" w:rsidP="00471478">
      <w:pPr>
        <w:widowControl/>
        <w:rPr>
          <w:rFonts w:ascii="Times New Roman" w:hAnsi="Times New Roman" w:cs="Times New Roman"/>
          <w:szCs w:val="24"/>
        </w:rPr>
      </w:pPr>
    </w:p>
    <w:p w:rsidR="00471478" w:rsidRPr="006C11AC" w:rsidRDefault="00471478" w:rsidP="00471478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214A53DF" wp14:editId="3B8068DB">
            <wp:simplePos x="0" y="0"/>
            <wp:positionH relativeFrom="margin">
              <wp:align>center</wp:align>
            </wp:positionH>
            <wp:positionV relativeFrom="paragraph">
              <wp:posOffset>2613660</wp:posOffset>
            </wp:positionV>
            <wp:extent cx="3592800" cy="2340000"/>
            <wp:effectExtent l="0" t="0" r="8255" b="317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843610A" wp14:editId="5BEEA169">
            <wp:simplePos x="0" y="0"/>
            <wp:positionH relativeFrom="margin">
              <wp:posOffset>835660</wp:posOffset>
            </wp:positionH>
            <wp:positionV relativeFrom="paragraph">
              <wp:posOffset>0</wp:posOffset>
            </wp:positionV>
            <wp:extent cx="3603600" cy="2340000"/>
            <wp:effectExtent l="0" t="0" r="0" b="317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(a) SABC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28 charging stations and sensor nodes with a total received energy of 79.272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CB31EBF" wp14:editId="2EAF6AEA">
            <wp:simplePos x="0" y="0"/>
            <wp:positionH relativeFrom="margin">
              <wp:align>center</wp:align>
            </wp:positionH>
            <wp:positionV relativeFrom="paragraph">
              <wp:posOffset>2580005</wp:posOffset>
            </wp:positionV>
            <wp:extent cx="3592800" cy="2340000"/>
            <wp:effectExtent l="0" t="0" r="8255" b="317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(b) LSABC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27 charging stations and sensor nodes with a total received energy of 76.10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(c) NSGA-II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27 charging stations and sensor nodes with a total received energy of 77.94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Figure 13. Where 50 sensor nodes are placed in charging stations with different methods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br w:type="page"/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1AA571A5" wp14:editId="58058A3A">
            <wp:simplePos x="0" y="0"/>
            <wp:positionH relativeFrom="margin">
              <wp:align>center</wp:align>
            </wp:positionH>
            <wp:positionV relativeFrom="paragraph">
              <wp:posOffset>2670810</wp:posOffset>
            </wp:positionV>
            <wp:extent cx="3602990" cy="2339975"/>
            <wp:effectExtent l="0" t="0" r="0" b="317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794B141" wp14:editId="4E60F0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2800" cy="2340000"/>
            <wp:effectExtent l="0" t="0" r="8255" b="317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(a)SABC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42 charging stations and sensor nodes with a total received energy of 177.80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8035278" wp14:editId="327FCFEA">
            <wp:simplePos x="0" y="0"/>
            <wp:positionH relativeFrom="margin">
              <wp:align>center</wp:align>
            </wp:positionH>
            <wp:positionV relativeFrom="paragraph">
              <wp:posOffset>2721610</wp:posOffset>
            </wp:positionV>
            <wp:extent cx="3602990" cy="2339975"/>
            <wp:effectExtent l="0" t="0" r="0" b="317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(b)LSABC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41 charging stations and sensor nodes with a total received energy of 162.31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(c)NSGA-II</w:t>
      </w:r>
      <w:r w:rsidRPr="00065F7F">
        <w:rPr>
          <w:rFonts w:ascii="Times New Roman" w:hAnsi="Times New Roman" w:cs="Times New Roman"/>
        </w:rPr>
        <w:t xml:space="preserve"> </w:t>
      </w:r>
      <w:r w:rsidRPr="00065F7F">
        <w:rPr>
          <w:rFonts w:ascii="Times New Roman" w:hAnsi="Times New Roman" w:cs="Times New Roman"/>
          <w:sz w:val="20"/>
          <w:szCs w:val="20"/>
        </w:rPr>
        <w:t>has 40 charging stations and sensor nodes with a total received energy of 169.83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Figure 14. Where 100 sensor nodes are placed in charging stations with different methods</w:t>
      </w:r>
    </w:p>
    <w:p w:rsidR="00471478" w:rsidRPr="00065F7F" w:rsidRDefault="00471478" w:rsidP="00471478">
      <w:pPr>
        <w:widowControl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br w:type="page"/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6C580378" wp14:editId="078A0D08">
            <wp:simplePos x="0" y="0"/>
            <wp:positionH relativeFrom="margin">
              <wp:align>center</wp:align>
            </wp:positionH>
            <wp:positionV relativeFrom="paragraph">
              <wp:posOffset>2668905</wp:posOffset>
            </wp:positionV>
            <wp:extent cx="3592195" cy="2339975"/>
            <wp:effectExtent l="0" t="0" r="8255" b="317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562297E3" wp14:editId="0829D13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603600" cy="2340000"/>
            <wp:effectExtent l="0" t="0" r="0" b="3175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(a)SABC has 45 charging stations and sensor nodes with a total received energy of 222.94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74BADC1" wp14:editId="3D55943D">
            <wp:simplePos x="0" y="0"/>
            <wp:positionH relativeFrom="margin">
              <wp:align>center</wp:align>
            </wp:positionH>
            <wp:positionV relativeFrom="paragraph">
              <wp:posOffset>2625090</wp:posOffset>
            </wp:positionV>
            <wp:extent cx="3602990" cy="2339975"/>
            <wp:effectExtent l="0" t="0" r="0" b="3175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5F7F">
        <w:rPr>
          <w:rFonts w:ascii="Times New Roman" w:hAnsi="Times New Roman" w:cs="Times New Roman"/>
          <w:sz w:val="20"/>
          <w:szCs w:val="20"/>
        </w:rPr>
        <w:t>(b)LSABC has 45 charging stations and sensor nodes with a total received energy of 217.12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(c)NSGA-II has 45 charging stations and sensor nodes with a total received energy of 235.25</w:t>
      </w:r>
      <w:r w:rsidRPr="00065F7F">
        <w:rPr>
          <w:rFonts w:ascii="Times New Roman" w:hAnsi="Times New Roman" w:cs="Times New Roman"/>
          <w:i/>
          <w:sz w:val="20"/>
          <w:szCs w:val="20"/>
        </w:rPr>
        <w:t>mW</w:t>
      </w:r>
    </w:p>
    <w:p w:rsidR="00471478" w:rsidRPr="00065F7F" w:rsidRDefault="00471478" w:rsidP="0047147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F7F">
        <w:rPr>
          <w:rFonts w:ascii="Times New Roman" w:hAnsi="Times New Roman" w:cs="Times New Roman"/>
          <w:sz w:val="20"/>
          <w:szCs w:val="20"/>
        </w:rPr>
        <w:t>Figure 15. Where 125 sensor nodes are placed in charging stations with different methods</w:t>
      </w:r>
    </w:p>
    <w:p w:rsidR="009A3779" w:rsidRPr="00471478" w:rsidRDefault="009A3779" w:rsidP="00471478">
      <w:pPr>
        <w:widowControl/>
        <w:rPr>
          <w:rFonts w:ascii="Times New Roman" w:hAnsi="Times New Roman" w:cs="Times New Roman" w:hint="eastAsia"/>
          <w:sz w:val="36"/>
          <w:szCs w:val="36"/>
        </w:rPr>
      </w:pPr>
      <w:bookmarkStart w:id="0" w:name="_GoBack"/>
      <w:bookmarkEnd w:id="0"/>
    </w:p>
    <w:sectPr w:rsidR="009A3779" w:rsidRPr="00471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B92" w:rsidRDefault="001F4B92" w:rsidP="00B06AC9">
      <w:r>
        <w:separator/>
      </w:r>
    </w:p>
  </w:endnote>
  <w:endnote w:type="continuationSeparator" w:id="0">
    <w:p w:rsidR="001F4B92" w:rsidRDefault="001F4B92" w:rsidP="00B0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B92" w:rsidRDefault="001F4B92" w:rsidP="00B06AC9">
      <w:r>
        <w:separator/>
      </w:r>
    </w:p>
  </w:footnote>
  <w:footnote w:type="continuationSeparator" w:id="0">
    <w:p w:rsidR="001F4B92" w:rsidRDefault="001F4B92" w:rsidP="00B06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E1"/>
    <w:rsid w:val="00025959"/>
    <w:rsid w:val="00052A05"/>
    <w:rsid w:val="000800F6"/>
    <w:rsid w:val="00160A21"/>
    <w:rsid w:val="001B3B3F"/>
    <w:rsid w:val="001F4B92"/>
    <w:rsid w:val="00261F77"/>
    <w:rsid w:val="003A4B86"/>
    <w:rsid w:val="00437E08"/>
    <w:rsid w:val="00471478"/>
    <w:rsid w:val="004E28B6"/>
    <w:rsid w:val="00542935"/>
    <w:rsid w:val="00547F97"/>
    <w:rsid w:val="005A6F0B"/>
    <w:rsid w:val="005C4C38"/>
    <w:rsid w:val="00603AF4"/>
    <w:rsid w:val="006B249D"/>
    <w:rsid w:val="00702C3A"/>
    <w:rsid w:val="007A7143"/>
    <w:rsid w:val="007C33A4"/>
    <w:rsid w:val="00817E74"/>
    <w:rsid w:val="008402FA"/>
    <w:rsid w:val="00845136"/>
    <w:rsid w:val="00863535"/>
    <w:rsid w:val="008B770A"/>
    <w:rsid w:val="00903F1E"/>
    <w:rsid w:val="00931CF7"/>
    <w:rsid w:val="009A3779"/>
    <w:rsid w:val="009D7545"/>
    <w:rsid w:val="009E0574"/>
    <w:rsid w:val="00A13E6B"/>
    <w:rsid w:val="00A33F15"/>
    <w:rsid w:val="00A4702D"/>
    <w:rsid w:val="00A92A9D"/>
    <w:rsid w:val="00A965C8"/>
    <w:rsid w:val="00B06AC9"/>
    <w:rsid w:val="00C4174C"/>
    <w:rsid w:val="00D32480"/>
    <w:rsid w:val="00D5159B"/>
    <w:rsid w:val="00D6189B"/>
    <w:rsid w:val="00D854DA"/>
    <w:rsid w:val="00D93B93"/>
    <w:rsid w:val="00DA54E1"/>
    <w:rsid w:val="00E71B5B"/>
    <w:rsid w:val="00E973A1"/>
    <w:rsid w:val="00F337C1"/>
    <w:rsid w:val="00F56ADC"/>
    <w:rsid w:val="00FC236E"/>
    <w:rsid w:val="00FE3B26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9BDB5"/>
  <w15:chartTrackingRefBased/>
  <w15:docId w15:val="{E3F6472D-A023-4B27-9EA8-3E93BF2E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4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35"/>
    <w:rPr>
      <w:color w:val="808080"/>
    </w:rPr>
  </w:style>
  <w:style w:type="paragraph" w:styleId="a4">
    <w:name w:val="header"/>
    <w:basedOn w:val="a"/>
    <w:link w:val="a5"/>
    <w:uiPriority w:val="99"/>
    <w:unhideWhenUsed/>
    <w:rsid w:val="00B06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6A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6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6A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548B-968D-4567-AD24-80F7EFF4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翔崳 胡</dc:creator>
  <cp:keywords/>
  <dc:description/>
  <cp:lastModifiedBy>翔崳 胡</cp:lastModifiedBy>
  <cp:revision>35</cp:revision>
  <dcterms:created xsi:type="dcterms:W3CDTF">2020-02-26T04:51:00Z</dcterms:created>
  <dcterms:modified xsi:type="dcterms:W3CDTF">2020-04-27T05:29:00Z</dcterms:modified>
</cp:coreProperties>
</file>