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BC4F0" w14:textId="77777777" w:rsidR="007C569B" w:rsidRDefault="00000000">
      <w:pPr>
        <w:pStyle w:val="Heading1"/>
      </w:pPr>
      <w:r>
        <w:t>Connecting EOG Science Questions to Conceptual Reasoning and Instructional Practice</w:t>
      </w:r>
    </w:p>
    <w:p w14:paraId="25FED839" w14:textId="77777777" w:rsidR="007C569B" w:rsidRDefault="00000000">
      <w:r>
        <w:t>This resource connects the North Carolina Grade 5 Science EOG Released Form questions to conceptual reasoning skills and classroom instructional strategies aligned with inquiry-based, phenomenon-driven pedagogy.</w:t>
      </w:r>
    </w:p>
    <w:p w14:paraId="3CB9BC8D" w14:textId="77777777" w:rsidR="007C569B" w:rsidRDefault="00000000">
      <w:pPr>
        <w:pStyle w:val="Heading2"/>
      </w:pPr>
      <w:r>
        <w:t>Table 1. EOG Conceptual Questions and Classroom Implications</w:t>
      </w:r>
    </w:p>
    <w:tbl>
      <w:tblPr>
        <w:tblW w:w="0" w:type="auto"/>
        <w:tblLook w:val="04A0" w:firstRow="1" w:lastRow="0" w:firstColumn="1" w:lastColumn="0" w:noHBand="0" w:noVBand="1"/>
      </w:tblPr>
      <w:tblGrid>
        <w:gridCol w:w="2093"/>
        <w:gridCol w:w="2113"/>
        <w:gridCol w:w="2137"/>
        <w:gridCol w:w="2297"/>
      </w:tblGrid>
      <w:tr w:rsidR="007C569B" w14:paraId="43FA5990" w14:textId="77777777">
        <w:tc>
          <w:tcPr>
            <w:tcW w:w="2160" w:type="dxa"/>
          </w:tcPr>
          <w:p w14:paraId="3C834FC1" w14:textId="77777777" w:rsidR="007C569B" w:rsidRDefault="00000000">
            <w:r>
              <w:t>EOG Concept / Sample Question Type</w:t>
            </w:r>
          </w:p>
        </w:tc>
        <w:tc>
          <w:tcPr>
            <w:tcW w:w="2160" w:type="dxa"/>
          </w:tcPr>
          <w:p w14:paraId="1497737C" w14:textId="77777777" w:rsidR="007C569B" w:rsidRDefault="00000000">
            <w:r>
              <w:t>Conceptual Reasoning Required</w:t>
            </w:r>
          </w:p>
        </w:tc>
        <w:tc>
          <w:tcPr>
            <w:tcW w:w="2160" w:type="dxa"/>
          </w:tcPr>
          <w:p w14:paraId="113623C2" w14:textId="77777777" w:rsidR="007C569B" w:rsidRDefault="00000000">
            <w:r>
              <w:t>What It Tells Us About How Students Think</w:t>
            </w:r>
          </w:p>
        </w:tc>
        <w:tc>
          <w:tcPr>
            <w:tcW w:w="2160" w:type="dxa"/>
          </w:tcPr>
          <w:p w14:paraId="6506766E" w14:textId="77777777" w:rsidR="007C569B" w:rsidRDefault="00000000">
            <w:r>
              <w:t>Recommended Classroom Strategy (Aligned with Pedagogy)</w:t>
            </w:r>
          </w:p>
        </w:tc>
      </w:tr>
      <w:tr w:rsidR="007C569B" w14:paraId="43F89887" w14:textId="77777777">
        <w:tc>
          <w:tcPr>
            <w:tcW w:w="2160" w:type="dxa"/>
          </w:tcPr>
          <w:p w14:paraId="764ACFF6" w14:textId="77777777" w:rsidR="007C569B" w:rsidRDefault="00000000">
            <w:r>
              <w:t>Forces &amp; Motion – 'A box slows down after being pushed. Which force caused it to stop?'</w:t>
            </w:r>
          </w:p>
        </w:tc>
        <w:tc>
          <w:tcPr>
            <w:tcW w:w="2160" w:type="dxa"/>
          </w:tcPr>
          <w:p w14:paraId="2F190ABA" w14:textId="77777777" w:rsidR="007C569B" w:rsidRDefault="00000000">
            <w:r>
              <w:t>Cause-and-effect reasoning; identifying unseen forces</w:t>
            </w:r>
          </w:p>
        </w:tc>
        <w:tc>
          <w:tcPr>
            <w:tcW w:w="2160" w:type="dxa"/>
          </w:tcPr>
          <w:p w14:paraId="6EBD4CDF" w14:textId="77777777" w:rsidR="007C569B" w:rsidRDefault="00000000">
            <w:r>
              <w:t>Students infer invisible mechanisms (friction) from visible evidence</w:t>
            </w:r>
          </w:p>
        </w:tc>
        <w:tc>
          <w:tcPr>
            <w:tcW w:w="2160" w:type="dxa"/>
          </w:tcPr>
          <w:p w14:paraId="6F3AF5E7" w14:textId="77777777" w:rsidR="007C569B" w:rsidRDefault="00000000">
            <w:r>
              <w:t>Use phenomenon-based inquiry (e.g., rolling ball clip); student modeling with arrows; replace lecture with reasoning discussions.</w:t>
            </w:r>
          </w:p>
        </w:tc>
      </w:tr>
      <w:tr w:rsidR="007C569B" w14:paraId="08EDE04F" w14:textId="77777777">
        <w:tc>
          <w:tcPr>
            <w:tcW w:w="2160" w:type="dxa"/>
          </w:tcPr>
          <w:p w14:paraId="33004564" w14:textId="77777777" w:rsidR="007C569B" w:rsidRDefault="00000000">
            <w:r>
              <w:t>States of Matter / Evaporation – 'A puddle disappears on a hot day. What process caused this?'</w:t>
            </w:r>
          </w:p>
        </w:tc>
        <w:tc>
          <w:tcPr>
            <w:tcW w:w="2160" w:type="dxa"/>
          </w:tcPr>
          <w:p w14:paraId="2C72D8B5" w14:textId="77777777" w:rsidR="007C569B" w:rsidRDefault="00000000">
            <w:r>
              <w:t>Connecting macroscopic observations to microscopic changes</w:t>
            </w:r>
          </w:p>
        </w:tc>
        <w:tc>
          <w:tcPr>
            <w:tcW w:w="2160" w:type="dxa"/>
          </w:tcPr>
          <w:p w14:paraId="4CF06741" w14:textId="77777777" w:rsidR="007C569B" w:rsidRDefault="00000000">
            <w:r>
              <w:t>Students link observation (puddle dries) with molecular movement</w:t>
            </w:r>
          </w:p>
        </w:tc>
        <w:tc>
          <w:tcPr>
            <w:tcW w:w="2160" w:type="dxa"/>
          </w:tcPr>
          <w:p w14:paraId="3DB5F7BD" w14:textId="77777777" w:rsidR="007C569B" w:rsidRDefault="00000000">
            <w:r>
              <w:t>Begin with real-life phenomena; ask 'Where did the water go?'; use diagrams/simulations for model-based explanations.</w:t>
            </w:r>
          </w:p>
        </w:tc>
      </w:tr>
      <w:tr w:rsidR="007C569B" w14:paraId="0A442F91" w14:textId="77777777">
        <w:tc>
          <w:tcPr>
            <w:tcW w:w="2160" w:type="dxa"/>
          </w:tcPr>
          <w:p w14:paraId="28C2F797" w14:textId="77777777" w:rsidR="007C569B" w:rsidRDefault="00000000">
            <w:r>
              <w:t>Weather &amp; Air Pressure – 'Which area of a pressure map will likely have cloudy weather?'</w:t>
            </w:r>
          </w:p>
        </w:tc>
        <w:tc>
          <w:tcPr>
            <w:tcW w:w="2160" w:type="dxa"/>
          </w:tcPr>
          <w:p w14:paraId="5AA11ADE" w14:textId="77777777" w:rsidR="007C569B" w:rsidRDefault="00000000">
            <w:r>
              <w:t>Systems thinking and model interpretation</w:t>
            </w:r>
          </w:p>
        </w:tc>
        <w:tc>
          <w:tcPr>
            <w:tcW w:w="2160" w:type="dxa"/>
          </w:tcPr>
          <w:p w14:paraId="7190ADA2" w14:textId="77777777" w:rsidR="007C569B" w:rsidRDefault="00000000">
            <w:r>
              <w:t>Students analyze patterns and make predictions using models</w:t>
            </w:r>
          </w:p>
        </w:tc>
        <w:tc>
          <w:tcPr>
            <w:tcW w:w="2160" w:type="dxa"/>
          </w:tcPr>
          <w:p w14:paraId="56620AC6" w14:textId="77777777" w:rsidR="007C569B" w:rsidRDefault="00000000">
            <w:r>
              <w:t>Incorporate data reasoning; ask predictions before explanation; encourage collaborative reasoning.</w:t>
            </w:r>
          </w:p>
        </w:tc>
      </w:tr>
      <w:tr w:rsidR="007C569B" w14:paraId="50610A8B" w14:textId="77777777">
        <w:tc>
          <w:tcPr>
            <w:tcW w:w="2160" w:type="dxa"/>
          </w:tcPr>
          <w:p w14:paraId="74E174C9" w14:textId="77777777" w:rsidR="007C569B" w:rsidRDefault="00000000">
            <w:r>
              <w:t xml:space="preserve">Ecosystems / Energy Flow – 'Which diagram shows how energy moves through a </w:t>
            </w:r>
            <w:r>
              <w:lastRenderedPageBreak/>
              <w:t>food web?'</w:t>
            </w:r>
          </w:p>
        </w:tc>
        <w:tc>
          <w:tcPr>
            <w:tcW w:w="2160" w:type="dxa"/>
          </w:tcPr>
          <w:p w14:paraId="084A3C2F" w14:textId="77777777" w:rsidR="007C569B" w:rsidRDefault="00000000">
            <w:r>
              <w:lastRenderedPageBreak/>
              <w:t>Understanding systems and energy transfer</w:t>
            </w:r>
          </w:p>
        </w:tc>
        <w:tc>
          <w:tcPr>
            <w:tcW w:w="2160" w:type="dxa"/>
          </w:tcPr>
          <w:p w14:paraId="22F37F9D" w14:textId="77777777" w:rsidR="007C569B" w:rsidRDefault="00000000">
            <w:r>
              <w:t>Students visualize invisible flow (energy loss, interdependence)</w:t>
            </w:r>
          </w:p>
        </w:tc>
        <w:tc>
          <w:tcPr>
            <w:tcW w:w="2160" w:type="dxa"/>
          </w:tcPr>
          <w:p w14:paraId="727367C6" w14:textId="77777777" w:rsidR="007C569B" w:rsidRDefault="00000000">
            <w:r>
              <w:t>Build models; use simulation cards; prompt 'Why can’t all animals be top predators?'</w:t>
            </w:r>
          </w:p>
        </w:tc>
      </w:tr>
      <w:tr w:rsidR="007C569B" w14:paraId="72DC4691" w14:textId="77777777">
        <w:tc>
          <w:tcPr>
            <w:tcW w:w="2160" w:type="dxa"/>
          </w:tcPr>
          <w:p w14:paraId="35DE5AD3" w14:textId="77777777" w:rsidR="007C569B" w:rsidRDefault="00000000">
            <w:r>
              <w:t>Heredity &amp; Traits – 'Two plants produce offspring with different leaf colors. Why?'</w:t>
            </w:r>
          </w:p>
        </w:tc>
        <w:tc>
          <w:tcPr>
            <w:tcW w:w="2160" w:type="dxa"/>
          </w:tcPr>
          <w:p w14:paraId="2E4F32CF" w14:textId="77777777" w:rsidR="007C569B" w:rsidRDefault="00000000">
            <w:r>
              <w:t>Inferring cause from effect; reasoning about unseen genetic variation</w:t>
            </w:r>
          </w:p>
        </w:tc>
        <w:tc>
          <w:tcPr>
            <w:tcW w:w="2160" w:type="dxa"/>
          </w:tcPr>
          <w:p w14:paraId="2F5D0717" w14:textId="77777777" w:rsidR="007C569B" w:rsidRDefault="00000000">
            <w:r>
              <w:t>Students apply logic, not memorization</w:t>
            </w:r>
          </w:p>
        </w:tc>
        <w:tc>
          <w:tcPr>
            <w:tcW w:w="2160" w:type="dxa"/>
          </w:tcPr>
          <w:p w14:paraId="1EE5D9AB" w14:textId="77777777" w:rsidR="007C569B" w:rsidRDefault="00000000">
            <w:r>
              <w:t>Use claim–evidence–reasoning (CER); provide trait data sets; allow student-generated explanations.</w:t>
            </w:r>
          </w:p>
        </w:tc>
      </w:tr>
      <w:tr w:rsidR="007C569B" w14:paraId="785D11A1" w14:textId="77777777">
        <w:tc>
          <w:tcPr>
            <w:tcW w:w="2160" w:type="dxa"/>
          </w:tcPr>
          <w:p w14:paraId="078C1387" w14:textId="77777777" w:rsidR="007C569B" w:rsidRDefault="00000000">
            <w:r>
              <w:t>Energy &amp; Simple Machines – 'Which setup makes lifting a weight easier?'</w:t>
            </w:r>
          </w:p>
        </w:tc>
        <w:tc>
          <w:tcPr>
            <w:tcW w:w="2160" w:type="dxa"/>
          </w:tcPr>
          <w:p w14:paraId="23D5D66B" w14:textId="77777777" w:rsidR="007C569B" w:rsidRDefault="00000000">
            <w:r>
              <w:t>Relationship reasoning; applying energy conservation</w:t>
            </w:r>
          </w:p>
        </w:tc>
        <w:tc>
          <w:tcPr>
            <w:tcW w:w="2160" w:type="dxa"/>
          </w:tcPr>
          <w:p w14:paraId="5D8F9F6F" w14:textId="77777777" w:rsidR="007C569B" w:rsidRDefault="00000000">
            <w:r>
              <w:t>Students identify trade-offs and relationships between effort and force</w:t>
            </w:r>
          </w:p>
        </w:tc>
        <w:tc>
          <w:tcPr>
            <w:tcW w:w="2160" w:type="dxa"/>
          </w:tcPr>
          <w:p w14:paraId="69E459FC" w14:textId="77777777" w:rsidR="007C569B" w:rsidRDefault="00000000">
            <w:r>
              <w:t>Let students experiment with pulleys/levers; ask 'What patterns do you notice?' before giving rules.</w:t>
            </w:r>
          </w:p>
        </w:tc>
      </w:tr>
      <w:tr w:rsidR="007C569B" w14:paraId="61925AD8" w14:textId="77777777">
        <w:tc>
          <w:tcPr>
            <w:tcW w:w="2160" w:type="dxa"/>
          </w:tcPr>
          <w:p w14:paraId="257A3BB6" w14:textId="77777777" w:rsidR="007C569B" w:rsidRDefault="00000000">
            <w:r>
              <w:t>Earth Systems – 'Which event is caused by unequal heating of the Earth?'</w:t>
            </w:r>
          </w:p>
        </w:tc>
        <w:tc>
          <w:tcPr>
            <w:tcW w:w="2160" w:type="dxa"/>
          </w:tcPr>
          <w:p w14:paraId="5D517016" w14:textId="77777777" w:rsidR="007C569B" w:rsidRDefault="00000000">
            <w:r>
              <w:t>Modeling and connecting abstract causes to observable effects</w:t>
            </w:r>
          </w:p>
        </w:tc>
        <w:tc>
          <w:tcPr>
            <w:tcW w:w="2160" w:type="dxa"/>
          </w:tcPr>
          <w:p w14:paraId="1845D3F6" w14:textId="77777777" w:rsidR="007C569B" w:rsidRDefault="00000000">
            <w:r>
              <w:t>Students connect patterns in temperature to weather formation</w:t>
            </w:r>
          </w:p>
        </w:tc>
        <w:tc>
          <w:tcPr>
            <w:tcW w:w="2160" w:type="dxa"/>
          </w:tcPr>
          <w:p w14:paraId="49E14149" w14:textId="77777777" w:rsidR="007C569B" w:rsidRDefault="00000000">
            <w:r>
              <w:t>Hands-on convection demo; have students observe and reason before defining 'convection'.</w:t>
            </w:r>
          </w:p>
        </w:tc>
      </w:tr>
    </w:tbl>
    <w:p w14:paraId="46B3FBB1" w14:textId="77777777" w:rsidR="007C569B" w:rsidRDefault="00000000">
      <w:pPr>
        <w:pStyle w:val="Heading2"/>
      </w:pPr>
      <w:r>
        <w:t>Table 2. Instructional Takeaway</w:t>
      </w:r>
    </w:p>
    <w:tbl>
      <w:tblPr>
        <w:tblW w:w="0" w:type="auto"/>
        <w:tblLook w:val="04A0" w:firstRow="1" w:lastRow="0" w:firstColumn="1" w:lastColumn="0" w:noHBand="0" w:noVBand="1"/>
      </w:tblPr>
      <w:tblGrid>
        <w:gridCol w:w="4320"/>
        <w:gridCol w:w="4320"/>
      </w:tblGrid>
      <w:tr w:rsidR="007C569B" w14:paraId="17043631" w14:textId="77777777">
        <w:tc>
          <w:tcPr>
            <w:tcW w:w="4320" w:type="dxa"/>
          </w:tcPr>
          <w:p w14:paraId="01CB8C5F" w14:textId="77777777" w:rsidR="007C569B" w:rsidRDefault="00000000">
            <w:r>
              <w:t>If the test measures...</w:t>
            </w:r>
          </w:p>
        </w:tc>
        <w:tc>
          <w:tcPr>
            <w:tcW w:w="4320" w:type="dxa"/>
          </w:tcPr>
          <w:p w14:paraId="78D4CE88" w14:textId="77777777" w:rsidR="007C569B" w:rsidRDefault="00000000">
            <w:r>
              <w:t>Then instruction should...</w:t>
            </w:r>
          </w:p>
        </w:tc>
      </w:tr>
      <w:tr w:rsidR="007C569B" w14:paraId="2855A41F" w14:textId="77777777">
        <w:tc>
          <w:tcPr>
            <w:tcW w:w="4320" w:type="dxa"/>
          </w:tcPr>
          <w:p w14:paraId="179FA6E2" w14:textId="77777777" w:rsidR="007C569B" w:rsidRDefault="00000000">
            <w:r>
              <w:t>Reasoning and sensemaking</w:t>
            </w:r>
          </w:p>
        </w:tc>
        <w:tc>
          <w:tcPr>
            <w:tcW w:w="4320" w:type="dxa"/>
          </w:tcPr>
          <w:p w14:paraId="62D1DE9A" w14:textId="77777777" w:rsidR="007C569B" w:rsidRDefault="00000000">
            <w:r>
              <w:t>Begin lessons with phenomena, not definitions.</w:t>
            </w:r>
          </w:p>
        </w:tc>
      </w:tr>
      <w:tr w:rsidR="007C569B" w14:paraId="04F572CF" w14:textId="77777777">
        <w:tc>
          <w:tcPr>
            <w:tcW w:w="4320" w:type="dxa"/>
          </w:tcPr>
          <w:p w14:paraId="7885FB7F" w14:textId="77777777" w:rsidR="007C569B" w:rsidRDefault="00000000">
            <w:r>
              <w:t>Pattern recognition</w:t>
            </w:r>
          </w:p>
        </w:tc>
        <w:tc>
          <w:tcPr>
            <w:tcW w:w="4320" w:type="dxa"/>
          </w:tcPr>
          <w:p w14:paraId="470E26DB" w14:textId="77777777" w:rsidR="007C569B" w:rsidRDefault="00000000">
            <w:r>
              <w:t>Include data analysis and prediction tasks.</w:t>
            </w:r>
          </w:p>
        </w:tc>
      </w:tr>
      <w:tr w:rsidR="007C569B" w14:paraId="6AA6B8BF" w14:textId="77777777">
        <w:tc>
          <w:tcPr>
            <w:tcW w:w="4320" w:type="dxa"/>
          </w:tcPr>
          <w:p w14:paraId="57421B1B" w14:textId="77777777" w:rsidR="007C569B" w:rsidRDefault="00000000">
            <w:r>
              <w:t>Model interpretation</w:t>
            </w:r>
          </w:p>
        </w:tc>
        <w:tc>
          <w:tcPr>
            <w:tcW w:w="4320" w:type="dxa"/>
          </w:tcPr>
          <w:p w14:paraId="1E16C595" w14:textId="77777777" w:rsidR="007C569B" w:rsidRDefault="00000000">
            <w:r>
              <w:t>Use visual and physical modeling regularly.</w:t>
            </w:r>
          </w:p>
        </w:tc>
      </w:tr>
      <w:tr w:rsidR="007C569B" w14:paraId="254AB59E" w14:textId="77777777">
        <w:tc>
          <w:tcPr>
            <w:tcW w:w="4320" w:type="dxa"/>
          </w:tcPr>
          <w:p w14:paraId="190A6C81" w14:textId="77777777" w:rsidR="007C569B" w:rsidRDefault="00000000">
            <w:r>
              <w:t>Cause and effect</w:t>
            </w:r>
          </w:p>
        </w:tc>
        <w:tc>
          <w:tcPr>
            <w:tcW w:w="4320" w:type="dxa"/>
          </w:tcPr>
          <w:p w14:paraId="3FF140AB" w14:textId="77777777" w:rsidR="007C569B" w:rsidRDefault="00000000">
            <w:r>
              <w:t>Encourage 'Why?' and 'How?' questioning over recall.</w:t>
            </w:r>
          </w:p>
        </w:tc>
      </w:tr>
      <w:tr w:rsidR="007C569B" w14:paraId="0062E1A6" w14:textId="77777777">
        <w:tc>
          <w:tcPr>
            <w:tcW w:w="4320" w:type="dxa"/>
          </w:tcPr>
          <w:p w14:paraId="3E262B8A" w14:textId="77777777" w:rsidR="007C569B" w:rsidRDefault="00000000">
            <w:r>
              <w:t>Systemic relationships</w:t>
            </w:r>
          </w:p>
        </w:tc>
        <w:tc>
          <w:tcPr>
            <w:tcW w:w="4320" w:type="dxa"/>
          </w:tcPr>
          <w:p w14:paraId="59612F5D" w14:textId="77777777" w:rsidR="007C569B" w:rsidRDefault="00000000">
            <w:r>
              <w:t>Integrate cross-domain connections (energy, weather, life).</w:t>
            </w:r>
          </w:p>
        </w:tc>
      </w:tr>
    </w:tbl>
    <w:p w14:paraId="6C774F21" w14:textId="77777777" w:rsidR="007C569B" w:rsidRDefault="00000000">
      <w:r>
        <w:t>The EOG already measures conceptual thinking — so our role isn’t to prepare for the test, but to teach in ways that build reasoning every day. If students can think like scientists in class, they will naturally succeed on the assessment.</w:t>
      </w:r>
    </w:p>
    <w:p w14:paraId="38239D2D" w14:textId="77777777" w:rsidR="007C569B" w:rsidRDefault="00000000">
      <w:r>
        <w:br w:type="page"/>
      </w:r>
    </w:p>
    <w:p w14:paraId="495196B2" w14:textId="77777777" w:rsidR="007C569B" w:rsidRDefault="00000000">
      <w:pPr>
        <w:pStyle w:val="Heading1"/>
      </w:pPr>
      <w:r>
        <w:lastRenderedPageBreak/>
        <w:t>Teacher Reflection &amp; Application</w:t>
      </w:r>
    </w:p>
    <w:p w14:paraId="5A0F1237" w14:textId="77777777" w:rsidR="007C569B" w:rsidRDefault="00000000">
      <w:r>
        <w:t>Use this space to reflect on how these conceptual reasoning strategies align with your current science instruction. Consider where small shifts could make learning more student-centered and reasoning-based.</w:t>
      </w:r>
    </w:p>
    <w:p w14:paraId="0F3AA2DF" w14:textId="77777777" w:rsidR="007C569B" w:rsidRDefault="00000000">
      <w:pPr>
        <w:pStyle w:val="ListBullet"/>
      </w:pPr>
      <w:r>
        <w:t>1. Which of the EOG conceptual question types are already reflected in my classroom instruction?</w:t>
      </w:r>
    </w:p>
    <w:p w14:paraId="57870526" w14:textId="77777777" w:rsidR="007C569B" w:rsidRDefault="00000000">
      <w:pPr>
        <w:pStyle w:val="ListBullet"/>
      </w:pPr>
      <w:r>
        <w:t>2. Where do I tend to rely most on teacher talk or direct instruction?</w:t>
      </w:r>
    </w:p>
    <w:p w14:paraId="71DD6F39" w14:textId="77777777" w:rsidR="007C569B" w:rsidRDefault="00000000">
      <w:pPr>
        <w:pStyle w:val="ListBullet"/>
      </w:pPr>
      <w:r>
        <w:t>3. What opportunities do I see to replace explanation with inquiry or reasoning?</w:t>
      </w:r>
    </w:p>
    <w:p w14:paraId="5700D78A" w14:textId="77777777" w:rsidR="007C569B" w:rsidRDefault="00000000">
      <w:pPr>
        <w:pStyle w:val="ListBullet"/>
      </w:pPr>
      <w:r>
        <w:t>4. How can I make science discourse a more regular part of classroom routines?</w:t>
      </w:r>
    </w:p>
    <w:p w14:paraId="5659B075" w14:textId="77777777" w:rsidR="007C569B" w:rsidRDefault="00000000">
      <w:pPr>
        <w:pStyle w:val="ListBullet"/>
      </w:pPr>
      <w:r>
        <w:t>5. What would it look like for my students to 'think like scientists' more consistently?</w:t>
      </w:r>
    </w:p>
    <w:p w14:paraId="49D364DA" w14:textId="77777777" w:rsidR="007C569B" w:rsidRDefault="00000000">
      <w:pPr>
        <w:pStyle w:val="ListBullet"/>
      </w:pPr>
      <w:r>
        <w:t>6. What support, resources, or collaboration would help me move in this direction?</w:t>
      </w:r>
    </w:p>
    <w:p w14:paraId="4DD0CBB2" w14:textId="77777777" w:rsidR="007C569B" w:rsidRDefault="00000000">
      <w:r>
        <w:br/>
        <w:t>Notes:</w:t>
      </w:r>
    </w:p>
    <w:p w14:paraId="5E2356F6" w14:textId="77777777" w:rsidR="007C569B" w:rsidRDefault="00000000">
      <w:r>
        <w:br/>
      </w:r>
      <w:r>
        <w:br/>
      </w:r>
      <w:r>
        <w:br/>
      </w:r>
      <w:r>
        <w:br/>
      </w:r>
      <w:r>
        <w:br/>
      </w:r>
      <w:r>
        <w:br/>
      </w:r>
      <w:r>
        <w:br/>
      </w:r>
      <w:r>
        <w:br/>
      </w:r>
      <w:r>
        <w:br/>
      </w:r>
      <w:r>
        <w:br/>
      </w:r>
    </w:p>
    <w:sectPr w:rsidR="007C56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591701">
    <w:abstractNumId w:val="8"/>
  </w:num>
  <w:num w:numId="2" w16cid:durableId="1771387572">
    <w:abstractNumId w:val="6"/>
  </w:num>
  <w:num w:numId="3" w16cid:durableId="1873691149">
    <w:abstractNumId w:val="5"/>
  </w:num>
  <w:num w:numId="4" w16cid:durableId="1920165737">
    <w:abstractNumId w:val="4"/>
  </w:num>
  <w:num w:numId="5" w16cid:durableId="1742292749">
    <w:abstractNumId w:val="7"/>
  </w:num>
  <w:num w:numId="6" w16cid:durableId="1301500805">
    <w:abstractNumId w:val="3"/>
  </w:num>
  <w:num w:numId="7" w16cid:durableId="170996758">
    <w:abstractNumId w:val="2"/>
  </w:num>
  <w:num w:numId="8" w16cid:durableId="1265650413">
    <w:abstractNumId w:val="1"/>
  </w:num>
  <w:num w:numId="9" w16cid:durableId="717432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569B"/>
    <w:rsid w:val="0093403E"/>
    <w:rsid w:val="00AA1D8D"/>
    <w:rsid w:val="00AA6C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AF8FE"/>
  <w14:defaultImageDpi w14:val="300"/>
  <w15:docId w15:val="{8219AEA6-7F7C-4B0D-B9FF-0281D857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549</Words>
  <Characters>3543</Characters>
  <Application>Microsoft Office Word</Application>
  <DocSecurity>0</DocSecurity>
  <Lines>221</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Semiha Yildiz</cp:lastModifiedBy>
  <cp:revision>2</cp:revision>
  <dcterms:created xsi:type="dcterms:W3CDTF">2025-11-03T13:36:00Z</dcterms:created>
  <dcterms:modified xsi:type="dcterms:W3CDTF">2025-11-03T13:36:00Z</dcterms:modified>
  <cp:category/>
</cp:coreProperties>
</file>