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4032" w14:textId="77777777" w:rsidR="00882DFE" w:rsidRPr="00882DFE" w:rsidRDefault="00882DFE" w:rsidP="00882DFE">
      <w:pPr>
        <w:rPr>
          <w:b/>
          <w:bCs/>
          <w:color w:val="1F497D" w:themeColor="text2"/>
          <w:sz w:val="26"/>
          <w:szCs w:val="26"/>
        </w:rPr>
      </w:pPr>
      <w:r w:rsidRPr="00882DFE">
        <w:rPr>
          <w:b/>
          <w:bCs/>
          <w:color w:val="1F497D" w:themeColor="text2"/>
          <w:sz w:val="26"/>
          <w:szCs w:val="26"/>
        </w:rPr>
        <w:t>Executive Summary</w:t>
      </w:r>
    </w:p>
    <w:p w14:paraId="7BEAA87C" w14:textId="77777777" w:rsidR="00882DFE" w:rsidRPr="00882DFE" w:rsidRDefault="00882DFE" w:rsidP="00882DFE">
      <w:pPr>
        <w:rPr>
          <w:b/>
          <w:bCs/>
          <w:color w:val="1F497D" w:themeColor="text2"/>
          <w:sz w:val="26"/>
          <w:szCs w:val="26"/>
        </w:rPr>
      </w:pPr>
      <w:r w:rsidRPr="00882DFE">
        <w:rPr>
          <w:b/>
          <w:bCs/>
          <w:color w:val="1F497D" w:themeColor="text2"/>
          <w:sz w:val="26"/>
          <w:szCs w:val="26"/>
        </w:rPr>
        <w:t>School-Wide Science Instruction Review</w:t>
      </w:r>
    </w:p>
    <w:p w14:paraId="744E9395" w14:textId="77777777" w:rsidR="00882DFE" w:rsidRDefault="00882DFE" w:rsidP="00882DFE"/>
    <w:p w14:paraId="0580A2C2" w14:textId="77777777" w:rsidR="00882DFE" w:rsidRDefault="00882DFE" w:rsidP="00882DFE">
      <w:r>
        <w:t>Prepared by:</w:t>
      </w:r>
    </w:p>
    <w:p w14:paraId="556B9758" w14:textId="70AC3EFC" w:rsidR="00882DFE" w:rsidRDefault="00882DFE" w:rsidP="00882DFE">
      <w:r>
        <w:t>Semiha G. Yildiz</w:t>
      </w:r>
    </w:p>
    <w:p w14:paraId="1B99F3A5" w14:textId="77777777" w:rsidR="00882DFE" w:rsidRDefault="00882DFE" w:rsidP="00882DFE">
      <w:r>
        <w:t>Date:</w:t>
      </w:r>
    </w:p>
    <w:p w14:paraId="7C24D143" w14:textId="77777777" w:rsidR="00882DFE" w:rsidRDefault="00882DFE" w:rsidP="00882DFE">
      <w:r>
        <w:t>December 17, 2025</w:t>
      </w:r>
    </w:p>
    <w:p w14:paraId="2B7CECC1" w14:textId="77777777" w:rsidR="00882DFE" w:rsidRDefault="00882DFE" w:rsidP="00882DFE"/>
    <w:p w14:paraId="6FECF628" w14:textId="77777777" w:rsidR="00882DFE" w:rsidRPr="00882DFE" w:rsidRDefault="00882DFE" w:rsidP="00882DFE">
      <w:pPr>
        <w:rPr>
          <w:b/>
          <w:bCs/>
          <w:color w:val="1F497D" w:themeColor="text2"/>
          <w:sz w:val="26"/>
          <w:szCs w:val="26"/>
        </w:rPr>
      </w:pPr>
      <w:r w:rsidRPr="00882DFE">
        <w:rPr>
          <w:b/>
          <w:bCs/>
          <w:color w:val="1F497D" w:themeColor="text2"/>
          <w:sz w:val="26"/>
          <w:szCs w:val="26"/>
        </w:rPr>
        <w:t>Key Instructional Findings</w:t>
      </w:r>
    </w:p>
    <w:p w14:paraId="64D7B206" w14:textId="1DD0D7A1" w:rsidR="00683BB2" w:rsidRDefault="00000000" w:rsidP="00882DFE">
      <w:r>
        <w:t>This learning environment supports students who are diligent, responsible, and consistent in completing academic tasks. Students who regularly study, follow directions, and prepare for assessments are likely to achieve measurable success, particularly on traditional tests. These outcomes reflect strong routines, clear expectations, and content-focused instruction.</w:t>
      </w:r>
      <w:r>
        <w:br/>
      </w:r>
      <w:r>
        <w:br/>
        <w:t>However, success on tests does not necessarily indicate that students can apply scientific knowledge in meaningful or transferable ways. Traditional assessments primarily report whether students know or remember information; they do not provide sufficient insight into whether students can reason with that knowledge, apply it to novel situations, or use it to solve problems. Tests tell us what students know, but not how they can use that knowledge.</w:t>
      </w:r>
      <w:r>
        <w:br/>
      </w:r>
      <w:r>
        <w:br/>
        <w:t>In the 21st century, this distinction is critical. Access to scientific information is now readily available. The central goal of science education must therefore shift from knowledge acquisition toward knowledge application. Students must be able to use science to analyze real-world and societal issues, generate solutions, and engage in evidence-based decision-making. Preparing students for these demands requires instructional practices that prioritize sense-making, reasoning, and problem-solving over recall.</w:t>
      </w:r>
      <w:r>
        <w:br/>
      </w:r>
      <w:r>
        <w:br/>
        <w:t>From an equity perspective, instructional models that rely heavily on abstract-first teaching and recall-based assessments tend to privilege students who are already aligned with traditional academic expectations. Students whose strengths lie in reasoning, collaboration, design, or applied thinking may be less visible and less recognized, despite possessing strong scientific potential. Equity in science education requires ensuring that all students have access not only to content, but to meaningful participation in scientific practices.</w:t>
      </w:r>
      <w:r>
        <w:br/>
      </w:r>
      <w:r>
        <w:br/>
        <w:t xml:space="preserve">Across observations, female students were often less visible in whole-class scientific discourse, even when they demonstrated strong understanding or provided accurate </w:t>
      </w:r>
      <w:r>
        <w:lastRenderedPageBreak/>
        <w:t>explanations when invited to speak. While girls frequently completed tasks successfully, they were not consistently positioned as central contributors to scientific sense-making. Without intentional instructional structures, disparities in participation and science identity development may persist.</w:t>
      </w:r>
    </w:p>
    <w:p w14:paraId="41D57A94" w14:textId="77777777" w:rsidR="00683BB2" w:rsidRDefault="00000000">
      <w:pPr>
        <w:pStyle w:val="Heading2"/>
      </w:pPr>
      <w:r>
        <w:t>Content Strengths and Pedagogical Misalignment</w:t>
      </w:r>
    </w:p>
    <w:p w14:paraId="35CC56E8" w14:textId="77777777" w:rsidR="00683BB2" w:rsidRDefault="00000000">
      <w:r>
        <w:t>Across grade levels, science content is rich, standards-aligned, and supported by a wide range of instructional resources. Teachers demonstrate strong disciplinary knowledge and regularly incorporate technology, digital simulations, videos, and hands-on materials.</w:t>
      </w:r>
      <w:r>
        <w:br/>
      </w:r>
      <w:r>
        <w:br/>
        <w:t>However, when pedagogy remains teacher-centered and abstract-first, even high-quality content and advanced technology can work against learning. Technology used primarily for information delivery, note-taking, or procedural completion does not activate student thinking and may reinforce passive learning. In these cases, technology amplifies ineffective pedagogy rather than improving instruction.</w:t>
      </w:r>
      <w:r>
        <w:br/>
      </w:r>
      <w:r>
        <w:br/>
        <w:t>Research consistently shows that technology enhances learning only when paired with pedagogical practices that promote inquiry, discourse, and sense-making. Without these foundations, increased technology use can unintentionally reduce student agency and deepen inequities in participation.</w:t>
      </w:r>
    </w:p>
    <w:p w14:paraId="7B2EE5A2" w14:textId="77777777" w:rsidR="00683BB2" w:rsidRDefault="00000000">
      <w:pPr>
        <w:pStyle w:val="Heading2"/>
      </w:pPr>
      <w:r>
        <w:t>School-Wide Instructional Pattern</w:t>
      </w:r>
    </w:p>
    <w:p w14:paraId="512C7282" w14:textId="77777777" w:rsidR="00683BB2" w:rsidRDefault="00000000">
      <w:r>
        <w:t>Overall, classroom observations indicate strong preparation, stable classroom management, and clear instructional intentions. At the same time, a consistent school-wide pattern emerges in which instruction emphasizes content transmission over student construction of meaning. Student talk is often limited, scientific reasoning is underdeveloped, and opportunities for application are constrained.</w:t>
      </w:r>
      <w:r>
        <w:br/>
      </w:r>
      <w:r>
        <w:br/>
        <w:t>Importantly, several classrooms demonstrate highly effective, research-aligned science instruction. These classrooms emphasize inquiry, student discourse, productive struggle, and identity development. They serve as strong internal examples of what is possible and provide a foundation for system-wide instructional growth.</w:t>
      </w:r>
    </w:p>
    <w:p w14:paraId="3131CC67" w14:textId="77777777" w:rsidR="00683BB2" w:rsidRDefault="00000000">
      <w:pPr>
        <w:pStyle w:val="Heading2"/>
      </w:pPr>
      <w:r>
        <w:t>Professional Development Plan (NSF Grant Aligned)</w:t>
      </w:r>
    </w:p>
    <w:p w14:paraId="5E7B69D3" w14:textId="77777777" w:rsidR="00683BB2" w:rsidRDefault="00000000">
      <w:r>
        <w:t>To address the identified pedagogical needs, the school intends to pursue external funding, including an NSF grant, focused on teacher professional development in research-based science pedagogy. The primary goal of this initiative is to support teachers in shifting from content-focused instruction toward practices that emphasize application, inquiry, discourse, and equity.</w:t>
      </w:r>
      <w:r>
        <w:br/>
      </w:r>
      <w:r>
        <w:br/>
        <w:t xml:space="preserve">Professional development activities will take place outside of regular instructional hours, including after-school sessions and weekend workshops. Participating teachers will receive stipends in recognition of their time and professional commitment. This structure ensures equitable access to professional learning opportunities while respecting teachers’ </w:t>
      </w:r>
      <w:r>
        <w:lastRenderedPageBreak/>
        <w:t>workloads.</w:t>
      </w:r>
      <w:r>
        <w:br/>
      </w:r>
      <w:r>
        <w:br/>
        <w:t>The professional development program will focus on phenomena-based instruction, student discourse, productive use of technology, and strategies for supporting diverse learners. Teachers will engage in collaborative lesson design, peer observation, and reflective practice, drawing on both research and internal model classrooms.</w:t>
      </w:r>
      <w:r>
        <w:br/>
      </w:r>
      <w:r>
        <w:br/>
        <w:t>By investing in sustained, compensated professional learning, the school aims to strengthen pedagogical coherence, improve equity in science instruction, and ensure that all students are prepared not only to know science, but to use science to address complex problems in the modern world.</w:t>
      </w:r>
    </w:p>
    <w:sectPr w:rsidR="00683B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341474">
    <w:abstractNumId w:val="8"/>
  </w:num>
  <w:num w:numId="2" w16cid:durableId="1365718467">
    <w:abstractNumId w:val="6"/>
  </w:num>
  <w:num w:numId="3" w16cid:durableId="1103376189">
    <w:abstractNumId w:val="5"/>
  </w:num>
  <w:num w:numId="4" w16cid:durableId="265388001">
    <w:abstractNumId w:val="4"/>
  </w:num>
  <w:num w:numId="5" w16cid:durableId="852181597">
    <w:abstractNumId w:val="7"/>
  </w:num>
  <w:num w:numId="6" w16cid:durableId="560795054">
    <w:abstractNumId w:val="3"/>
  </w:num>
  <w:num w:numId="7" w16cid:durableId="674037807">
    <w:abstractNumId w:val="2"/>
  </w:num>
  <w:num w:numId="8" w16cid:durableId="2120639914">
    <w:abstractNumId w:val="1"/>
  </w:num>
  <w:num w:numId="9" w16cid:durableId="391776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3BB2"/>
    <w:rsid w:val="00882DFE"/>
    <w:rsid w:val="00AA1D8D"/>
    <w:rsid w:val="00B47730"/>
    <w:rsid w:val="00CB0664"/>
    <w:rsid w:val="00E837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2D916"/>
  <w14:defaultImageDpi w14:val="300"/>
  <w15:docId w15:val="{1D28C83F-4C94-4F38-8218-AACE41449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845</Words>
  <Characters>4822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Semiha Yildiz</cp:lastModifiedBy>
  <cp:revision>2</cp:revision>
  <dcterms:created xsi:type="dcterms:W3CDTF">2025-12-17T15:57:00Z</dcterms:created>
  <dcterms:modified xsi:type="dcterms:W3CDTF">2025-12-17T15:57:00Z</dcterms:modified>
  <cp:category/>
</cp:coreProperties>
</file>