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正文引用标注与附录 C</w:t>
      </w:r>
    </w:p>
    <w:p>
      <w:pPr>
        <w:pStyle w:val="Heading1"/>
      </w:pPr>
      <w:r>
        <w:t>一、正文引用标注（插入位置建议）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4"/>
        </w:rPr>
        <w:t>按格式规范第 6 条，正文用到外部资料处应标 [编号]。建议在以下位置插入：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① 二、问题分析 → 2.2 数据概览第一段末尾：“附件给了 50 000 个任务、6 个区域、2 406 个小时的数据[1]。”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② 五、模型建立与求解 → 5.1.2 短期预测模型第一段：“……梯度提升树[2]用了滞后 1、2、3、24、168 小时的特征……”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③ 五、模型建立与求解 → 5.2.2 求解第一段末尾：“……最后按 Pareto 支配关系筛折中解[3]。”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④ 附录 A AI 工具使用声明末尾：“……详细使用情况见附录 B[4]。”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⑤ 附录 C 开头：“按论文格式规范第 6 条[5]，附录给出软件、命令与代码清单。”</w:t>
      </w:r>
    </w:p>
    <w:p>
      <w:pPr>
        <w:pStyle w:val="Heading1"/>
      </w:pPr>
      <w:r>
        <w:t>二、参考文献（按正文引用顺序，格式按第 6 条）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[1] 2026 年华数杯大学生数学建模竞赛组委会. 附件 1：背景说明、术语解释与数据字典[Z]. 2026.（正文 2.2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[2] Friedman J H. Greedy function approximation: a gradient boosting machine[J]. Annals of Statistics, 2001, 29(5): 1189-1232.（正文 5.1.2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[3] Deb K, Pratap A, Agarwal S, et al. A fast and elitist multiobjective genetic algorithm: NSGA-II[J]. IEEE Transactions on Evolutionary Computation, 2002, 6(2): 182-197.（正文 5.2.2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[4] 华数杯大学生数学建模竞赛组委会. 华数杯大学生数学建模竞赛人工智能工具使用章程[Z]. 2026.（附录 A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[5] 2026 年华数杯大学生数学建模竞赛组委会. 2026 年华数杯数学建模竞赛论文格式规范与提交说明[Z]. 2026.（附录 C 引用）</w:t>
      </w:r>
    </w:p>
    <w:p>
      <w:pPr>
        <w:pStyle w:val="Heading1"/>
      </w:pPr>
      <w:r>
        <w:t>三、附录 C（可直接复制进论文）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附录 C  程序与数据说明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C.1 软件环境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4"/>
        </w:rPr>
        <w:t>Python 3.10+；依赖 pandas、numpy、scipy（含 HiGHS 求解器）、scikit-learn、matplotlib、statsmodels。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C.2 主要运行命令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问题一：python q1_optimized_model.py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问题二：python run_pareto.py --data-dir &lt;附件数据目录&gt; --output-dir &lt;输出目录&gt; --solver greedy --hour-start 0 --hour-end 2399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问题三：python run_all.py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问题四：python q4_run.py --data-dir &lt;附件数据目录&gt; --output-dir &lt;输出目录&gt; --workers 8；复核与出图：python q4_verify.py、python q4_analysis.py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C.3 代码清单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600"/>
        <w:gridCol w:w="1500"/>
        <w:gridCol w:w="3972"/>
      </w:tblGrid>
      <w:tr>
        <w:trPr>
          <w:tblHeader/>
        </w:trPr>
        <w:tc>
          <w:tcPr>
            <w:tcW w:type="dxa" w:w="3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1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所属问题</w:t>
            </w:r>
          </w:p>
        </w:tc>
        <w:tc>
          <w:tcPr>
            <w:tcW w:type="dxa" w:w="39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q1_optimized_model.py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问题一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数据统计、三模型预测、基础调度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run_pareto.py（含 scheduler.py、metrics.py、common.py 等）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问题二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八策略滚动调度与 Pareto 分析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run_all.py（含 storage_lp.py、sensitivity.py 等）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问题三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储能协同 MILP 求解与敏感性分析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q4_run.py / q4_verify.py / q4_analysis.py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问题四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双层协同求解、约束复核、图表生成</w:t>
            </w:r>
          </w:p>
        </w:tc>
      </w:tr>
    </w:tbl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注：全部源程序与输出文件打包在支撑材料（选题+参赛编号+附件.rar）中；赛题原始数据未写入附录。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