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Times New Roman" w:hAnsi="Times New Roman" w:eastAsia="宋体"/>
          <w:b/>
          <w:i w:val="0"/>
          <w:sz w:val="24"/>
        </w:rPr>
        <w:t>参赛组别：本科组        参赛队号：CM【待填】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i w:val="0"/>
          <w:sz w:val="32"/>
        </w:rPr>
        <w:t>面向算电协同的多区域算力调度与储能协同优化</w:t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sz w:val="32"/>
        </w:rPr>
        <w:t>摘  要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AI 算力越铺越大，数据中心电费和碳排放压到了运营成本的关键位置。算电协同要让算力负荷跟着电力系统实时走、跨区域调配。思路分四步：统计预测、碳感知调度、储能协同、全局协同。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问题一里，我们先用统计和泊松拟合摸任务到达规律，再比常数均值、AR(2)、梯度提升树三种预测，给出 90% 区间，以 GPU 容量为约束搭基础调度模型。梯度提升树 MAPE 10.06%（2376–2399 小时）、区间覆盖率 91.7%；最后 24 小时 538 个任务全部按时完成，迁移率 2.8%、零延后。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问题二里，我们把“任务迁到哪个区域、几点开工”当决策变量，建了加权评分下的碳感知滚动调度模型（WCRS），用 8 组权重跑方案，再按 Pareto 支配筛选。5 万个任务全部排完、0 违规；新能源利用率从 32.8% 抬到 68.8%，碳排放降到 160.7 tCO₂。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问题三里，给定负荷后我们把六区域拆开，各自建带储能的 MILP 模型精确求解。相比没有储能，储能让成本再降 9.4%，峰值净购电 -568.4 MW，波动 MAD 0.5 MW；容量敏感性显示储能已近饱和。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问题四里，我们用边际供应栈把任务调度层和能源—储能层耦合起来，一共跑 20 个场景。各场景任务完整调度、0 违规，成本从 +18.0 亿转到 -4.59 亿、碳排归零；新能源少 20% 时失去零购电运行点，碳排存在约 1 630 tCO₂ 下限。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容量和效率敏感性都指向模型稳健；方法还能挪到多能互补园区、虚拟电厂等场景。</w:t>
      </w:r>
    </w:p>
    <w:p>
      <w:pPr>
        <w:spacing w:after="80"/>
      </w:pPr>
      <w:r>
        <w:rPr>
          <w:rFonts w:ascii="Times New Roman" w:hAnsi="Times New Roman" w:eastAsia="黑体"/>
          <w:b/>
          <w:i w:val="0"/>
          <w:sz w:val="28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：算电协同；多目标优化；滚动时域调度；储能协同；双层协同优化</w:t>
      </w:r>
    </w:p>
    <w:p>
      <w:r>
        <w:br w:type="page"/>
      </w:r>
    </w:p>
    <w:p>
      <w:pPr>
        <w:spacing w:before="240" w:after="240"/>
        <w:jc w:val="center"/>
      </w:pPr>
      <w:r>
        <w:rPr>
          <w:rFonts w:ascii="Times New Roman" w:hAnsi="Times New Roman" w:eastAsia="黑体"/>
          <w:b/>
          <w:i w:val="0"/>
          <w:sz w:val="32"/>
        </w:rPr>
        <w:t>目 录</w:t>
      </w:r>
    </w:p>
    <w:p>
      <w:r>
        <w:fldChar w:fldCharType="begin"/>
        <w:instrText xml:space="preserve">TOC \o "1-3" \h \z \u</w:instrText>
        <w:fldChar w:fldCharType="separate"/>
        <w:t>（在 Word 中 Ctrl+A 后按 F9 更新目录）</w:t>
        <w:fldChar w:fldCharType="end"/>
      </w:r>
    </w:p>
    <w:p>
      <w:r>
        <w:br w:type="page"/>
      </w:r>
    </w:p>
    <w:p>
      <w:pPr>
        <w:pStyle w:val="Heading1"/>
      </w:pPr>
      <w:r>
        <w:t>一、问题重述</w:t>
      </w:r>
    </w:p>
    <w:p>
      <w:pPr>
        <w:pStyle w:val="Heading2"/>
      </w:pPr>
      <w:r>
        <w:t>1.1 问题背景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算力规模一路扩张，数据中心对电网的影响越来越大，电费慢慢成了运营成本里最重的一块。2026 年政府工作报告第一次把“算电协同”写进国家级新基建工程，要求实施超大规模智算集群、算电协同等工程，加强全国一体化算力监测调度。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电协同讲的是算力负荷和能源系统之间的实时配合。西部风电、光伏、水电都多，电价便宜，适合建绿色数据中心；东部离用户近，时延低，实时业务多。可任务一旦跨区域搬，就牵涉计算、电力、新能源、储能、通信五套系统的协同：搬到新能源多的地方能省电费、减碳排，但时延会涨；实时推理怕等，训练任务却不在乎，更看重电价和算力规模；新能源出力忽高忽低，还得靠储能兜底。怎么把 AI 负载、能源系统和通信网络一起优化，是算电协同绕不开的问题。</w:t>
      </w:r>
    </w:p>
    <w:p>
      <w:pPr>
        <w:pStyle w:val="Heading2"/>
      </w:pPr>
      <w:r>
        <w:t>1.2 问题提出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题目设了六个区域：A、B、C 是东部高负荷区，D 是西部算力中心，E、F 分别是光伏、风电富集区。任务在 0–2399 小时到达，每小时一个粒度；2400–2405 小时用来结清末尾任务，2406 小时只做电力和储能的状态结算。任务分实时推理、批量推理、AI 训练三类：实时的到了就开工，批量和训练可以往后放，但都得在 2406 之前做完；任务不能抢占、不能拆分、不能中途搬家。需要回答四个问题：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问题一：</w:t>
      </w:r>
      <w:r>
        <w:rPr>
          <w:rFonts w:ascii="Times New Roman" w:hAnsi="Times New Roman" w:eastAsia="宋体"/>
          <w:b w:val="0"/>
          <w:i w:val="0"/>
          <w:sz w:val="24"/>
        </w:rPr>
        <w:t>统计不同区域、不同类型任务的 GPU 需求并做短期预测；建基础算力调度模型，给出 2376–2399 小时到达任务的调度方案，展示最后 24 小时甘特图和区域 GPU 利用率。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问题二：</w:t>
      </w:r>
      <w:r>
        <w:rPr>
          <w:rFonts w:ascii="Times New Roman" w:hAnsi="Times New Roman" w:eastAsia="宋体"/>
          <w:b w:val="0"/>
          <w:i w:val="0"/>
          <w:sz w:val="24"/>
        </w:rPr>
        <w:t>以任务迁移与开工时段为决策变量，考虑电价、碳强度和新能源，建碳感知任务调度模型，同时盯住成本、碳排、时延和新能源利用率。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问题三：</w:t>
      </w:r>
      <w:r>
        <w:rPr>
          <w:rFonts w:ascii="Times New Roman" w:hAnsi="Times New Roman" w:eastAsia="宋体"/>
          <w:b w:val="0"/>
          <w:i w:val="0"/>
          <w:sz w:val="24"/>
        </w:rPr>
        <w:t>在给定调度和逐时负荷的基础上建储能协同优化模型，设计充放电策略，看储能对成本、碳排、峰值净购电和负荷波动的影响。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问题四：</w:t>
      </w:r>
      <w:r>
        <w:rPr>
          <w:rFonts w:ascii="Times New Roman" w:hAnsi="Times New Roman" w:eastAsia="宋体"/>
          <w:b w:val="0"/>
          <w:i w:val="0"/>
          <w:sz w:val="24"/>
        </w:rPr>
        <w:t>把任务迁移、电价、碳排、新能源、储能、购售电边界、时延和任务异构性放在一个模型里，比较不同碳约束、电价机制和新能源波动下的策略变化。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总体思路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个问题一条链：问题一解决“算力需求是什么、怎么预测、怎么排”；问题二在排的基础上加跨区迁移和碳感知；问题三把调度结果当作给定负荷，单独研究储能；问题四再把调度、储能、电力合成一个整体。对应下来，我们的技术路线是“数据探索→需求预测→基础调度→碳感知多目标调度→储能协同→算储电全局协同”。</w:t>
      </w:r>
    </w:p>
    <w:p>
      <w:pPr>
        <w:pStyle w:val="Heading2"/>
      </w:pPr>
      <w:r>
        <w:t>2.2 数据概览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附件给了 50 000 个任务、6 个区域、2 406 个小时的数据。三类任务各占约三分之一；GPU 需求从 1 到 127 个等效 GPU，平均 29.5；任务时长从 10 到 399 分钟，平均约 204 分钟。区域算力见表 1：D 区是西部算力中心，可调度 GPU 有 1 472，比东三区明显大；E、F 区靠着新能源，适合低碳调度。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六区域算力资源概览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400"/>
        <w:gridCol w:w="2200"/>
        <w:gridCol w:w="1200"/>
        <w:gridCol w:w="1500"/>
        <w:gridCol w:w="900"/>
        <w:gridCol w:w="1872"/>
      </w:tblGrid>
      <w:tr>
        <w:trPr>
          <w:tblHeader/>
        </w:trPr>
        <w:tc>
          <w:tcPr>
            <w:tcW w:type="dxa" w:w="14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区域</w:t>
            </w:r>
          </w:p>
        </w:tc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定位</w:t>
            </w:r>
          </w:p>
        </w:tc>
        <w:tc>
          <w:tcPr>
            <w:tcW w:type="dxa" w:w="1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可调度GPU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IT功率上限（MW）</w:t>
            </w:r>
          </w:p>
        </w:tc>
        <w:tc>
          <w:tcPr>
            <w:tcW w:type="dxa" w:w="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PUE</w:t>
            </w:r>
          </w:p>
        </w:tc>
        <w:tc>
          <w:tcPr>
            <w:tcW w:type="dxa" w:w="18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设施功率上限（MW）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RegionA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东部实时业务中心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630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420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567.0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RegionB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东部综合业务中心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585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1.35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553.5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RegionC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东部边缘算力节点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405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1.38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558.9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RegionD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西部算力中心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1 472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720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1.28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921.6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RegionE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光伏资源富集区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1 012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560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1.25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700.0</w:t>
            </w:r>
          </w:p>
        </w:tc>
      </w:tr>
      <w:tr>
        <w:tc>
          <w:tcPr>
            <w:tcW w:type="dxa" w:w="14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RegionF</w:t>
            </w:r>
          </w:p>
        </w:tc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风电资源富集区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966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1.27</w:t>
            </w:r>
          </w:p>
        </w:tc>
        <w:tc>
          <w:tcPr>
            <w:tcW w:type="dxa" w:w="18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685.8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区域和任务类型是绑在一起的：实时推理大多落在东三区，占比约 78%；AI 训练相对分散，西三区比重更高。换句话说，迁移动力主要来自训练和可延迟的批量任务，实时任务原则上原地不动。逐时任务到达数的均值方差比约 1.032，接近泊松分布；GPU 需求总量过离散，但自相关都接近 0，没有明显的周期记忆。预测模型抓近期信息就够了。</w:t>
      </w:r>
    </w:p>
    <w:p>
      <w:pPr>
        <w:pStyle w:val="Heading2"/>
      </w:pPr>
      <w:r>
        <w:t>2.3 问题一分析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问题一分成统计、预测、调度三层。统计看任务怎么分布；预测按赛题口径用 0–2375 小时训练、2376–2399 小时测试；调度以 GPU 容量为硬约束，实时任务优先，弹性任务有空位再排。</w:t>
      </w:r>
    </w:p>
    <w:p>
      <w:pPr>
        <w:pStyle w:val="Heading2"/>
      </w:pPr>
      <w:r>
        <w:t>2.4 问题二分析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问题二在问题一之上加了跨区迁移和碳感知，变成算力调度与电力系统耦合的多目标问题。决策变量从“几点开工”扩成“去哪个区、几点开工”；成本、碳排、时延、新能源四个目标互相打架；约束有 GPU、功率、时延、时限。5 万个任务乘 2400 个时段，直接解整数规划不现实，所以用滚动窗口加加权评分，再配多组权重做 Pareto 分析。</w:t>
      </w:r>
    </w:p>
    <w:p>
      <w:pPr>
        <w:pStyle w:val="Heading2"/>
      </w:pPr>
      <w:r>
        <w:t>2.5 问题三分析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问题三不动调度，只优化储能充放电、购售电和新能源分配。六区域之间没有潮流和带宽耦合，可以拆成六个独立子问题，每个都是带 0-1 充放互斥变量的 MILP，交给 HiGHS 精确求解。评价看成本、碳排、峰值净购电和波动四项，再做容量、效率敏感性。</w:t>
      </w:r>
    </w:p>
    <w:p>
      <w:pPr>
        <w:pStyle w:val="Heading2"/>
      </w:pPr>
      <w:r>
        <w:t>2.6 问题四分析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四的难点在“耦合”两个字：调度决定逐时负荷，负荷进能源层决定购售电和充放电，能源层的边际特性再回头影响调度评分。所以我们用“任务调度层＋能源—储能层＋边际供应栈反馈”的双层结构，并设计 20 个场景（含新能源减少时的碳约束组合）做对比。</w:t>
      </w:r>
    </w:p>
    <w:p>
      <w:pPr>
        <w:pStyle w:val="Heading1"/>
      </w:pPr>
      <w:r>
        <w:t>三、模型假设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时间按 1 小时离散，同一小时内电价、碳强度、新能源出力和任务状态都不变；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任务不可抢占、不可拆分、不可中途迁移，开工后区域和资源占用固定；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实时任务到达即开工，只安排到时延达标的区域；批量和训练任务可在时限内延迟；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跨区迁移只看 network_latency 给的单向时延，不管带宽、数据量、传输能耗和费用；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不考虑区域间线路潮流，只设区域级购售电边界（MaxGridImport/MaxGridExport）；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PUE 取附件固定值，设施负荷＝IT 负荷×PUE；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储能按 SOC 递推式运行，效率恒定，SOC 不越界，2406 小时不低于初始值，同一时段不能同时充放电；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新能源出力按附件逐时数据，时段内恒定；富余部分可消纳、充电或外送，剩下的算弃电；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问题三的 IT 负荷取 Baseline_AI_IT_Load 与 NonAI_IT_Load 之和，负荷外生；</w:t>
      </w:r>
    </w:p>
    <w:p>
      <w:pPr>
        <w:spacing w:after="4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碳排＝购电×碳强度；新能源利用率＝（直接消纳＋新能源充电＋外送）/可用新能源。</w:t>
      </w:r>
    </w:p>
    <w:p>
      <w:pPr>
        <w:pStyle w:val="Heading1"/>
      </w:pPr>
      <w:r>
        <w:t>四、符号说明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主要符号说明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000"/>
        <w:gridCol w:w="4600"/>
        <w:gridCol w:w="2472"/>
      </w:tblGrid>
      <w:tr>
        <w:trPr>
          <w:tblHeader/>
        </w:trPr>
        <w:tc>
          <w:tcPr>
            <w:tcW w:type="dxa" w:w="20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符号</w:t>
            </w:r>
          </w:p>
        </w:tc>
        <w:tc>
          <w:tcPr>
            <w:tcW w:type="dxa" w:w="4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符号意义</w:t>
            </w:r>
          </w:p>
        </w:tc>
        <w:tc>
          <w:tcPr>
            <w:tcW w:type="dxa" w:w="24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备注/单位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 / t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区域索引（A–F）/ 时段索引（0–2406）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 / 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i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任务索引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g_i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 GPU 需求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等效 GPU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d_i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任务执行时长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l_i / L_i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最大可接受时延 / 最晚完成时刻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ms / 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x_i,r,s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 i 在区域 r、时段 s 开工的 0-1 变量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h_i,t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任务 i 在时段 t 的重叠系数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Available_GPU(r)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区域可调度 GPU 容量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等效 GPU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PUE(r)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区域能源使用效率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无量纲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AI_IT_Load(r,t) / IT_Load(r,t)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 任务 IT 负荷 / 总 IT 负荷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Total_Load(r,t)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设施侧负荷（=IT×PUE）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G_buy(r,t) / G_sell(r,t)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电网购电 / 外送功率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R_use(r,t) / Curt(r,t)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新能源直接消纳 / 弃电功率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R_ch(r,t) / G_ch(r,t)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新能源充电 / 电网充电功率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P_ch(r,t) / P_dis(r,t)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储能充电 / 放电功率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SOC(r,t)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储能时段末荷电状态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ηc / ηd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储能充 / 放电效率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无量纲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ElectricityPrice(r,t)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购电价格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元/MWh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CarbonIntensity(r,t)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电网碳强度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tCO₂/MWh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NetGridImport(r,t)</w:t>
            </w:r>
          </w:p>
        </w:tc>
        <w:tc>
          <w:tcPr>
            <w:tcW w:type="dxa" w:w="4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净购电功率（购电−外送）</w:t>
            </w:r>
          </w:p>
        </w:tc>
        <w:tc>
          <w:tcPr>
            <w:tcW w:type="dxa" w:w="2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MW</w:t>
            </w:r>
          </w:p>
        </w:tc>
      </w:tr>
    </w:tbl>
    <w:p>
      <w:pPr>
        <w:pStyle w:val="Heading1"/>
      </w:pPr>
      <w:r>
        <w:t>五、模型建立与求解</w:t>
      </w:r>
    </w:p>
    <w:p>
      <w:pPr>
        <w:pStyle w:val="Heading2"/>
      </w:pPr>
      <w:r>
        <w:t>5.1 问题一：算力需求统计、短期预测与基础算力调度</w:t>
      </w:r>
    </w:p>
    <w:p>
      <w:pPr>
        <w:pStyle w:val="Heading3"/>
      </w:pPr>
      <w:r>
        <w:t>5.1.1 数据探索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先把 50 000 个任务按区域和类型摊开看：三类任务数量几乎一样多，来源以东三区和 D 区为主。逐时任务到达数均值约 20.8、方差约 20.2，均值方差比 1.032，贴着泊松分布；GPU 需求总量方差远大于均值，属于过离散，但自相关同样接近 0。也就是说，需求序列没有强周期、没有长记忆，短期预测靠近期信息就够了。</w:t>
      </w:r>
    </w:p>
    <w:p>
      <w:pPr>
        <w:pStyle w:val="Heading3"/>
      </w:pPr>
      <w:r>
        <w:t>5.1.2 短期预测模型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预测对象是逐小时 GPU 需求总量。我们拿常数均值、AR(2)、梯度提升树三套模型对比，训练集 0–2375 小时、测试集 2376–2399 小时。梯度提升树用了滞后 1、2、3、24、168 小时的特征，加日内周期和滚动统计量，超参走网格搜索；不确定性用 5%、50%、95% 三个分位模型拼出 90% 区间。结果见表 3。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三种短期预测模型性能对比（2376–2399 小时）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600"/>
        <w:gridCol w:w="2157"/>
        <w:gridCol w:w="2157"/>
        <w:gridCol w:w="2158"/>
      </w:tblGrid>
      <w:tr>
        <w:trPr>
          <w:tblHeader/>
        </w:trPr>
        <w:tc>
          <w:tcPr>
            <w:tcW w:type="dxa" w:w="2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模型</w:t>
            </w:r>
          </w:p>
        </w:tc>
        <w:tc>
          <w:tcPr>
            <w:tcW w:type="dxa" w:w="21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MAE（等效GPU）</w:t>
            </w:r>
          </w:p>
        </w:tc>
        <w:tc>
          <w:tcPr>
            <w:tcW w:type="dxa" w:w="21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RMSE（等效GPU）</w:t>
            </w:r>
          </w:p>
        </w:tc>
        <w:tc>
          <w:tcPr>
            <w:tcW w:type="dxa" w:w="215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MAPE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常数均值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412.82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479.70</w:t>
            </w:r>
          </w:p>
        </w:tc>
        <w:tc>
          <w:tcPr>
            <w:tcW w:type="dxa" w:w="21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14.63%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AR(2)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410.63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480.86</w:t>
            </w:r>
          </w:p>
        </w:tc>
        <w:tc>
          <w:tcPr>
            <w:tcW w:type="dxa" w:w="21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14.41%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梯度提升树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271.81</w:t>
            </w:r>
          </w:p>
        </w:tc>
        <w:tc>
          <w:tcPr>
            <w:tcW w:type="dxa" w:w="21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308.79</w:t>
            </w:r>
          </w:p>
        </w:tc>
        <w:tc>
          <w:tcPr>
            <w:tcW w:type="dxa" w:w="21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10.06%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梯度提升树 MAPE 10.06%，比常数均值低约 4.6 个百分点，90% 区间覆盖 91.7%。预测的是需求总量而不是单个任务，所以误差只影响容量预留和弹性任务的时段选择，不影响任务本身能不能排。</w:t>
      </w:r>
    </w:p>
    <w:p>
      <w:pPr>
        <w:pStyle w:val="Heading3"/>
      </w:pPr>
      <w:r>
        <w:t>5.1.3 基础算力调度模型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基础调度以 GPU 容量为硬约束：实时任务到了就开工，批量和训练在容量允许时延后，任务不拆分不迁移。对 2376–2399 小时实际到达的 538 个任务做调度，结果见表 4。全部按时完成，迁移率 2.8%，全部到达即开工，IT 功率峰值约 28%。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最后 24 小时基础调度任务统计（2376–2399）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00"/>
        <w:gridCol w:w="1700"/>
        <w:gridCol w:w="1500"/>
        <w:gridCol w:w="3772"/>
      </w:tblGrid>
      <w:tr>
        <w:trPr>
          <w:tblHeader/>
        </w:trPr>
        <w:tc>
          <w:tcPr>
            <w:tcW w:type="dxa" w:w="2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任务类型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任务数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占比</w:t>
            </w:r>
          </w:p>
        </w:tc>
        <w:tc>
          <w:tcPr>
            <w:tcW w:type="dxa" w:w="37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调度特性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AI 训练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194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36.1%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允许延后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批量推理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184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34.2%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允许延后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实时推理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29.7%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到达即开工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合计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538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100%</w:t>
            </w:r>
          </w:p>
        </w:tc>
        <w:tc>
          <w:tcPr>
            <w:tcW w:type="dxa" w:w="37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迁移率 2.8%，零延后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容量充足，所以实时和弹性任务都能到点就排，不需要延后；峰值只有 28%，留出的余量正是问题二能大幅优化成本与碳排的空间。</w:t>
      </w:r>
    </w:p>
    <w:p>
      <w:pPr>
        <w:pStyle w:val="Heading2"/>
      </w:pPr>
      <w:r>
        <w:t>5.2 问题二：碳感知任务调度模型</w:t>
      </w:r>
    </w:p>
    <w:p>
      <w:pPr>
        <w:pStyle w:val="Heading3"/>
      </w:pPr>
      <w:r>
        <w:t>5.2.1 模型建立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决策变量是 x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i,r,s</w:t>
      </w:r>
      <w:r>
        <w:rPr>
          <w:rFonts w:ascii="Times New Roman" w:hAnsi="Times New Roman" w:eastAsia="宋体"/>
          <w:b w:val="0"/>
          <w:i w:val="0"/>
          <w:sz w:val="24"/>
        </w:rPr>
        <w:t>，任务 i 在区域 r、时段 s 开工取 1，否则取 0。任务功率按类型折算：AI 训练 0.16、批量推理 0.10、实时推理 0.08 MW/GPU。约束有五类：只能去时延达标的区域；实时任务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=a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，弹性任务满足时限；GPU 不超容量；IT 和设施功率不超上限；每个任务只排一次。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 xml:space="preserve"> 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s</w:t>
      </w:r>
      <w:r>
        <w:rPr>
          <w:rFonts w:ascii="Times New Roman" w:hAnsi="Times New Roman" w:eastAsia="宋体"/>
          <w:b w:val="0"/>
          <w:i w:val="0"/>
          <w:sz w:val="24"/>
        </w:rPr>
        <w:t xml:space="preserve"> g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·h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i,t</w:t>
      </w:r>
      <w:r>
        <w:rPr>
          <w:rFonts w:ascii="Times New Roman" w:hAnsi="Times New Roman" w:eastAsia="宋体"/>
          <w:b w:val="0"/>
          <w:i w:val="0"/>
          <w:sz w:val="24"/>
        </w:rPr>
        <w:t>·x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i,r,s</w:t>
      </w:r>
      <w:r>
        <w:rPr>
          <w:rFonts w:ascii="Times New Roman" w:hAnsi="Times New Roman" w:eastAsia="宋体"/>
          <w:b w:val="0"/>
          <w:i w:val="0"/>
          <w:sz w:val="24"/>
        </w:rPr>
        <w:t xml:space="preserve"> ≤ Available_GPU(r)</w:t>
      </w:r>
      <w:r>
        <w:rPr>
          <w:rFonts w:ascii="Times New Roman" w:hAnsi="Times New Roman" w:eastAsia="宋体"/>
          <w:b w:val="0"/>
          <w:i w:val="0"/>
          <w:sz w:val="24"/>
        </w:rPr>
        <w:tab/>
        <w:t>(1)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IT_Load(r,t) = NonAI_IT_Load(r,t) + 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 xml:space="preserve"> Σ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s</w:t>
      </w:r>
      <w:r>
        <w:rPr>
          <w:rFonts w:ascii="Times New Roman" w:hAnsi="Times New Roman" w:eastAsia="宋体"/>
          <w:b w:val="0"/>
          <w:i w:val="0"/>
          <w:sz w:val="24"/>
        </w:rPr>
        <w:t xml:space="preserve"> 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</w:t>
      </w:r>
      <w:r>
        <w:rPr>
          <w:rFonts w:ascii="Times New Roman" w:hAnsi="Times New Roman" w:eastAsia="宋体"/>
          <w:b w:val="0"/>
          <w:i w:val="0"/>
          <w:sz w:val="24"/>
        </w:rPr>
        <w:t>·h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i,t</w:t>
      </w:r>
      <w:r>
        <w:rPr>
          <w:rFonts w:ascii="Times New Roman" w:hAnsi="Times New Roman" w:eastAsia="宋体"/>
          <w:b w:val="0"/>
          <w:i w:val="0"/>
          <w:sz w:val="24"/>
        </w:rPr>
        <w:t>·x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i,r,s</w:t>
      </w:r>
      <w:r>
        <w:rPr>
          <w:rFonts w:ascii="Times New Roman" w:hAnsi="Times New Roman" w:eastAsia="宋体"/>
          <w:b w:val="0"/>
          <w:i w:val="0"/>
          <w:sz w:val="24"/>
        </w:rPr>
        <w:t xml:space="preserve"> ≤ Max_IT_Power_MW(r)</w:t>
      </w:r>
      <w:r>
        <w:rPr>
          <w:rFonts w:ascii="Times New Roman" w:hAnsi="Times New Roman" w:eastAsia="宋体"/>
          <w:b w:val="0"/>
          <w:i w:val="0"/>
          <w:sz w:val="24"/>
        </w:rPr>
        <w:tab/>
        <w:t>(2)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Total_Load(r,t) = IT_Load(r,t) × PUE(r) ≤ Max_Facility_Power_MW(r)</w:t>
      </w:r>
      <w:r>
        <w:rPr>
          <w:rFonts w:ascii="Times New Roman" w:hAnsi="Times New Roman" w:eastAsia="宋体"/>
          <w:b w:val="0"/>
          <w:i w:val="0"/>
          <w:sz w:val="24"/>
        </w:rPr>
        <w:tab/>
        <w:t>(3)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四个目标合成一个评分：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/>
          <w:i w:val="0"/>
          <w:sz w:val="24"/>
        </w:rPr>
        <w:t>Score(i,r,s) = α·Cost(i,r,s) + β·Carbon(i,r,s) + γ·Latency(i,r) − δ·RenewableBenefit(i,r,s) + μ·Congestion(i,r,s)</w:t>
      </w:r>
      <w:r>
        <w:rPr>
          <w:rFonts w:ascii="Times New Roman" w:hAnsi="Times New Roman" w:eastAsia="宋体"/>
          <w:b w:val="0"/>
          <w:i w:val="0"/>
          <w:sz w:val="24"/>
        </w:rPr>
        <w:tab/>
        <w:t>(4)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成本与碳排按执行时段内“新增负荷扣除新能源直接消纳后的购电”乘电价/碳强度累加；新能源收益取直接消纳量；拥塞惩罚看 GPU 和功率利用率超阈值的部分。新能源前面是负号，消纳越多越划算。</w:t>
      </w:r>
    </w:p>
    <w:p>
      <w:pPr>
        <w:pStyle w:val="Heading3"/>
      </w:pPr>
      <w:r>
        <w:t>5.2.2 求解：滚动窗口＋多策略 Pareto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 万个任务直接整体求解不现实，我们按 6 小时切窗、往前看 24 小时，窗口内任务按到达和截止时间排序，逐个枚举不超过 24 个候选方案，选评分最低且不违反约束的排下去，排完固定再进下一窗。权重我们准备了 8 组（综合、成本、低碳、新能源、时延、低碳+新能源、成本+碳、负载均衡），每组跑一遍，最后按 Pareto 支配关系筛折中解。</w:t>
      </w:r>
    </w:p>
    <w:p>
      <w:pPr>
        <w:pStyle w:val="Heading3"/>
      </w:pPr>
      <w:r>
        <w:t>5.2.3 结果分析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组权重下，50 000 个任务全部排完、0 违规、按时率 100%，见表 5。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八种策略调度结果对比（全时域 0–2399 小时）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200"/>
        <w:gridCol w:w="1300"/>
        <w:gridCol w:w="1250"/>
        <w:gridCol w:w="1150"/>
        <w:gridCol w:w="1250"/>
        <w:gridCol w:w="1300"/>
        <w:gridCol w:w="622"/>
      </w:tblGrid>
      <w:tr>
        <w:trPr>
          <w:tblHeader/>
        </w:trPr>
        <w:tc>
          <w:tcPr>
            <w:tcW w:type="dxa" w:w="2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策略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</w:t>
              <w:br/>
              <w:t>（万元）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</w:t>
              <w:br/>
              <w:t>（tCO₂）</w:t>
            </w:r>
          </w:p>
        </w:tc>
        <w:tc>
          <w:tcPr>
            <w:tcW w:type="dxa" w:w="11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</w:t>
              <w:br/>
              <w:t>利用率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平均时延</w:t>
              <w:br/>
              <w:t>（ms）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</w:t>
              <w:br/>
              <w:t>（MW）</w:t>
            </w:r>
          </w:p>
        </w:tc>
        <w:tc>
          <w:tcPr>
            <w:tcW w:type="dxa" w:w="62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迁移比例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综合权衡 balanced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-43 873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14.35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171.2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23.8%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成本优先 cost_first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-43 842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158.8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12.04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197.5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22.2%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低碳优先 carbon_first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-43 889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68.9%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16.38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160.6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31.9%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新能源优先 renewable_first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-43 655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163.3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25.33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153.4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54.3%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时延优先 latency_first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-41 687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149.7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67.9%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5.06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188.9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低碳＋新能源 carbon_renewable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-43 702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129.6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22.58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107.6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45.3%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成本＋碳 cost_carbon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-43 902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148.8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15.81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150.3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30.7%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负载均衡 load_balanced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-43 636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144.3</w:t>
            </w:r>
          </w:p>
        </w:tc>
        <w:tc>
          <w:tcPr>
            <w:tcW w:type="dxa" w:w="11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68.7%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20.38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153.9</w:t>
            </w:r>
          </w:p>
        </w:tc>
        <w:tc>
          <w:tcPr>
            <w:tcW w:type="dxa" w:w="6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41.8%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成本是负的，因为 D/E/F 区富余新能源外送有收益，表里报的是净成本。拿综合权衡和基线比（表 6）：利用率从 32.8% 到 68.8%，弃电少 53.6%，峰值净购电从 1 907.6 MW 压到 171.2 MW；碳排从 204.5 万吨掉到 160.7 tCO₂，因为调度几乎不买电网电了。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balanced 策略与附件基线对比（全时域）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300"/>
        <w:gridCol w:w="2257"/>
        <w:gridCol w:w="2257"/>
        <w:gridCol w:w="2258"/>
      </w:tblGrid>
      <w:tr>
        <w:trPr>
          <w:tblHeader/>
        </w:trPr>
        <w:tc>
          <w:tcPr>
            <w:tcW w:type="dxa" w:w="2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指标</w:t>
            </w:r>
          </w:p>
        </w:tc>
        <w:tc>
          <w:tcPr>
            <w:tcW w:type="dxa" w:w="22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附件基线</w:t>
            </w:r>
          </w:p>
        </w:tc>
        <w:tc>
          <w:tcPr>
            <w:tcW w:type="dxa" w:w="225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balanced 策略</w:t>
            </w:r>
          </w:p>
        </w:tc>
        <w:tc>
          <w:tcPr>
            <w:tcW w:type="dxa" w:w="225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变化幅度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净运行成本（元）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1 801 786 873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-438 731 037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由正转负（外送收益所致）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碳排放（tCO₂）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2 045 367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160.7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-99.99%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新能源利用率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32.8%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68.8%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+109.6%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弃电总量（MWh）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7 752 928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3 596 690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-53.6%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系统峰值净购电（MW）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1 907.6</w:t>
            </w:r>
          </w:p>
        </w:tc>
        <w:tc>
          <w:tcPr>
            <w:tcW w:type="dxa" w:w="225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171.2</w:t>
            </w:r>
          </w:p>
        </w:tc>
        <w:tc>
          <w:tcPr>
            <w:tcW w:type="dxa" w:w="225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-91.0%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组策略两两比较，谁都不被谁支配，一起落在 Pareto 前沿上（图 1）。时延优先几乎不搬家（0.2%），时延只有 5.06 ms，但成本最高；低碳+新能源碳排最低（129.6 tCO₂）、峰值购电最低，代价是时延拉到 22.58 ms；负载均衡把 50.9% 的任务送去了西部。训练任务是西迁主力，比如负载均衡里 66.2% 的训练任务搬到西部，实时任务的时延始终压在 5–7 ms。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461538"/>
            <wp:docPr id="1" name="Picture 1" descr="问题二八种策略Pareto前沿散点图" title="问题二八种策略Pareto前沿散点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_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461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1  问题二八种策略 Pareto 前沿散点图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92857"/>
            <wp:docPr id="2" name="Picture 2" descr="问题二优化结果与附件基线对比" title="问题二优化结果与附件基线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seline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9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2  问题二优化结果与附件基线对比</w:t>
      </w:r>
    </w:p>
    <w:p>
      <w:pPr>
        <w:pStyle w:val="Heading2"/>
      </w:pPr>
      <w:r>
        <w:t>5.3 问题三：储能协同优化模型</w:t>
      </w:r>
    </w:p>
    <w:p>
      <w:pPr>
        <w:pStyle w:val="Heading3"/>
      </w:pPr>
      <w:r>
        <w:t>5.3.1 模型建立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问题三里负荷是给定的：IT 负荷＝Baseline_AI_IT_Load＋NonAI_IT_Load，设施负荷再乘 PUE。六区域没有互相耦合，我们逐个区域建 MILP，变量包括购电、外送、新能源直接消纳、新能源/电网充电、储能放电、弃电和 SOC。约束分四块：新能源怎么分配；功率怎么平衡；SOC 怎么递推、不越界、期末不亏；充放功率不超限且不能同时充放。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d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rc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gs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R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>，  gp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d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L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+ gc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ab/>
        <w:t>(5)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r,t−1</w:t>
      </w:r>
      <w:r>
        <w:rPr>
          <w:rFonts w:ascii="Times New Roman" w:hAnsi="Times New Roman" w:eastAsia="宋体"/>
          <w:b w:val="0"/>
          <w:i w:val="0"/>
          <w:sz w:val="24"/>
        </w:rPr>
        <w:t xml:space="preserve"> + η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c</w:t>
      </w:r>
      <w:r>
        <w:rPr>
          <w:rFonts w:ascii="Times New Roman" w:hAnsi="Times New Roman" w:eastAsia="宋体"/>
          <w:b w:val="0"/>
          <w:i w:val="0"/>
          <w:sz w:val="24"/>
        </w:rPr>
        <w:t>·(rc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>+gc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>) − p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r,t</w:t>
      </w:r>
      <w:r>
        <w:rPr>
          <w:rFonts w:ascii="Times New Roman" w:hAnsi="Times New Roman" w:eastAsia="宋体"/>
          <w:b w:val="0"/>
          <w:i w:val="0"/>
          <w:sz w:val="24"/>
        </w:rPr>
        <w:t>/η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d</w:t>
      </w:r>
      <w:r>
        <w:rPr>
          <w:rFonts w:ascii="Times New Roman" w:hAnsi="Times New Roman" w:eastAsia="宋体"/>
          <w:b w:val="0"/>
          <w:i w:val="0"/>
          <w:sz w:val="24"/>
        </w:rPr>
        <w:t>， 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r,2406</w:t>
      </w:r>
      <w:r>
        <w:rPr>
          <w:rFonts w:ascii="Times New Roman" w:hAnsi="Times New Roman" w:eastAsia="宋体"/>
          <w:b w:val="0"/>
          <w:i w:val="0"/>
          <w:sz w:val="24"/>
        </w:rPr>
        <w:t xml:space="preserve"> ≥ S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ab/>
        <w:t>(6)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目标有四个：运行成本、碳排放、区域峰值净购电、净购电波动（平均绝对偏差）。多目标我们走两条路：一条逐目标字典序，主目标最优后再以成本兜底；另一条按基线归一化加权（0.35/0.30/0.15/0.20）。求解用 HiGHS，单区域约 2.4 万个变量、2 407 个 0-1 变量，1–3 秒一个。</w:t>
      </w:r>
    </w:p>
    <w:p>
      <w:pPr>
        <w:pStyle w:val="Heading3"/>
      </w:pPr>
      <w:r>
        <w:t>5.3.2 结果分析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问题三七个场景关键指标对比（全时域 0–2406）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900"/>
        <w:gridCol w:w="1300"/>
        <w:gridCol w:w="1250"/>
        <w:gridCol w:w="1700"/>
        <w:gridCol w:w="1700"/>
        <w:gridCol w:w="1222"/>
      </w:tblGrid>
      <w:tr>
        <w:trPr>
          <w:tblHeader/>
        </w:trPr>
        <w:tc>
          <w:tcPr>
            <w:tcW w:type="dxa" w:w="1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场景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运行成本</w:t>
              <w:br/>
              <w:t>（万元）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</w:t>
              <w:br/>
              <w:t>（tCO₂）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系统峰值净购电</w:t>
              <w:br/>
              <w:t>（MW）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净购电波动 MAD</w:t>
              <w:br/>
              <w:t>（MW）</w:t>
            </w:r>
          </w:p>
        </w:tc>
        <w:tc>
          <w:tcPr>
            <w:tcW w:type="dxa" w:w="122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</w:t>
              <w:br/>
              <w:t>利用率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S0 附件基线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180 166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2 045 367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1 907.6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507.9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32.9%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S1 无储能优化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-41 982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8.9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-82.4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94.3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67.9%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S2 成本最优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-413.5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0.51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S3 低碳最优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-413.5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0.51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S4 削峰最优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0.51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S5 平抑波动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-42 223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0.00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68.4%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S6 综合权衡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  <w:tc>
          <w:tcPr>
            <w:tcW w:type="dxa" w:w="122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69.5%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储能的价值在 S1 和 S2 之间看得最清楚：成本从 -41 982 万再降 3 940 万（9.4%），峰值净购电从 -82.4 到 -568.4 MW，波动从 94.3 压到 0.5 MW。分区域看，东三区新能源利用率基线不到 12%，优化后负荷全由本地新能源盖住、购电归零；西三区满足本地负荷和储能后，按外送上限 180/220/220 MW 持续外送，成本转负。F 区风电富集，储能吞吐最大（充 74 196 MWh、放 64 862 MWh），平抑风电波动最出力。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2496000"/>
            <wp:docPr id="3" name="Picture 3" descr="问题三储能SOC曲线" title="问题三储能SOC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_curv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3  问题三储能 SOC 曲线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1345500"/>
            <wp:docPr id="4" name="Picture 4" descr="问题三净购电功率优化前后曲线" title="问题三净购电功率优化前后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_import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4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4  问题三净购电功率优化前后曲线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5" name="Picture 5" descr="问题三储能前后关键指标对比" title="问题三储能前后关键指标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b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5  问题三储能前后关键指标对比</w:t>
      </w:r>
    </w:p>
    <w:p>
      <w:pPr>
        <w:pStyle w:val="Heading3"/>
      </w:pPr>
      <w:r>
        <w:t>5.3.3 敏感性分析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储能容量敏感性（综合权衡策略）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容量系数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成本（万元）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  <w:tc>
          <w:tcPr>
            <w:tcW w:type="dxa" w:w="2268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波动 MAD（MW）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0.25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-43 588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-296.9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66.3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-44 792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-412.0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35.9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-45 922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-568.4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0.50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1.50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-618.4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0.001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2.00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-45 934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-618.4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0.001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容量从 0.25 倍加到 1 倍，成本、峰值、波动都在变好；加到 1.5 倍后基本不再动，说明附件配的容量已经接近饱和，峰值改善的天花板来自 D/E/F 的外送能力。效率敏感性则相反：效率对成本几乎没影响（充的电本来就是要弃的新能源），但对波动平抑很敏感，效率每提 0.05，MAD 大约掉一半。</w:t>
      </w:r>
    </w:p>
    <w:p>
      <w:pPr>
        <w:pStyle w:val="Heading2"/>
      </w:pPr>
      <w:r>
        <w:t>5.4 问题四：多区域算—储—电协同优化模型</w:t>
      </w:r>
    </w:p>
    <w:p>
      <w:pPr>
        <w:pStyle w:val="Heading3"/>
      </w:pPr>
      <w:r>
        <w:t>5.4.1 双层协同框架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问题四把前两问接起来：上层是问题二的滚动调度，下层是问题三的储能 MILP。中间的桥是“边际供应栈”——下层告诉上层，某一时刻某一区域多接 1 MW 负荷，是吃弃电、压外送、放储能还是买电，各自的边际成本和碳排是多少。上层评分时直接按这套边际信息算成本、碳排和新能源收益，并多加一项电网余量压力来引导削峰：</w:t>
      </w:r>
    </w:p>
    <w:p>
      <w:pPr>
        <w:tabs>
          <w:tab w:pos="4535" w:val="center"/>
          <w:tab w:pos="9071" w:val="right"/>
        </w:tabs>
        <w:spacing w:line="240" w:lineRule="auto" w:before="80" w:after="80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Times New Roman" w:hAnsi="Times New Roman" w:eastAsia="宋体"/>
          <w:b w:val="0"/>
          <w:i w:val="0"/>
          <w:sz w:val="24"/>
        </w:rPr>
        <w:t>Score(i,r,s) = α·Cost + β·Carbon + γ·l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i,r</w:t>
      </w:r>
      <w:r>
        <w:rPr>
          <w:rFonts w:ascii="Times New Roman" w:hAnsi="Times New Roman" w:eastAsia="宋体"/>
          <w:b w:val="0"/>
          <w:i w:val="0"/>
          <w:sz w:val="24"/>
        </w:rPr>
        <w:t>·κ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type</w:t>
      </w:r>
      <w:r>
        <w:rPr>
          <w:rFonts w:ascii="Times New Roman" w:hAnsi="Times New Roman" w:eastAsia="宋体"/>
          <w:b w:val="0"/>
          <w:i w:val="0"/>
          <w:sz w:val="24"/>
        </w:rPr>
        <w:t xml:space="preserve"> − δ·RenewableBenefit + μ·Congestion + ν·PeakPressure</w:t>
      </w:r>
      <w:r>
        <w:rPr>
          <w:rFonts w:ascii="Times New Roman" w:hAnsi="Times New Roman" w:eastAsia="宋体"/>
          <w:b w:val="0"/>
          <w:i w:val="0"/>
          <w:sz w:val="24"/>
        </w:rPr>
        <w:tab/>
        <w:t>(7)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κ</w:t>
      </w:r>
      <w:r>
        <w:rPr>
          <w:rFonts w:ascii="Times New Roman" w:hAnsi="Times New Roman" w:eastAsia="宋体"/>
          <w:b/>
          <w:i w:val="0"/>
          <w:sz w:val="24"/>
          <w:vertAlign w:val="subscript"/>
        </w:rPr>
        <w:t>type</w:t>
      </w:r>
      <w:r>
        <w:rPr>
          <w:rFonts w:ascii="Times New Roman" w:hAnsi="Times New Roman" w:eastAsia="宋体"/>
          <w:b w:val="0"/>
          <w:i w:val="0"/>
          <w:sz w:val="24"/>
        </w:rPr>
        <w:t>是任务类型的时延乘子：实时 3.0、批量 1.5、训练 1.0。迭代流程是：第一轮按问题二口径调度，下层解能源方案；第二轮用下层结果重建边际供应栈，上层重新评分修正决策，再更新下层。两轮之后两边一致，就当作最终方案。</w:t>
      </w:r>
    </w:p>
    <w:p>
      <w:pPr>
        <w:pStyle w:val="Heading3"/>
      </w:pPr>
      <w:r>
        <w:t>5.4.2 多目标策略结果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 组权重策略全部把 50 000 个任务排完，调度率 100%、0 违规，结果见表 9。和基线比，成本从 +18.0 亿转到 -4.59 亿、碳排归零、利用率到 69.6%，峰值净购电从强购电变成弱购电或净外送，也就是“零购电、强外送”的运行点。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问题四七种策略关键指标对比（全时域 0–2406）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100"/>
        <w:gridCol w:w="800"/>
        <w:gridCol w:w="1250"/>
        <w:gridCol w:w="1100"/>
        <w:gridCol w:w="1000"/>
        <w:gridCol w:w="800"/>
        <w:gridCol w:w="1050"/>
        <w:gridCol w:w="972"/>
      </w:tblGrid>
      <w:tr>
        <w:trPr>
          <w:tblHeader/>
        </w:trPr>
        <w:tc>
          <w:tcPr>
            <w:tcW w:type="dxa" w:w="2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策略</w:t>
            </w:r>
          </w:p>
        </w:tc>
        <w:tc>
          <w:tcPr>
            <w:tcW w:type="dxa" w:w="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未调度</w:t>
            </w:r>
          </w:p>
        </w:tc>
        <w:tc>
          <w:tcPr>
            <w:tcW w:type="dxa" w:w="12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</w:t>
              <w:br/>
              <w:t>（万元）</w:t>
            </w:r>
          </w:p>
        </w:tc>
        <w:tc>
          <w:tcPr>
            <w:tcW w:type="dxa" w:w="1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</w:t>
              <w:br/>
              <w:t>（tCO₂）</w:t>
            </w:r>
          </w:p>
        </w:tc>
        <w:tc>
          <w:tcPr>
            <w:tcW w:type="dxa" w:w="10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平均时延</w:t>
              <w:br/>
              <w:t>（ms）</w:t>
            </w:r>
          </w:p>
        </w:tc>
        <w:tc>
          <w:tcPr>
            <w:tcW w:type="dxa" w:w="8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QoS</w:t>
            </w:r>
          </w:p>
        </w:tc>
        <w:tc>
          <w:tcPr>
            <w:tcW w:type="dxa" w:w="105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</w:t>
              <w:br/>
              <w:t>利用率</w:t>
            </w:r>
          </w:p>
        </w:tc>
        <w:tc>
          <w:tcPr>
            <w:tcW w:type="dxa" w:w="9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</w:t>
              <w:br/>
              <w:t>（MW）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综合权衡 balanced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-45 910.1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14.43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0.971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成本优先 cost_first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-45 908.4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12.20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0.976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-38.3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低碳优先 carbon_first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-45 909.9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15.97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0.968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-31.4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时延优先 latency_first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-45 915.6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5.33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0.989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69.4%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-186.3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新能源优先 renewable_first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-45 916.7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24.44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0.951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-180.0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削峰优先 peak_first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-45 904.2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14.53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0.971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-384.4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负载均衡 load_balanced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-45 911.2</w:t>
            </w:r>
          </w:p>
        </w:tc>
        <w:tc>
          <w:tcPr>
            <w:tcW w:type="dxa" w:w="1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18.17</w:t>
            </w:r>
          </w:p>
        </w:tc>
        <w:tc>
          <w:tcPr>
            <w:tcW w:type="dxa" w:w="8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0.964</w:t>
            </w:r>
          </w:p>
        </w:tc>
        <w:tc>
          <w:tcPr>
            <w:tcW w:type="dxa" w:w="105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9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-393.8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权衡关系看图 6：时延优先搬家最少（1.5%）、时延 5.33 ms、QoS 最高；新能源优先把 48.2% 的任务搬到西部，利用率最高但时延到 24.44 ms；削峰和负载均衡的峰值购电最好（-384/-394 MW），成本却和综合权衡差不到 7 万。也就是说，削峰和赚钱在这里方向一致。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176471"/>
            <wp:docPr id="6" name="Picture 6" descr="问题四多目标权衡散点图" title="问题四多目标权衡散点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17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6  问题四多目标权衡散点图</w:t>
      </w:r>
    </w:p>
    <w:p>
      <w:pPr>
        <w:pStyle w:val="Heading3"/>
      </w:pPr>
      <w:r>
        <w:t>5.4.3 场景对比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碳约束（表 10）：基准 1.0× 下四种碳上限实际碳排都是 0，成本、利用率几乎不动——约束没绑住，因为零购电本身就把碳排归零了。新能源 0.8× 时就不一样：碳排升到约 1 630–1 659 tCO₂，碳上限 1 000/200 时输出最低碳解（1 629.8 tCO₂），5 000 时碳排 1 658.8、成本略降，再往下就无解。碳约束真正起作用，得在新能源不足、购电压不下来的场景。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全局碳约束场景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900"/>
        <w:gridCol w:w="1700"/>
        <w:gridCol w:w="2100"/>
        <w:gridCol w:w="1700"/>
        <w:gridCol w:w="1672"/>
      </w:tblGrid>
      <w:tr>
        <w:trPr>
          <w:tblHeader/>
        </w:trPr>
        <w:tc>
          <w:tcPr>
            <w:tcW w:type="dxa" w:w="1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碳上限（tCO₂）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实际碳排（tCO₂）</w:t>
            </w:r>
          </w:p>
        </w:tc>
        <w:tc>
          <w:tcPr>
            <w:tcW w:type="dxa" w:w="21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净运行成本（万元）</w:t>
            </w:r>
          </w:p>
        </w:tc>
        <w:tc>
          <w:tcPr>
            <w:tcW w:type="dxa" w:w="17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新能源利用率</w:t>
            </w:r>
          </w:p>
        </w:tc>
        <w:tc>
          <w:tcPr>
            <w:tcW w:type="dxa" w:w="16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1.0×：0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1.0×：200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1.0×：1 000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1.0×：5 000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 0.8×：1 000/200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1 629.8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-43 080.3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85.8%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+274.0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新能源 0.8×：5 000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1 658.8</w:t>
            </w:r>
          </w:p>
        </w:tc>
        <w:tc>
          <w:tcPr>
            <w:tcW w:type="dxa" w:w="21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-43 132.2</w:t>
            </w:r>
          </w:p>
        </w:tc>
        <w:tc>
          <w:tcPr>
            <w:tcW w:type="dxa" w:w="17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85.8%</w:t>
            </w:r>
          </w:p>
        </w:tc>
        <w:tc>
          <w:tcPr>
            <w:tcW w:type="dxa" w:w="16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+100.3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电价机制（表 11）：分时和实时差不多；固定电价没有峰谷价差，储能套利动力变弱，个别时段买了一点电（84 MWh，碳排 19.8 tCO₂）；碳价 200 元/吨时边际碳排已经是 0，策略基本不变。价格结构对储能经济性还是有支撑作用的。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电价机制场景对比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2500"/>
        <w:gridCol w:w="2000"/>
        <w:gridCol w:w="1600"/>
        <w:gridCol w:w="1500"/>
        <w:gridCol w:w="1472"/>
      </w:tblGrid>
      <w:tr>
        <w:trPr>
          <w:tblHeader/>
        </w:trPr>
        <w:tc>
          <w:tcPr>
            <w:tcW w:type="dxa" w:w="2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机制</w:t>
            </w:r>
          </w:p>
        </w:tc>
        <w:tc>
          <w:tcPr>
            <w:tcW w:type="dxa" w:w="20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净运行成本（万元）</w:t>
            </w:r>
          </w:p>
        </w:tc>
        <w:tc>
          <w:tcPr>
            <w:tcW w:type="dxa" w:w="1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碳排放（tCO₂）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新能源利用率</w:t>
            </w:r>
          </w:p>
        </w:tc>
        <w:tc>
          <w:tcPr>
            <w:tcW w:type="dxa" w:w="14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实时电价（基准）</w:t>
            </w:r>
          </w:p>
        </w:tc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-45 910.1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分时电价 TOU</w:t>
            </w:r>
          </w:p>
        </w:tc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-45 901.9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-377.5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固定电价</w:t>
            </w:r>
          </w:p>
        </w:tc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-45 904.7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19.8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-382.5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实时电价＋碳价 200 元/tCO₂</w:t>
            </w:r>
          </w:p>
        </w:tc>
        <w:tc>
          <w:tcPr>
            <w:tcW w:type="dxa" w:w="20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-45 903.8</w:t>
            </w:r>
          </w:p>
        </w:tc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4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-383.7</w:t>
            </w:r>
          </w:p>
        </w:tc>
      </w:tr>
    </w:tbl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新能源波动（表 12）：少 20% 是唯一打掉零购电运行点的场景——成本回到 -4.27 亿、碳排 1 769 tCO₂、峰值 +152 MW，储能充电量涨到约 25.3 万 MWh（约 5 倍），迁移比例升到 40.8%，但 5 万个任务还是全部排完。多 20% 时成本、峰值继续走低（-620 MW），利用率口径反而掉到 58%，因为可用总量变大、外送顶格、弃电变多。新能源扩容得跟外送、储能扩容一起看。</w:t>
      </w:r>
    </w:p>
    <w:p>
      <w:pPr>
        <w:spacing w:before="16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新能源波动场景对比（可用出力缩放）</w:t>
      </w:r>
    </w:p>
    <w:tbl>
      <w:tblPr>
        <w:tblW w:type="dxa" w:w="9072"/>
        <w:jc w:val="center"/>
        <w:tblBorders>
          <w:top w:val="single" w:sz="12" w:space="0" w:color="000000"/>
          <w:left w:val="none" w:sz="0" w:space="0" w:color="000000"/>
          <w:bottom w:val="single" w:sz="12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Layout w:type="fixed"/>
        <w:tblLook w:firstColumn="1" w:firstRow="1" w:lastColumn="0" w:lastRow="0" w:noHBand="0" w:noVBand="1" w:val="04A0"/>
        <w:tblInd w:w="120" w:type="dxa"/>
        <w:tblCellMar>
          <w:top w:w="40" w:type="dxa"/>
          <w:start w:w="80" w:type="dxa"/>
          <w:bottom w:w="40" w:type="dxa"/>
          <w:end w:w="80" w:type="dxa"/>
        </w:tblCellMar>
      </w:tblPr>
      <w:tblGrid>
        <w:gridCol w:w="1600"/>
        <w:gridCol w:w="900"/>
        <w:gridCol w:w="1500"/>
        <w:gridCol w:w="1300"/>
        <w:gridCol w:w="1200"/>
        <w:gridCol w:w="1300"/>
        <w:gridCol w:w="1272"/>
      </w:tblGrid>
      <w:tr>
        <w:trPr>
          <w:tblHeader/>
        </w:trPr>
        <w:tc>
          <w:tcPr>
            <w:tcW w:type="dxa" w:w="16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场景</w:t>
            </w:r>
          </w:p>
        </w:tc>
        <w:tc>
          <w:tcPr>
            <w:tcW w:type="dxa" w:w="9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未调度</w:t>
            </w:r>
          </w:p>
        </w:tc>
        <w:tc>
          <w:tcPr>
            <w:tcW w:type="dxa" w:w="15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净运行成本（万元）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碳排放（tCO₂）</w:t>
            </w:r>
          </w:p>
        </w:tc>
        <w:tc>
          <w:tcPr>
            <w:tcW w:type="dxa" w:w="12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平均时延（ms）</w:t>
            </w:r>
          </w:p>
        </w:tc>
        <w:tc>
          <w:tcPr>
            <w:tcW w:type="dxa" w:w="1300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新能源利用率</w:t>
            </w:r>
          </w:p>
        </w:tc>
        <w:tc>
          <w:tcPr>
            <w:tcW w:type="dxa" w:w="1272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/>
                <w:i w:val="0"/>
                <w:sz w:val="18"/>
              </w:rPr>
              <w:t>峰值净购电（MW）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可用出力 ×0.8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-42 696.9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1 769.4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18.44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85.5%</w:t>
            </w:r>
          </w:p>
        </w:tc>
        <w:tc>
          <w:tcPr>
            <w:tcW w:type="dxa" w:w="1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+152.2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基准 ×1.0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-45 910.1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14.43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69.6%</w:t>
            </w:r>
          </w:p>
        </w:tc>
        <w:tc>
          <w:tcPr>
            <w:tcW w:type="dxa" w:w="1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-390.4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可用出力 ×1.2</w:t>
            </w:r>
          </w:p>
        </w:tc>
        <w:tc>
          <w:tcPr>
            <w:tcW w:type="dxa" w:w="9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5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-45 934.1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0</w:t>
            </w:r>
          </w:p>
        </w:tc>
        <w:tc>
          <w:tcPr>
            <w:tcW w:type="dxa" w:w="12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14.21</w:t>
            </w:r>
          </w:p>
        </w:tc>
        <w:tc>
          <w:tcPr>
            <w:tcW w:type="dxa" w:w="130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58.0%</w:t>
            </w:r>
          </w:p>
        </w:tc>
        <w:tc>
          <w:tcPr>
            <w:tcW w:type="dxa" w:w="1272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sz w:val="18"/>
              </w:rPr>
              <w:t>-620.0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50000"/>
            <wp:docPr id="7" name="Picture 7" descr="碳约束电价与新能源波动场景指标对比" title="碳约束电价与新能源波动场景指标对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_ba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7  碳约束、电价与新能源波动场景指标对比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1755000"/>
            <wp:docPr id="8" name="Picture 8" descr="基线vs协同优化净购电曲线" title="基线vs协同优化净购电曲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_import_curv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/>
          <w:i w:val="0"/>
          <w:sz w:val="21"/>
        </w:rPr>
        <w:t>图 8  基线 vs 协同优化净购电曲线</w:t>
      </w:r>
    </w:p>
    <w:p>
      <w:pPr>
        <w:pStyle w:val="Heading1"/>
      </w:pPr>
      <w:r>
        <w:t>六、模型检验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检验分三层：预测、约束、敏感性。预测上，梯度提升树残差近似零均值正态、没有系统偏差，90% 区间覆盖 91.7%，高峰期也盖得住。约束上，问题二 8 组策略、问题三全部优化场景、问题四 20 个场景，调度层的开工/完工/时延/容量/重复调度，电力层的功率平衡/SOC/互斥/边界，逐项核下来违规都是 0，最大残差在浮点噪声量级。敏感性上，问题二用 8 组权重试偏好，问题三试容量和效率，问题四试碳约束、电价和新能源波动，三类都稳定。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另有两处口径要交代：附件基线自身有毛病——RegionE 的 SOC 递推残差约 1 MWh，D/E/F 终态 SOC 低于初始值，对比时我们按同一口径重算；结果里“负成本”“零碳排”“负峰值净购电”分别来自外送收益、零购电和全网净外送，含义在对应小节写清楚了。</w:t>
      </w:r>
    </w:p>
    <w:p>
      <w:pPr>
        <w:pStyle w:val="Heading1"/>
      </w:pPr>
      <w:r>
        <w:t>七、模型评价与优化</w:t>
      </w:r>
    </w:p>
    <w:p>
      <w:pPr>
        <w:pStyle w:val="Heading2"/>
      </w:pPr>
      <w:r>
        <w:t>7.1 误差分析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预测侧，梯度提升树 MAPE 10.06%，比常数均值低 4.6 个百分点，误差分布无偏。调度与能源侧，四问的约束违规数都是 0，功率平衡、SOC 递推残差在 10⁻⁶ 量级，求解精度可信。</w:t>
      </w:r>
    </w:p>
    <w:p>
      <w:pPr>
        <w:pStyle w:val="Heading2"/>
      </w:pPr>
      <w:r>
        <w:t>7.2 模型优点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口径和附件 1 逐项对齐（负荷折算、功率映射、SOC 递推、碳排与利用率公式），结果能复现；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问题二用滚动窗口＋加权评分扛住 5 万任务规模，多策略 Pareto 把目标冲突讲清楚了；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问题三用 HiGHS 精确求解，0-1 互斥变量挡住同时充放电；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问题四靠边际供应栈把调度和储能串起来，20 个场景覆盖碳约束、电价、新能源波动；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容量、效率敏感性加上四类场景，结论稳得住。</w:t>
      </w:r>
    </w:p>
    <w:p>
      <w:pPr>
        <w:pStyle w:val="Heading2"/>
      </w:pPr>
      <w:r>
        <w:t>7.3 模型缺点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问题二用贪心求解，理论最优性没保证，可以再上分支定界验证；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没算储能寿命、循环次数成本和功率爬坡，可以扩展成含寿命惩罚的非线性模型；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负荷和新能源都是确定输入，可以结合问题一预测做随机鲁棒优化；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问题四双层只迭代两轮，收敛性论证还薄；迁移没算传输能耗和费用（题目豁免）；</w:t>
      </w:r>
    </w:p>
    <w:p>
      <w:pPr>
        <w:spacing w:after="40" w:line="240" w:lineRule="auto"/>
        <w:ind w:left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 w:val="0"/>
          <w:i w:val="0"/>
          <w:sz w:val="24"/>
        </w:rPr>
        <w:t>碳约束场景复用了同一套调度，碳预算对调度的反馈没放开。</w:t>
      </w:r>
    </w:p>
    <w:p>
      <w:pPr>
        <w:pStyle w:val="Heading2"/>
      </w:pPr>
      <w:r>
        <w:t>7.4 模型推广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套“统计预测—碳感知调度—储能协同—双层优化”的链条，换个场景也能用：多能互补园区可以加冷热电联供；虚拟电厂把分布式算力、储能和新能源聚合起来，边际供应栈直接用于报价；东数西算结合真实时延和电价做跨区调度；再往后可以把问题一预测接进来做随机规划，或者把碳价动态纳入调度，看不同碳政策下的反应。</w:t>
      </w:r>
    </w:p>
    <w:p>
      <w:pPr>
        <w:pStyle w:val="Heading1"/>
      </w:pPr>
      <w:r>
        <w:t>参考文献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[1] 2026 年华数杯大学生数学建模竞赛组委会. 附件 1：背景说明、术语解释与数据字典[Z]. 2026.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[2] 2026 年华数杯大学生数学建模竞赛组委会. 2026 年华数杯数学建模竞赛论文格式规范与提交说明[Z]. 2026.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[3] Deb K, Pratap A, Agarwal S, et al. A fast and elitist multiobjective genetic algorithm: NSGA-II[J]. IEEE Transactions on Evolutionary Computation, 2002, 6(2): 182-197.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[4] Friedman J H. Greedy function approximation: a gradient boosting machine[J]. Annals of Statistics, 2001, 29(5): 1189-1232.</w:t>
      </w:r>
    </w:p>
    <w:p>
      <w:pPr>
        <w:spacing w:after="40" w:line="240" w:lineRule="auto"/>
      </w:pPr>
      <w:r>
        <w:rPr>
          <w:rFonts w:ascii="Times New Roman" w:hAnsi="Times New Roman" w:eastAsia="宋体"/>
          <w:b w:val="0"/>
          <w:i w:val="0"/>
          <w:sz w:val="21"/>
        </w:rPr>
        <w:t>[5] 【待补】储能优化、电力系统调度、绿色数据中心等相关中英文文献（按正文引用顺序编号，书籍需注明页码）。</w:t>
      </w:r>
    </w:p>
    <w:p>
      <w:pPr>
        <w:pStyle w:val="Heading1"/>
      </w:pPr>
      <w:r>
        <w:t>附录</w:t>
      </w:r>
    </w:p>
    <w:p>
      <w:pPr>
        <w:pStyle w:val="Heading2"/>
      </w:pPr>
      <w:r>
        <w:t>附录 A   AI 工具使用声明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本参赛队在竞赛过程中使用了 AI 工具，主要用于语言润色、写作辅助与代码调试，详细使用情况见附录 B。参考文献中对应列出所用 AI 工具：【待补】工具名称，版本/型号，开发机构/公司，使用日期。</w:t>
      </w:r>
    </w:p>
    <w:p>
      <w:pPr>
        <w:pStyle w:val="Heading2"/>
      </w:pPr>
      <w:r>
        <w:t>附录 B   AI 工具使用详情（模板）</w:t>
      </w:r>
    </w:p>
    <w:p>
      <w:pPr>
        <w:spacing w:after="0" w:line="240" w:lineRule="auto"/>
      </w:pPr>
      <w:r>
        <w:rPr>
          <w:rFonts w:ascii="Times New Roman" w:hAnsi="Times New Roman" w:eastAsia="宋体"/>
          <w:b w:val="0"/>
          <w:i w:val="0"/>
          <w:sz w:val="24"/>
        </w:rPr>
        <w:t>一、所用 AI 工具名称和版本：【待填】；二、具体使用目的和环节：语言润色（摘要与正文）、写作辅助（章节组织）、代码调试（调度与优化程序）；三、关键交互记录【待补】；四、采纳和人工修改情况：AI 输出经人工核对、修改与重写后纳入论文，核心建模与结果分析由参赛队独立完成。</w:t>
      </w:r>
    </w:p>
    <w:p>
      <w:pPr>
        <w:pStyle w:val="Heading2"/>
      </w:pPr>
      <w:r>
        <w:t>附录 C   程序与数据说明</w:t>
      </w:r>
    </w:p>
    <w:p>
      <w:pPr>
        <w:spacing w:after="0" w:line="240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全部源程序与输出文件见支撑材料（选题+参赛编号+附件.rar）。程序包括：问题一预测与调度（q1_optimized_model.py）、问题二多策略滚动调度（run_pareto.py 等）、问题三储能 MILP（run_all.py 等）、问题四双层协同（q4_run.py 等）。运行环境：Python 3.10+，依赖 pandas、numpy、scipy、scikit-learn、matplotlib。【待补：完整代码清单与运行说明】</w:t>
      </w:r>
    </w:p>
    <w:sectPr w:rsidR="00FC693F" w:rsidRPr="0006063C" w:rsidSect="00034616">
      <w:footerReference w:type="default" r:id="rId17"/>
      <w:pgSz w:w="11906" w:h="16838"/>
      <w:pgMar w:top="1417" w:right="1417" w:bottom="1417" w:left="141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24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