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sz w:val="32"/>
        </w:rPr>
        <w:t>待补充：正文引用标注与附录 C</w:t>
      </w:r>
    </w:p>
    <w:p>
      <w:pPr>
        <w:pStyle w:val="Heading1"/>
      </w:pPr>
      <w:r>
        <w:t>一、正文引用标注（插入位置建议）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4"/>
        </w:rPr>
        <w:t>按格式规范第 6 条，正文用到外部资料处应标 [编号]。建议在以下位置插入：</w:t>
      </w:r>
    </w:p>
    <w:p>
      <w:pPr>
        <w:spacing w:line="240" w:lineRule="auto" w:after="40"/>
        <w:ind w:firstLine="480"/>
      </w:pPr>
      <w:r>
        <w:rPr>
          <w:rFonts w:ascii="Times New Roman" w:hAnsi="Times New Roman" w:eastAsia="宋体"/>
          <w:b w:val="0"/>
          <w:sz w:val="24"/>
        </w:rPr>
        <w:t>① 二、问题分析 → 2.2 数据概览第一段末尾：“附件给了 50 000 个任务、6 个区域、2 406 个小时的数据[1]。”</w:t>
      </w:r>
    </w:p>
    <w:p>
      <w:pPr>
        <w:spacing w:line="240" w:lineRule="auto" w:after="40"/>
        <w:ind w:firstLine="480"/>
      </w:pPr>
      <w:r>
        <w:rPr>
          <w:rFonts w:ascii="Times New Roman" w:hAnsi="Times New Roman" w:eastAsia="宋体"/>
          <w:b w:val="0"/>
          <w:sz w:val="24"/>
        </w:rPr>
        <w:t>② 五、模型建立与求解 → 5.1.2 短期预测模型第一段：“……梯度提升树[2]用了滞后 1、2、3、24、168 小时的特征……”</w:t>
      </w:r>
    </w:p>
    <w:p>
      <w:pPr>
        <w:spacing w:line="240" w:lineRule="auto" w:after="40"/>
        <w:ind w:firstLine="480"/>
      </w:pPr>
      <w:r>
        <w:rPr>
          <w:rFonts w:ascii="Times New Roman" w:hAnsi="Times New Roman" w:eastAsia="宋体"/>
          <w:b w:val="0"/>
          <w:sz w:val="24"/>
        </w:rPr>
        <w:t>③ 五、模型建立与求解 → 5.2.2 求解第一段末尾：“……最后按 Pareto 支配关系筛折中解[3]。”</w:t>
      </w:r>
    </w:p>
    <w:p>
      <w:pPr>
        <w:spacing w:line="240" w:lineRule="auto" w:after="40"/>
        <w:ind w:firstLine="480"/>
      </w:pPr>
      <w:r>
        <w:rPr>
          <w:rFonts w:ascii="Times New Roman" w:hAnsi="Times New Roman" w:eastAsia="宋体"/>
          <w:b w:val="0"/>
          <w:sz w:val="24"/>
        </w:rPr>
        <w:t>④ 附录 A AI 工具使用声明末尾：“……详细使用情况见附录 B[4]。”</w:t>
      </w:r>
    </w:p>
    <w:p>
      <w:pPr>
        <w:spacing w:line="240" w:lineRule="auto" w:after="40"/>
        <w:ind w:firstLine="480"/>
      </w:pPr>
      <w:r>
        <w:rPr>
          <w:rFonts w:ascii="Times New Roman" w:hAnsi="Times New Roman" w:eastAsia="宋体"/>
          <w:b w:val="0"/>
          <w:sz w:val="24"/>
        </w:rPr>
        <w:t>⑤ 附录 C 开头：“按论文格式规范第 6 条[5]，附录给出软件、命令与代码清单。”</w:t>
      </w:r>
    </w:p>
    <w:p>
      <w:pPr>
        <w:pStyle w:val="Heading1"/>
      </w:pPr>
      <w:r>
        <w:t>二、参考文献（按正文引用顺序，格式按第 6 条）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[1] 2026 年华数杯大学生数学建模竞赛组委会. 附件 1：背景说明、术语解释与数据字典[Z]. 2026.（正文 2.2 引用）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[2] Friedman J H. Greedy function approximation: a gradient boosting machine[J]. Annals of Statistics, 2001, 29(5): 1189-1232.（正文 5.1.2 引用）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[3] Deb K, Pratap A, Agarwal S, et al. A fast and elitist multiobjective genetic algorithm: NSGA-II[J]. IEEE Transactions on Evolutionary Computation, 2002, 6(2): 182-197.（正文 5.2.2 引用）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[4] 华数杯大学生数学建模竞赛组委会. 华数杯大学生数学建模竞赛人工智能工具使用章程[Z]. 2026.（附录 A 引用）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[5] 2026 年华数杯大学生数学建模竞赛组委会. 2026 年华数杯数学建模竞赛论文格式规范与提交说明[Z]. 2026.（附录 C 引用）</w:t>
      </w:r>
    </w:p>
    <w:p>
      <w:pPr>
        <w:pStyle w:val="Heading1"/>
      </w:pPr>
      <w:r>
        <w:t>三、附录 C（可直接复制进论文）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附录 C  程序与数据说明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C.1 软件环境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4"/>
        </w:rPr>
        <w:t>Python 3.10+；依赖 pandas、numpy、scipy（含 HiGHS 求解器）、scikit-learn、matplotlib、statsmodels。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C.2 主要运行命令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问题一：python q1_optimized_model.py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问题二：python run_pareto.py --data-dir &lt;附件数据目录&gt; --output-dir &lt;输出目录&gt; --solver greedy --hour-start 0 --hour-end 2399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问题三：python run_all.py</w:t>
      </w:r>
    </w:p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问题四：python q4_run.py --data-dir &lt;附件数据目录&gt; --output-dir &lt;输出目录&gt; --workers 8；复核与出图：python q4_verify.py、python q4_analysis.py</w:t>
      </w:r>
    </w:p>
    <w:p>
      <w:pPr>
        <w:spacing w:line="240" w:lineRule="auto" w:after="40"/>
      </w:pPr>
      <w:r>
        <w:rPr>
          <w:rFonts w:ascii="Times New Roman" w:hAnsi="Times New Roman" w:eastAsia="宋体"/>
          <w:b/>
          <w:sz w:val="24"/>
        </w:rPr>
        <w:t>C.3 代码清单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3600"/>
        <w:gridCol w:w="1500"/>
        <w:gridCol w:w="3972"/>
      </w:tblGrid>
      <w:tr>
        <w:trPr>
          <w:tblHeader/>
        </w:trPr>
        <w:tc>
          <w:tcPr>
            <w:tcW w:type="dxa" w:w="3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文件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所属问题</w:t>
            </w:r>
          </w:p>
        </w:tc>
        <w:tc>
          <w:tcPr>
            <w:tcW w:type="dxa" w:w="3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20"/>
              </w:rPr>
              <w:t>作用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q1_optimized_model.py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问题一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数据统计、三模型预测、基础调度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run_pareto.py（含 scheduler.py、metrics.py、common.py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问题二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八策略滚动调度与 Pareto 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run_all.py（含 storage_lp.py、sensitivity.py 等）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问题三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储能协同 MILP 求解与敏感性分析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q4_run.py / q4_verify.py / q4_analysis.py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问题四</w:t>
            </w:r>
          </w:p>
        </w:tc>
        <w:tc>
          <w:tcPr>
            <w:tcW w:type="dxa" w:w="3972"/>
            <w:vAlign w:val="center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 w:val="0"/>
                <w:sz w:val="20"/>
              </w:rPr>
              <w:t>双层协同求解、约束复核、图表生成</w:t>
            </w:r>
          </w:p>
        </w:tc>
      </w:tr>
    </w:tbl>
    <w:p>
      <w:pPr>
        <w:spacing w:line="240" w:lineRule="auto" w:after="40"/>
      </w:pPr>
      <w:r>
        <w:rPr>
          <w:rFonts w:ascii="Times New Roman" w:hAnsi="Times New Roman" w:eastAsia="宋体"/>
          <w:b w:val="0"/>
          <w:sz w:val="21"/>
        </w:rPr>
        <w:t>注：全部源程序与输出文件打包在支撑材料（选题+参赛编号+附件.rar）中；赛题原始数据未写入附录。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