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eastAsia="黑体"/>
          <w:b/>
          <w:i w:val="0"/>
          <w:sz w:val="32"/>
        </w:rPr>
        <w:t>问题二 碳感知任务调度模型</w:t>
      </w:r>
    </w:p>
    <w:p>
      <w:pPr>
        <w:spacing w:after="200"/>
        <w:jc w:val="center"/>
      </w:pPr>
      <w:r>
        <w:rPr>
          <w:rFonts w:ascii="Calibri" w:hAnsi="Calibri" w:eastAsia="黑体"/>
          <w:b w:val="0"/>
          <w:i w:val="0"/>
          <w:sz w:val="22"/>
        </w:rPr>
        <w:t>—— 面向算电协同的多目标调度优化研究（C 题）</w:t>
      </w:r>
    </w:p>
    <w:p>
      <w:pPr>
        <w:pStyle w:val="Heading1"/>
      </w:pPr>
      <w:r>
        <w:t>一、问题分析</w:t>
      </w:r>
    </w:p>
    <w:p>
      <w:pPr>
        <w:spacing w:after="120" w:line="264" w:lineRule="auto"/>
      </w:pPr>
      <w:r>
        <w:rPr>
          <w:rFonts w:ascii="Calibri" w:hAnsi="Calibri" w:eastAsia="宋体"/>
          <w:b w:val="0"/>
          <w:i w:val="0"/>
          <w:sz w:val="22"/>
        </w:rPr>
        <w:t>问题二在问题一的基础上引入跨区域迁移与碳感知，是一个典型的</w:t>
      </w:r>
      <w:r>
        <w:rPr>
          <w:rFonts w:ascii="Calibri" w:hAnsi="Calibri" w:eastAsia="宋体"/>
          <w:b/>
          <w:i w:val="0"/>
          <w:sz w:val="22"/>
        </w:rPr>
        <w:t>“算力调度—电力系统”耦合的多目标优化问题</w:t>
      </w:r>
      <w:r>
        <w:rPr>
          <w:rFonts w:ascii="Calibri" w:hAnsi="Calibri" w:eastAsia="宋体"/>
          <w:b w:val="0"/>
          <w:i w:val="0"/>
          <w:sz w:val="22"/>
        </w:rPr>
        <w:t>。与问题一“给定任务在本地安排”不同，问题二允许批量推理与 AI 训练任务跨区域迁移，决策变量由单一的开工时段扩展为“迁移目标区域＋开工时段”的组合。问题的输入包括任务轨迹、区域算力资源、区域间网络时延、任务功率映射以及区域逐时电力参数五类数据。</w:t>
      </w:r>
    </w:p>
    <w:p>
      <w:pPr>
        <w:pStyle w:val="Heading2"/>
      </w:pPr>
      <w:r>
        <w:t>1. 优化目标分析</w:t>
      </w:r>
    </w:p>
    <w:p>
      <w:pPr>
        <w:pStyle w:val="ListBullet"/>
        <w:spacing w:after="80" w:line="264" w:lineRule="auto"/>
      </w:pPr>
      <w:r>
        <w:rPr>
          <w:rFonts w:ascii="Calibri" w:hAnsi="Calibri" w:eastAsia="宋体"/>
          <w:b/>
          <w:i w:val="0"/>
          <w:sz w:val="22"/>
        </w:rPr>
        <w:t>运行成本：</w:t>
      </w:r>
      <w:r>
        <w:rPr>
          <w:rFonts w:ascii="Calibri" w:hAnsi="Calibri" w:eastAsia="宋体"/>
          <w:b w:val="0"/>
          <w:i w:val="0"/>
          <w:sz w:val="22"/>
        </w:rPr>
        <w:t>由任务执行期间新增的电网购电成本与新能源外送收益共同决定；</w:t>
      </w:r>
    </w:p>
    <w:p>
      <w:pPr>
        <w:pStyle w:val="ListBullet"/>
        <w:spacing w:after="80" w:line="264" w:lineRule="auto"/>
      </w:pPr>
      <w:r>
        <w:rPr>
          <w:rFonts w:ascii="Calibri" w:hAnsi="Calibri" w:eastAsia="宋体"/>
          <w:b/>
          <w:i w:val="0"/>
          <w:sz w:val="22"/>
        </w:rPr>
        <w:t>碳排放：</w:t>
      </w:r>
      <w:r>
        <w:rPr>
          <w:rFonts w:ascii="Calibri" w:hAnsi="Calibri" w:eastAsia="宋体"/>
          <w:b w:val="0"/>
          <w:i w:val="0"/>
          <w:sz w:val="22"/>
        </w:rPr>
        <w:t>按“购电功率×碳强度”的统一口径计算，取决于电网购电电量；</w:t>
      </w:r>
    </w:p>
    <w:p>
      <w:pPr>
        <w:pStyle w:val="ListBullet"/>
        <w:spacing w:after="80" w:line="264" w:lineRule="auto"/>
      </w:pPr>
      <w:r>
        <w:rPr>
          <w:rFonts w:ascii="Calibri" w:hAnsi="Calibri" w:eastAsia="宋体"/>
          <w:b/>
          <w:i w:val="0"/>
          <w:sz w:val="22"/>
        </w:rPr>
        <w:t>网络时延：</w:t>
      </w:r>
      <w:r>
        <w:rPr>
          <w:rFonts w:ascii="Calibri" w:hAnsi="Calibri" w:eastAsia="宋体"/>
          <w:b w:val="0"/>
          <w:i w:val="0"/>
          <w:sz w:val="22"/>
        </w:rPr>
        <w:t>取决于任务由来源区域迁移至执行区域的单向网络时延，实时推理任务须严格满足最大时延约束；</w:t>
      </w:r>
    </w:p>
    <w:p>
      <w:pPr>
        <w:pStyle w:val="ListBullet"/>
        <w:spacing w:after="80" w:line="264" w:lineRule="auto"/>
      </w:pPr>
      <w:r>
        <w:rPr>
          <w:rFonts w:ascii="Calibri" w:hAnsi="Calibri" w:eastAsia="宋体"/>
          <w:b/>
          <w:i w:val="0"/>
          <w:sz w:val="22"/>
        </w:rPr>
        <w:t>新能源利用率：</w:t>
      </w:r>
      <w:r>
        <w:rPr>
          <w:rFonts w:ascii="Calibri" w:hAnsi="Calibri" w:eastAsia="宋体"/>
          <w:b w:val="0"/>
          <w:i w:val="0"/>
          <w:sz w:val="22"/>
        </w:rPr>
        <w:t>反映新能源的直接消纳与外送情况，体现绿色低碳调度的程度。</w:t>
      </w:r>
    </w:p>
    <w:p>
      <w:pPr>
        <w:pStyle w:val="Heading2"/>
      </w:pPr>
      <w:r>
        <w:t>2. 约束条件分析</w:t>
      </w:r>
    </w:p>
    <w:p>
      <w:pPr>
        <w:spacing w:after="120" w:line="264" w:lineRule="auto"/>
      </w:pPr>
      <w:r>
        <w:rPr>
          <w:rFonts w:ascii="Calibri" w:hAnsi="Calibri" w:eastAsia="宋体"/>
          <w:b w:val="0"/>
          <w:i w:val="0"/>
          <w:sz w:val="22"/>
        </w:rPr>
        <w:t>调度方案须同时满足 GPU 容量约束、IT 功率与设施功率上限约束、网络时延约束以及任务完成时限约束：GPU 容量与功率约束刻画数据中心资源瓶颈；时延约束限定任务的可行迁移区域；完成时限约束（最晚不超过第 2406 小时）决定弹性任务的开工时间窗口。此外，任务不可抢占、不可拆分、不可中途迁移的性质使任务一旦开工即连续占用资源，进一步加大了求解难度。</w:t>
      </w:r>
    </w:p>
    <w:p>
      <w:pPr>
        <w:pStyle w:val="Heading2"/>
      </w:pPr>
      <w:r>
        <w:t>3. 难点分析</w:t>
      </w:r>
    </w:p>
    <w:p>
      <w:pPr>
        <w:spacing w:after="120" w:line="264" w:lineRule="auto"/>
      </w:pPr>
      <w:r>
        <w:rPr>
          <w:rFonts w:ascii="Calibri" w:hAnsi="Calibri" w:eastAsia="宋体"/>
          <w:b w:val="0"/>
          <w:i w:val="0"/>
          <w:sz w:val="22"/>
        </w:rPr>
        <w:t>其一，四个优化目标存在显著冲突——迁移至新能源富余的西部地区可降低电费与碳排放，但会增加网络时延；其二，问题规模庞大，共 50 000 个任务、2 400 个时段，任务—区域—开工时间的组合数巨大，直接求解全局整数规划在计算上不可行；其三，电价、碳强度与新能源出力随时间和区域动态变化，新能源具有波动性；其四，三类任务具有异构性，实时推理任务时延敏感、原则上就近执行，批量推理与 AI 训练任务调度弹性较大，需区别对待。</w:t>
      </w:r>
    </w:p>
    <w:p>
      <w:pPr>
        <w:pStyle w:val="Heading2"/>
      </w:pPr>
      <w:r>
        <w:t>4. 求解思路分析</w:t>
      </w:r>
    </w:p>
    <w:p>
      <w:pPr>
        <w:spacing w:after="120" w:line="264" w:lineRule="auto"/>
      </w:pPr>
      <w:r>
        <w:rPr>
          <w:rFonts w:ascii="Calibri" w:hAnsi="Calibri" w:eastAsia="宋体"/>
          <w:b w:val="0"/>
          <w:i w:val="0"/>
          <w:sz w:val="22"/>
        </w:rPr>
        <w:t>本文采用</w:t>
      </w:r>
      <w:r>
        <w:rPr>
          <w:rFonts w:ascii="Calibri" w:hAnsi="Calibri" w:eastAsia="宋体"/>
          <w:b/>
          <w:i w:val="0"/>
          <w:sz w:val="22"/>
        </w:rPr>
        <w:t>“滚动时域＋加权综合评分＋多策略 Pareto 分析”</w:t>
      </w:r>
      <w:r>
        <w:rPr>
          <w:rFonts w:ascii="Calibri" w:hAnsi="Calibri" w:eastAsia="宋体"/>
          <w:b w:val="0"/>
          <w:i w:val="0"/>
          <w:sz w:val="22"/>
        </w:rPr>
        <w:t>的求解框架：先按 6 小时窗口对主时域滚动切分，配合 24 小时向前看范围降低问题规模；再将多目标通过加权求和转化为综合评分，以启发式贪心方式逐任务选择评分最优的可行方案；最后通过多组权重策略刻画不同调度偏好，并利用 Pareto 非支配关系筛选折中方案。任务迁移形成的 AI IT 功率严格按统一功率映射计算，碳排放与新能源利用率按附件 1 的统一口径核算，确保结果可比较、可复现。</w:t>
      </w:r>
    </w:p>
    <w:p>
      <w:pPr>
        <w:pStyle w:val="Heading1"/>
      </w:pPr>
      <w:r>
        <w:t>二、模型概述</w:t>
      </w:r>
    </w:p>
    <w:p>
      <w:pPr>
        <w:spacing w:after="120" w:line="264" w:lineRule="auto"/>
      </w:pPr>
      <w:r>
        <w:rPr>
          <w:rFonts w:ascii="Calibri" w:hAnsi="Calibri" w:eastAsia="宋体"/>
          <w:b w:val="0"/>
          <w:i w:val="0"/>
          <w:sz w:val="22"/>
        </w:rPr>
        <w:t>针对大规模组合优化在计算上的不可行性，本文采用</w:t>
      </w:r>
      <w:r>
        <w:rPr>
          <w:rFonts w:ascii="Calibri" w:hAnsi="Calibri" w:eastAsia="宋体"/>
          <w:b/>
          <w:i w:val="0"/>
          <w:sz w:val="22"/>
        </w:rPr>
        <w:t>基于加权综合评分的碳感知滚动窗口调度模型（Weighted Carbon-aware Rolling Scheduling, WCRS）</w:t>
      </w:r>
      <w:r>
        <w:rPr>
          <w:rFonts w:ascii="Calibri" w:hAnsi="Calibri" w:eastAsia="宋体"/>
          <w:b w:val="0"/>
          <w:i w:val="0"/>
          <w:sz w:val="22"/>
        </w:rPr>
        <w:t>作为基础求解框架，并在此基础上通过多组权重策略＋Pareto 非支配筛选进行多目标分析，兼顾求解效率与多目标权衡的刻画能力。</w:t>
      </w:r>
    </w:p>
    <w:p>
      <w:pPr>
        <w:pStyle w:val="Heading1"/>
      </w:pPr>
      <w:r>
        <w:t>三、模型建立</w:t>
      </w:r>
    </w:p>
    <w:p>
      <w:pPr>
        <w:pStyle w:val="Heading2"/>
      </w:pPr>
      <w:r>
        <w:t>3.1 决策变量与任务基本量</w:t>
      </w:r>
    </w:p>
    <w:p>
      <w:pPr>
        <w:spacing w:after="120" w:line="264" w:lineRule="auto"/>
      </w:pPr>
      <w:r>
        <w:rPr>
          <w:rFonts w:ascii="Calibri" w:hAnsi="Calibri" w:eastAsia="宋体"/>
          <w:b w:val="0"/>
          <w:i w:val="0"/>
          <w:sz w:val="22"/>
        </w:rPr>
        <w:t>定义任务集合为 I、区域集合为 R＝{A,B,C,D,E,F}、时段集合为 T＝{0,1,…,2399}。对任务 i 已知到达时刻 a</w:t>
      </w:r>
      <w:r>
        <w:rPr>
          <w:rFonts w:ascii="Calibri" w:hAnsi="Calibri" w:eastAsia="宋体"/>
          <w:b/>
          <w:i w:val="0"/>
          <w:sz w:val="22"/>
          <w:vertAlign w:val="subscript"/>
        </w:rPr>
        <w:t>i</w:t>
      </w:r>
      <w:r>
        <w:rPr>
          <w:rFonts w:ascii="Calibri" w:hAnsi="Calibri" w:eastAsia="宋体"/>
          <w:b w:val="0"/>
          <w:i w:val="0"/>
          <w:sz w:val="22"/>
        </w:rPr>
        <w:t>、GPU 需求 g</w:t>
      </w:r>
      <w:r>
        <w:rPr>
          <w:rFonts w:ascii="Calibri" w:hAnsi="Calibri" w:eastAsia="宋体"/>
          <w:b/>
          <w:i w:val="0"/>
          <w:sz w:val="22"/>
          <w:vertAlign w:val="subscript"/>
        </w:rPr>
        <w:t>i</w:t>
      </w:r>
      <w:r>
        <w:rPr>
          <w:rFonts w:ascii="Calibri" w:hAnsi="Calibri" w:eastAsia="宋体"/>
          <w:b w:val="0"/>
          <w:i w:val="0"/>
          <w:sz w:val="22"/>
        </w:rPr>
        <w:t>、预计执行时长 d</w:t>
      </w:r>
      <w:r>
        <w:rPr>
          <w:rFonts w:ascii="Calibri" w:hAnsi="Calibri" w:eastAsia="宋体"/>
          <w:b/>
          <w:i w:val="0"/>
          <w:sz w:val="22"/>
          <w:vertAlign w:val="subscript"/>
        </w:rPr>
        <w:t>i</w:t>
      </w:r>
      <w:r>
        <w:rPr>
          <w:rFonts w:ascii="Calibri" w:hAnsi="Calibri" w:eastAsia="宋体"/>
          <w:b w:val="0"/>
          <w:i w:val="0"/>
          <w:sz w:val="22"/>
        </w:rPr>
        <w:t>（分钟换算为小时）、来源区域 q</w:t>
      </w:r>
      <w:r>
        <w:rPr>
          <w:rFonts w:ascii="Calibri" w:hAnsi="Calibri" w:eastAsia="宋体"/>
          <w:b/>
          <w:i w:val="0"/>
          <w:sz w:val="22"/>
          <w:vertAlign w:val="subscript"/>
        </w:rPr>
        <w:t>i</w:t>
      </w:r>
      <w:r>
        <w:rPr>
          <w:rFonts w:ascii="Calibri" w:hAnsi="Calibri" w:eastAsia="宋体"/>
          <w:b w:val="0"/>
          <w:i w:val="0"/>
          <w:sz w:val="22"/>
        </w:rPr>
        <w:t>、最大可接受时延 l</w:t>
      </w:r>
      <w:r>
        <w:rPr>
          <w:rFonts w:ascii="Calibri" w:hAnsi="Calibri" w:eastAsia="宋体"/>
          <w:b/>
          <w:i w:val="0"/>
          <w:sz w:val="22"/>
          <w:vertAlign w:val="subscript"/>
        </w:rPr>
        <w:t>i</w:t>
      </w:r>
      <w:r>
        <w:rPr>
          <w:rFonts w:ascii="Calibri" w:hAnsi="Calibri" w:eastAsia="宋体"/>
          <w:b w:val="0"/>
          <w:i w:val="0"/>
          <w:sz w:val="22"/>
        </w:rPr>
        <w:t>、最晚完成时刻 L</w:t>
      </w:r>
      <w:r>
        <w:rPr>
          <w:rFonts w:ascii="Calibri" w:hAnsi="Calibri" w:eastAsia="宋体"/>
          <w:b/>
          <w:i w:val="0"/>
          <w:sz w:val="22"/>
          <w:vertAlign w:val="subscript"/>
        </w:rPr>
        <w:t>i</w:t>
      </w:r>
      <w:r>
        <w:rPr>
          <w:rFonts w:ascii="Calibri" w:hAnsi="Calibri" w:eastAsia="宋体"/>
          <w:b w:val="0"/>
          <w:i w:val="0"/>
          <w:sz w:val="22"/>
        </w:rPr>
        <w:t>，以及按任务类型确定的单位 GPU 平均功率 p</w:t>
      </w:r>
      <w:r>
        <w:rPr>
          <w:rFonts w:ascii="Calibri" w:hAnsi="Calibri" w:eastAsia="宋体"/>
          <w:b/>
          <w:i w:val="0"/>
          <w:sz w:val="22"/>
          <w:vertAlign w:val="subscript"/>
        </w:rPr>
        <w:t>i</w:t>
      </w:r>
      <w:r>
        <w:rPr>
          <w:rFonts w:ascii="Calibri" w:hAnsi="Calibri" w:eastAsia="宋体"/>
          <w:b w:val="0"/>
          <w:i w:val="0"/>
          <w:sz w:val="22"/>
        </w:rPr>
        <w:t>（AI 训练 0.16 MW/GPU、批量推理 0.10 MW/GPU、实时推理 0.08 MW/GPU）。定义 0-1 决策变量：</w:t>
      </w:r>
    </w:p>
    <w:p>
      <w:pPr>
        <w:spacing w:before="60" w:after="120"/>
        <w:jc w:val="center"/>
      </w:pPr>
      <w:r>
        <w:rPr>
          <w:rFonts w:ascii="Calibri" w:hAnsi="Calibri" w:eastAsia="宋体"/>
          <w:b w:val="0"/>
          <w:i w:val="0"/>
          <w:sz w:val="22"/>
        </w:rPr>
        <w:t>x</w:t>
      </w:r>
      <w:r>
        <w:rPr>
          <w:rFonts w:ascii="Calibri" w:hAnsi="Calibri" w:eastAsia="宋体"/>
          <w:b/>
          <w:i w:val="0"/>
          <w:sz w:val="22"/>
          <w:vertAlign w:val="subscript"/>
        </w:rPr>
        <w:t>i,r,s</w:t>
      </w:r>
      <w:r>
        <w:rPr>
          <w:rFonts w:ascii="Calibri" w:hAnsi="Calibri" w:eastAsia="宋体"/>
          <w:b w:val="0"/>
          <w:i w:val="0"/>
          <w:sz w:val="22"/>
        </w:rPr>
        <w:t xml:space="preserve"> = 1，任务 i 在区域 r、时段 s 开工；否则 x</w:t>
      </w:r>
      <w:r>
        <w:rPr>
          <w:rFonts w:ascii="Calibri" w:hAnsi="Calibri" w:eastAsia="宋体"/>
          <w:b/>
          <w:i w:val="0"/>
          <w:sz w:val="22"/>
          <w:vertAlign w:val="subscript"/>
        </w:rPr>
        <w:t>i,r,s</w:t>
      </w:r>
      <w:r>
        <w:rPr>
          <w:rFonts w:ascii="Calibri" w:hAnsi="Calibri" w:eastAsia="宋体"/>
          <w:b w:val="0"/>
          <w:i w:val="0"/>
          <w:sz w:val="22"/>
        </w:rPr>
        <w:t xml:space="preserve"> = 0</w:t>
      </w:r>
    </w:p>
    <w:p>
      <w:pPr>
        <w:spacing w:after="120" w:line="264" w:lineRule="auto"/>
      </w:pPr>
      <w:r>
        <w:rPr>
          <w:rFonts w:ascii="Calibri" w:hAnsi="Calibri" w:eastAsia="宋体"/>
          <w:b w:val="0"/>
          <w:i w:val="0"/>
          <w:sz w:val="22"/>
        </w:rPr>
        <w:t>任务功率与任务在时段 t 内的重叠系数分别为：</w:t>
      </w:r>
    </w:p>
    <w:p>
      <w:pPr>
        <w:spacing w:before="60" w:after="120"/>
        <w:jc w:val="center"/>
      </w:pPr>
      <w:r>
        <w:rPr>
          <w:rFonts w:ascii="Calibri" w:hAnsi="Calibri" w:eastAsia="宋体"/>
          <w:b w:val="0"/>
          <w:i w:val="0"/>
          <w:sz w:val="22"/>
        </w:rPr>
        <w:t>P</w:t>
      </w:r>
      <w:r>
        <w:rPr>
          <w:rFonts w:ascii="Calibri" w:hAnsi="Calibri" w:eastAsia="宋体"/>
          <w:b/>
          <w:i w:val="0"/>
          <w:sz w:val="22"/>
          <w:vertAlign w:val="subscript"/>
        </w:rPr>
        <w:t>i</w:t>
      </w:r>
      <w:r>
        <w:rPr>
          <w:rFonts w:ascii="Calibri" w:hAnsi="Calibri" w:eastAsia="宋体"/>
          <w:b w:val="0"/>
          <w:i w:val="0"/>
          <w:sz w:val="22"/>
        </w:rPr>
        <w:t xml:space="preserve"> = g</w:t>
      </w:r>
      <w:r>
        <w:rPr>
          <w:rFonts w:ascii="Calibri" w:hAnsi="Calibri" w:eastAsia="宋体"/>
          <w:b/>
          <w:i w:val="0"/>
          <w:sz w:val="22"/>
          <w:vertAlign w:val="subscript"/>
        </w:rPr>
        <w:t>i</w:t>
      </w:r>
      <w:r>
        <w:rPr>
          <w:rFonts w:ascii="Calibri" w:hAnsi="Calibri" w:eastAsia="宋体"/>
          <w:b w:val="0"/>
          <w:i w:val="0"/>
          <w:sz w:val="22"/>
        </w:rPr>
        <w:t xml:space="preserve"> × p</w:t>
      </w:r>
      <w:r>
        <w:rPr>
          <w:rFonts w:ascii="Calibri" w:hAnsi="Calibri" w:eastAsia="宋体"/>
          <w:b/>
          <w:i w:val="0"/>
          <w:sz w:val="22"/>
          <w:vertAlign w:val="subscript"/>
        </w:rPr>
        <w:t>i</w:t>
      </w:r>
      <w:r>
        <w:rPr>
          <w:rFonts w:ascii="Calibri" w:hAnsi="Calibri" w:eastAsia="宋体"/>
          <w:b w:val="0"/>
          <w:i w:val="0"/>
          <w:sz w:val="22"/>
        </w:rPr>
        <w:t>，    h</w:t>
      </w:r>
      <w:r>
        <w:rPr>
          <w:rFonts w:ascii="Calibri" w:hAnsi="Calibri" w:eastAsia="宋体"/>
          <w:b/>
          <w:i w:val="0"/>
          <w:sz w:val="22"/>
          <w:vertAlign w:val="subscript"/>
        </w:rPr>
        <w:t>i,t</w:t>
      </w:r>
      <w:r>
        <w:rPr>
          <w:rFonts w:ascii="Calibri" w:hAnsi="Calibri" w:eastAsia="宋体"/>
          <w:b w:val="0"/>
          <w:i w:val="0"/>
          <w:sz w:val="22"/>
        </w:rPr>
        <w:t xml:space="preserve"> = max(0, min(t+1, s</w:t>
      </w:r>
      <w:r>
        <w:rPr>
          <w:rFonts w:ascii="Calibri" w:hAnsi="Calibri" w:eastAsia="宋体"/>
          <w:b/>
          <w:i w:val="0"/>
          <w:sz w:val="22"/>
          <w:vertAlign w:val="subscript"/>
        </w:rPr>
        <w:t>i</w:t>
      </w:r>
      <w:r>
        <w:rPr>
          <w:rFonts w:ascii="Calibri" w:hAnsi="Calibri" w:eastAsia="宋体"/>
          <w:b w:val="0"/>
          <w:i w:val="0"/>
          <w:sz w:val="22"/>
        </w:rPr>
        <w:t>+d</w:t>
      </w:r>
      <w:r>
        <w:rPr>
          <w:rFonts w:ascii="Calibri" w:hAnsi="Calibri" w:eastAsia="宋体"/>
          <w:b/>
          <w:i w:val="0"/>
          <w:sz w:val="22"/>
          <w:vertAlign w:val="subscript"/>
        </w:rPr>
        <w:t>i</w:t>
      </w:r>
      <w:r>
        <w:rPr>
          <w:rFonts w:ascii="Calibri" w:hAnsi="Calibri" w:eastAsia="宋体"/>
          <w:b w:val="0"/>
          <w:i w:val="0"/>
          <w:sz w:val="22"/>
        </w:rPr>
        <w:t>) − max(t, s</w:t>
      </w:r>
      <w:r>
        <w:rPr>
          <w:rFonts w:ascii="Calibri" w:hAnsi="Calibri" w:eastAsia="宋体"/>
          <w:b/>
          <w:i w:val="0"/>
          <w:sz w:val="22"/>
          <w:vertAlign w:val="subscript"/>
        </w:rPr>
        <w:t>i</w:t>
      </w:r>
      <w:r>
        <w:rPr>
          <w:rFonts w:ascii="Calibri" w:hAnsi="Calibri" w:eastAsia="宋体"/>
          <w:b w:val="0"/>
          <w:i w:val="0"/>
          <w:sz w:val="22"/>
        </w:rPr>
        <w:t>))</w:t>
      </w:r>
    </w:p>
    <w:p>
      <w:pPr>
        <w:pStyle w:val="Heading2"/>
      </w:pPr>
      <w:r>
        <w:t>3.2 约束条件</w:t>
      </w:r>
    </w:p>
    <w:p>
      <w:pPr>
        <w:spacing w:after="120" w:line="264" w:lineRule="auto"/>
      </w:pPr>
      <w:r>
        <w:rPr>
          <w:rFonts w:ascii="Calibri" w:hAnsi="Calibri" w:eastAsia="宋体"/>
          <w:b/>
          <w:i w:val="0"/>
          <w:sz w:val="22"/>
        </w:rPr>
        <w:t>（1）区域可行性。</w:t>
      </w:r>
      <w:r>
        <w:rPr>
          <w:rFonts w:ascii="Calibri" w:hAnsi="Calibri" w:eastAsia="宋体"/>
          <w:b w:val="0"/>
          <w:i w:val="0"/>
          <w:sz w:val="22"/>
        </w:rPr>
        <w:t xml:space="preserve"> 任务仅可调度至满足网络时延要求的区域：</w:t>
      </w:r>
    </w:p>
    <w:p>
      <w:pPr>
        <w:spacing w:before="60" w:after="120"/>
        <w:jc w:val="center"/>
      </w:pPr>
      <w:r>
        <w:rPr>
          <w:rFonts w:ascii="Calibri" w:hAnsi="Calibri" w:eastAsia="宋体"/>
          <w:b w:val="0"/>
          <w:i w:val="0"/>
          <w:sz w:val="22"/>
        </w:rPr>
        <w:t>R</w:t>
      </w:r>
      <w:r>
        <w:rPr>
          <w:rFonts w:ascii="Calibri" w:hAnsi="Calibri" w:eastAsia="宋体"/>
          <w:b/>
          <w:i w:val="0"/>
          <w:sz w:val="22"/>
          <w:vertAlign w:val="subscript"/>
        </w:rPr>
        <w:t>i</w:t>
      </w:r>
      <w:r>
        <w:rPr>
          <w:rFonts w:ascii="Calibri" w:hAnsi="Calibri" w:eastAsia="宋体"/>
          <w:b w:val="0"/>
          <w:i w:val="0"/>
          <w:sz w:val="22"/>
        </w:rPr>
        <w:t xml:space="preserve"> = { r | NetworkLatency(q</w:t>
      </w:r>
      <w:r>
        <w:rPr>
          <w:rFonts w:ascii="Calibri" w:hAnsi="Calibri" w:eastAsia="宋体"/>
          <w:b/>
          <w:i w:val="0"/>
          <w:sz w:val="22"/>
          <w:vertAlign w:val="subscript"/>
        </w:rPr>
        <w:t>i</w:t>
      </w:r>
      <w:r>
        <w:rPr>
          <w:rFonts w:ascii="Calibri" w:hAnsi="Calibri" w:eastAsia="宋体"/>
          <w:b w:val="0"/>
          <w:i w:val="0"/>
          <w:sz w:val="22"/>
        </w:rPr>
        <w:t>, r) ≤ l</w:t>
      </w:r>
      <w:r>
        <w:rPr>
          <w:rFonts w:ascii="Calibri" w:hAnsi="Calibri" w:eastAsia="宋体"/>
          <w:b/>
          <w:i w:val="0"/>
          <w:sz w:val="22"/>
          <w:vertAlign w:val="subscript"/>
        </w:rPr>
        <w:t>i</w:t>
      </w:r>
      <w:r>
        <w:rPr>
          <w:rFonts w:ascii="Calibri" w:hAnsi="Calibri" w:eastAsia="宋体"/>
          <w:b w:val="0"/>
          <w:i w:val="0"/>
          <w:sz w:val="22"/>
        </w:rPr>
        <w:t xml:space="preserve"> }</w:t>
      </w:r>
    </w:p>
    <w:p>
      <w:pPr>
        <w:spacing w:after="120" w:line="264" w:lineRule="auto"/>
      </w:pPr>
      <w:r>
        <w:rPr>
          <w:rFonts w:ascii="Calibri" w:hAnsi="Calibri" w:eastAsia="宋体"/>
          <w:b/>
          <w:i w:val="0"/>
          <w:sz w:val="22"/>
        </w:rPr>
        <w:t>（2）时间可行性。</w:t>
      </w:r>
      <w:r>
        <w:rPr>
          <w:rFonts w:ascii="Calibri" w:hAnsi="Calibri" w:eastAsia="宋体"/>
          <w:b w:val="0"/>
          <w:i w:val="0"/>
          <w:sz w:val="22"/>
        </w:rPr>
        <w:t xml:space="preserve"> 实时推理任务到达即开工：s</w:t>
      </w:r>
      <w:r>
        <w:rPr>
          <w:rFonts w:ascii="Calibri" w:hAnsi="Calibri" w:eastAsia="宋体"/>
          <w:b/>
          <w:i w:val="0"/>
          <w:sz w:val="22"/>
          <w:vertAlign w:val="subscript"/>
        </w:rPr>
        <w:t>i</w:t>
      </w:r>
      <w:r>
        <w:rPr>
          <w:rFonts w:ascii="Calibri" w:hAnsi="Calibri" w:eastAsia="宋体"/>
          <w:b w:val="0"/>
          <w:i w:val="0"/>
          <w:sz w:val="22"/>
        </w:rPr>
        <w:t xml:space="preserve"> = a</w:t>
      </w:r>
      <w:r>
        <w:rPr>
          <w:rFonts w:ascii="Calibri" w:hAnsi="Calibri" w:eastAsia="宋体"/>
          <w:b/>
          <w:i w:val="0"/>
          <w:sz w:val="22"/>
          <w:vertAlign w:val="subscript"/>
        </w:rPr>
        <w:t>i</w:t>
      </w:r>
      <w:r>
        <w:rPr>
          <w:rFonts w:ascii="Calibri" w:hAnsi="Calibri" w:eastAsia="宋体"/>
          <w:b w:val="0"/>
          <w:i w:val="0"/>
          <w:sz w:val="22"/>
        </w:rPr>
        <w:t>；批量推理与 AI 训练任务允许延迟：a</w:t>
      </w:r>
      <w:r>
        <w:rPr>
          <w:rFonts w:ascii="Calibri" w:hAnsi="Calibri" w:eastAsia="宋体"/>
          <w:b/>
          <w:i w:val="0"/>
          <w:sz w:val="22"/>
          <w:vertAlign w:val="subscript"/>
        </w:rPr>
        <w:t>i</w:t>
      </w:r>
      <w:r>
        <w:rPr>
          <w:rFonts w:ascii="Calibri" w:hAnsi="Calibri" w:eastAsia="宋体"/>
          <w:b w:val="0"/>
          <w:i w:val="0"/>
          <w:sz w:val="22"/>
        </w:rPr>
        <w:t xml:space="preserve"> ≤ s</w:t>
      </w:r>
      <w:r>
        <w:rPr>
          <w:rFonts w:ascii="Calibri" w:hAnsi="Calibri" w:eastAsia="宋体"/>
          <w:b/>
          <w:i w:val="0"/>
          <w:sz w:val="22"/>
          <w:vertAlign w:val="subscript"/>
        </w:rPr>
        <w:t>i</w:t>
      </w:r>
      <w:r>
        <w:rPr>
          <w:rFonts w:ascii="Calibri" w:hAnsi="Calibri" w:eastAsia="宋体"/>
          <w:b w:val="0"/>
          <w:i w:val="0"/>
          <w:sz w:val="22"/>
        </w:rPr>
        <w:t xml:space="preserve"> ≤ L</w:t>
      </w:r>
      <w:r>
        <w:rPr>
          <w:rFonts w:ascii="Calibri" w:hAnsi="Calibri" w:eastAsia="宋体"/>
          <w:b/>
          <w:i w:val="0"/>
          <w:sz w:val="22"/>
          <w:vertAlign w:val="subscript"/>
        </w:rPr>
        <w:t>i</w:t>
      </w:r>
      <w:r>
        <w:rPr>
          <w:rFonts w:ascii="Calibri" w:hAnsi="Calibri" w:eastAsia="宋体"/>
          <w:b w:val="0"/>
          <w:i w:val="0"/>
          <w:sz w:val="22"/>
        </w:rPr>
        <w:t xml:space="preserve"> − d</w:t>
      </w:r>
      <w:r>
        <w:rPr>
          <w:rFonts w:ascii="Calibri" w:hAnsi="Calibri" w:eastAsia="宋体"/>
          <w:b/>
          <w:i w:val="0"/>
          <w:sz w:val="22"/>
          <w:vertAlign w:val="subscript"/>
        </w:rPr>
        <w:t>i</w:t>
      </w:r>
      <w:r>
        <w:rPr>
          <w:rFonts w:ascii="Calibri" w:hAnsi="Calibri" w:eastAsia="宋体"/>
          <w:b w:val="0"/>
          <w:i w:val="0"/>
          <w:sz w:val="22"/>
        </w:rPr>
        <w:t>，且 s</w:t>
      </w:r>
      <w:r>
        <w:rPr>
          <w:rFonts w:ascii="Calibri" w:hAnsi="Calibri" w:eastAsia="宋体"/>
          <w:b/>
          <w:i w:val="0"/>
          <w:sz w:val="22"/>
          <w:vertAlign w:val="subscript"/>
        </w:rPr>
        <w:t>i</w:t>
      </w:r>
      <w:r>
        <w:rPr>
          <w:rFonts w:ascii="Calibri" w:hAnsi="Calibri" w:eastAsia="宋体"/>
          <w:b w:val="0"/>
          <w:i w:val="0"/>
          <w:sz w:val="22"/>
        </w:rPr>
        <w:t xml:space="preserve"> + d</w:t>
      </w:r>
      <w:r>
        <w:rPr>
          <w:rFonts w:ascii="Calibri" w:hAnsi="Calibri" w:eastAsia="宋体"/>
          <w:b/>
          <w:i w:val="0"/>
          <w:sz w:val="22"/>
          <w:vertAlign w:val="subscript"/>
        </w:rPr>
        <w:t>i</w:t>
      </w:r>
      <w:r>
        <w:rPr>
          <w:rFonts w:ascii="Calibri" w:hAnsi="Calibri" w:eastAsia="宋体"/>
          <w:b w:val="0"/>
          <w:i w:val="0"/>
          <w:sz w:val="22"/>
        </w:rPr>
        <w:t xml:space="preserve"> ≤ 2406。</w:t>
      </w:r>
    </w:p>
    <w:p>
      <w:pPr>
        <w:spacing w:after="120" w:line="264" w:lineRule="auto"/>
      </w:pPr>
      <w:r>
        <w:rPr>
          <w:rFonts w:ascii="Calibri" w:hAnsi="Calibri" w:eastAsia="宋体"/>
          <w:b/>
          <w:i w:val="0"/>
          <w:sz w:val="22"/>
        </w:rPr>
        <w:t>（3）GPU 容量约束。</w:t>
      </w:r>
      <w:r>
        <w:rPr>
          <w:rFonts w:ascii="Calibri" w:hAnsi="Calibri" w:eastAsia="宋体"/>
          <w:b w:val="0"/>
          <w:i w:val="0"/>
          <w:sz w:val="22"/>
        </w:rPr>
        <w:t xml:space="preserve"> 任意区域任意时段的 GPU 占用不超过可调度容量：</w:t>
      </w:r>
    </w:p>
    <w:p>
      <w:pPr>
        <w:spacing w:before="60" w:after="120"/>
        <w:jc w:val="center"/>
      </w:pPr>
      <w:r>
        <w:rPr>
          <w:rFonts w:ascii="Calibri" w:hAnsi="Calibri" w:eastAsia="宋体"/>
          <w:b w:val="0"/>
          <w:i w:val="0"/>
          <w:sz w:val="22"/>
        </w:rPr>
        <w:t>Σ</w:t>
      </w:r>
      <w:r>
        <w:rPr>
          <w:rFonts w:ascii="Calibri" w:hAnsi="Calibri" w:eastAsia="宋体"/>
          <w:b/>
          <w:i w:val="0"/>
          <w:sz w:val="22"/>
          <w:vertAlign w:val="subscript"/>
        </w:rPr>
        <w:t>i</w:t>
      </w:r>
      <w:r>
        <w:rPr>
          <w:rFonts w:ascii="Calibri" w:hAnsi="Calibri" w:eastAsia="宋体"/>
          <w:b w:val="0"/>
          <w:i w:val="0"/>
          <w:sz w:val="22"/>
        </w:rPr>
        <w:t xml:space="preserve"> Σ</w:t>
      </w:r>
      <w:r>
        <w:rPr>
          <w:rFonts w:ascii="Calibri" w:hAnsi="Calibri" w:eastAsia="宋体"/>
          <w:b/>
          <w:i w:val="0"/>
          <w:sz w:val="22"/>
          <w:vertAlign w:val="subscript"/>
        </w:rPr>
        <w:t>s</w:t>
      </w:r>
      <w:r>
        <w:rPr>
          <w:rFonts w:ascii="Calibri" w:hAnsi="Calibri" w:eastAsia="宋体"/>
          <w:b w:val="0"/>
          <w:i w:val="0"/>
          <w:sz w:val="22"/>
        </w:rPr>
        <w:t xml:space="preserve"> g</w:t>
      </w:r>
      <w:r>
        <w:rPr>
          <w:rFonts w:ascii="Calibri" w:hAnsi="Calibri" w:eastAsia="宋体"/>
          <w:b/>
          <w:i w:val="0"/>
          <w:sz w:val="22"/>
          <w:vertAlign w:val="subscript"/>
        </w:rPr>
        <w:t>i</w:t>
      </w:r>
      <w:r>
        <w:rPr>
          <w:rFonts w:ascii="Calibri" w:hAnsi="Calibri" w:eastAsia="宋体"/>
          <w:b w:val="0"/>
          <w:i w:val="0"/>
          <w:sz w:val="22"/>
        </w:rPr>
        <w:t>·h</w:t>
      </w:r>
      <w:r>
        <w:rPr>
          <w:rFonts w:ascii="Calibri" w:hAnsi="Calibri" w:eastAsia="宋体"/>
          <w:b/>
          <w:i w:val="0"/>
          <w:sz w:val="22"/>
          <w:vertAlign w:val="subscript"/>
        </w:rPr>
        <w:t>i,t</w:t>
      </w:r>
      <w:r>
        <w:rPr>
          <w:rFonts w:ascii="Calibri" w:hAnsi="Calibri" w:eastAsia="宋体"/>
          <w:b w:val="0"/>
          <w:i w:val="0"/>
          <w:sz w:val="22"/>
        </w:rPr>
        <w:t>·x</w:t>
      </w:r>
      <w:r>
        <w:rPr>
          <w:rFonts w:ascii="Calibri" w:hAnsi="Calibri" w:eastAsia="宋体"/>
          <w:b/>
          <w:i w:val="0"/>
          <w:sz w:val="22"/>
          <w:vertAlign w:val="subscript"/>
        </w:rPr>
        <w:t>i,r,s</w:t>
      </w:r>
      <w:r>
        <w:rPr>
          <w:rFonts w:ascii="Calibri" w:hAnsi="Calibri" w:eastAsia="宋体"/>
          <w:b w:val="0"/>
          <w:i w:val="0"/>
          <w:sz w:val="22"/>
        </w:rPr>
        <w:t xml:space="preserve"> ≤ Available_GPU(r), ∀r,t</w:t>
      </w:r>
    </w:p>
    <w:p>
      <w:pPr>
        <w:spacing w:after="120" w:line="264" w:lineRule="auto"/>
      </w:pPr>
      <w:r>
        <w:rPr>
          <w:rFonts w:ascii="Calibri" w:hAnsi="Calibri" w:eastAsia="宋体"/>
          <w:b/>
          <w:i w:val="0"/>
          <w:sz w:val="22"/>
        </w:rPr>
        <w:t>（4）功率约束。</w:t>
      </w:r>
      <w:r>
        <w:rPr>
          <w:rFonts w:ascii="Calibri" w:hAnsi="Calibri" w:eastAsia="宋体"/>
          <w:b w:val="0"/>
          <w:i w:val="0"/>
          <w:sz w:val="22"/>
        </w:rPr>
        <w:t xml:space="preserve"> 区域 IT 负荷与设施负荷不超过对应上限：</w:t>
      </w:r>
    </w:p>
    <w:p>
      <w:pPr>
        <w:spacing w:before="60" w:after="120"/>
        <w:jc w:val="center"/>
      </w:pPr>
      <w:r>
        <w:rPr>
          <w:rFonts w:ascii="Calibri" w:hAnsi="Calibri" w:eastAsia="宋体"/>
          <w:b w:val="0"/>
          <w:i w:val="0"/>
          <w:sz w:val="22"/>
        </w:rPr>
        <w:t>AI_IT_Load(r,t) = Σ</w:t>
      </w:r>
      <w:r>
        <w:rPr>
          <w:rFonts w:ascii="Calibri" w:hAnsi="Calibri" w:eastAsia="宋体"/>
          <w:b/>
          <w:i w:val="0"/>
          <w:sz w:val="22"/>
          <w:vertAlign w:val="subscript"/>
        </w:rPr>
        <w:t>i</w:t>
      </w:r>
      <w:r>
        <w:rPr>
          <w:rFonts w:ascii="Calibri" w:hAnsi="Calibri" w:eastAsia="宋体"/>
          <w:b w:val="0"/>
          <w:i w:val="0"/>
          <w:sz w:val="22"/>
        </w:rPr>
        <w:t xml:space="preserve"> Σ</w:t>
      </w:r>
      <w:r>
        <w:rPr>
          <w:rFonts w:ascii="Calibri" w:hAnsi="Calibri" w:eastAsia="宋体"/>
          <w:b/>
          <w:i w:val="0"/>
          <w:sz w:val="22"/>
          <w:vertAlign w:val="subscript"/>
        </w:rPr>
        <w:t>s</w:t>
      </w:r>
      <w:r>
        <w:rPr>
          <w:rFonts w:ascii="Calibri" w:hAnsi="Calibri" w:eastAsia="宋体"/>
          <w:b w:val="0"/>
          <w:i w:val="0"/>
          <w:sz w:val="22"/>
        </w:rPr>
        <w:t xml:space="preserve"> P</w:t>
      </w:r>
      <w:r>
        <w:rPr>
          <w:rFonts w:ascii="Calibri" w:hAnsi="Calibri" w:eastAsia="宋体"/>
          <w:b/>
          <w:i w:val="0"/>
          <w:sz w:val="22"/>
          <w:vertAlign w:val="subscript"/>
        </w:rPr>
        <w:t>i</w:t>
      </w:r>
      <w:r>
        <w:rPr>
          <w:rFonts w:ascii="Calibri" w:hAnsi="Calibri" w:eastAsia="宋体"/>
          <w:b w:val="0"/>
          <w:i w:val="0"/>
          <w:sz w:val="22"/>
        </w:rPr>
        <w:t>·h</w:t>
      </w:r>
      <w:r>
        <w:rPr>
          <w:rFonts w:ascii="Calibri" w:hAnsi="Calibri" w:eastAsia="宋体"/>
          <w:b/>
          <w:i w:val="0"/>
          <w:sz w:val="22"/>
          <w:vertAlign w:val="subscript"/>
        </w:rPr>
        <w:t>i,t</w:t>
      </w:r>
      <w:r>
        <w:rPr>
          <w:rFonts w:ascii="Calibri" w:hAnsi="Calibri" w:eastAsia="宋体"/>
          <w:b w:val="0"/>
          <w:i w:val="0"/>
          <w:sz w:val="22"/>
        </w:rPr>
        <w:t>·x</w:t>
      </w:r>
      <w:r>
        <w:rPr>
          <w:rFonts w:ascii="Calibri" w:hAnsi="Calibri" w:eastAsia="宋体"/>
          <w:b/>
          <w:i w:val="0"/>
          <w:sz w:val="22"/>
          <w:vertAlign w:val="subscript"/>
        </w:rPr>
        <w:t>i,r,s</w:t>
      </w:r>
      <w:r>
        <w:rPr>
          <w:rFonts w:ascii="Calibri" w:hAnsi="Calibri" w:eastAsia="宋体"/>
          <w:b w:val="0"/>
          <w:i w:val="0"/>
          <w:sz w:val="22"/>
        </w:rPr>
        <w:t>，  IT_Load(r,t) = NonAI_IT_Load(r,t) + AI_IT_Load(r,t) ≤ Max_IT_Power_MW(r)</w:t>
      </w:r>
    </w:p>
    <w:p>
      <w:pPr>
        <w:spacing w:before="60" w:after="120"/>
        <w:jc w:val="center"/>
      </w:pPr>
      <w:r>
        <w:rPr>
          <w:rFonts w:ascii="Calibri" w:hAnsi="Calibri" w:eastAsia="宋体"/>
          <w:b w:val="0"/>
          <w:i w:val="0"/>
          <w:sz w:val="22"/>
        </w:rPr>
        <w:t>Total_Load(r,t) = IT_Load(r,t) × PUE(r) ≤ Max_Facility_Power_MW(r)</w:t>
      </w:r>
    </w:p>
    <w:p>
      <w:pPr>
        <w:spacing w:after="120" w:line="264" w:lineRule="auto"/>
      </w:pPr>
      <w:r>
        <w:rPr>
          <w:rFonts w:ascii="Calibri" w:hAnsi="Calibri" w:eastAsia="宋体"/>
          <w:b/>
          <w:i w:val="0"/>
          <w:sz w:val="22"/>
        </w:rPr>
        <w:t>（5）任务唯一性约束。</w:t>
      </w:r>
      <w:r>
        <w:rPr>
          <w:rFonts w:ascii="Calibri" w:hAnsi="Calibri" w:eastAsia="宋体"/>
          <w:b w:val="0"/>
          <w:i w:val="0"/>
          <w:sz w:val="22"/>
        </w:rPr>
        <w:t xml:space="preserve"> 每个任务有且仅有一个执行区域与开工时段：</w:t>
      </w:r>
    </w:p>
    <w:p>
      <w:pPr>
        <w:spacing w:before="60" w:after="120"/>
        <w:jc w:val="center"/>
      </w:pPr>
      <w:r>
        <w:rPr>
          <w:rFonts w:ascii="Calibri" w:hAnsi="Calibri" w:eastAsia="宋体"/>
          <w:b w:val="0"/>
          <w:i w:val="0"/>
          <w:sz w:val="22"/>
        </w:rPr>
        <w:t>Σ</w:t>
      </w:r>
      <w:r>
        <w:rPr>
          <w:rFonts w:ascii="Calibri" w:hAnsi="Calibri" w:eastAsia="宋体"/>
          <w:b/>
          <w:i w:val="0"/>
          <w:sz w:val="22"/>
          <w:vertAlign w:val="subscript"/>
        </w:rPr>
        <w:t>r∈Ri</w:t>
      </w:r>
      <w:r>
        <w:rPr>
          <w:rFonts w:ascii="Calibri" w:hAnsi="Calibri" w:eastAsia="宋体"/>
          <w:b w:val="0"/>
          <w:i w:val="0"/>
          <w:sz w:val="22"/>
        </w:rPr>
        <w:t xml:space="preserve"> Σ</w:t>
      </w:r>
      <w:r>
        <w:rPr>
          <w:rFonts w:ascii="Calibri" w:hAnsi="Calibri" w:eastAsia="宋体"/>
          <w:b/>
          <w:i w:val="0"/>
          <w:sz w:val="22"/>
          <w:vertAlign w:val="subscript"/>
        </w:rPr>
        <w:t>s</w:t>
      </w:r>
      <w:r>
        <w:rPr>
          <w:rFonts w:ascii="Calibri" w:hAnsi="Calibri" w:eastAsia="宋体"/>
          <w:b w:val="0"/>
          <w:i w:val="0"/>
          <w:sz w:val="22"/>
        </w:rPr>
        <w:t xml:space="preserve"> x</w:t>
      </w:r>
      <w:r>
        <w:rPr>
          <w:rFonts w:ascii="Calibri" w:hAnsi="Calibri" w:eastAsia="宋体"/>
          <w:b/>
          <w:i w:val="0"/>
          <w:sz w:val="22"/>
          <w:vertAlign w:val="subscript"/>
        </w:rPr>
        <w:t>i,r,s</w:t>
      </w:r>
      <w:r>
        <w:rPr>
          <w:rFonts w:ascii="Calibri" w:hAnsi="Calibri" w:eastAsia="宋体"/>
          <w:b w:val="0"/>
          <w:i w:val="0"/>
          <w:sz w:val="22"/>
        </w:rPr>
        <w:t xml:space="preserve"> = 1, ∀i</w:t>
      </w:r>
    </w:p>
    <w:p>
      <w:pPr>
        <w:pStyle w:val="Heading2"/>
      </w:pPr>
      <w:r>
        <w:t>3.3 目标函数与加权综合评分</w:t>
      </w:r>
    </w:p>
    <w:p>
      <w:pPr>
        <w:spacing w:after="120" w:line="264" w:lineRule="auto"/>
      </w:pPr>
      <w:r>
        <w:rPr>
          <w:rFonts w:ascii="Calibri" w:hAnsi="Calibri" w:eastAsia="宋体"/>
          <w:b w:val="0"/>
          <w:i w:val="0"/>
          <w:sz w:val="22"/>
        </w:rPr>
        <w:t>对候选方案 (i,r,s) 定义四个目标分量：新增运行成本（执行期间新增设施负荷扣除新能源直接消纳后的购电成本）、新增碳排放、网络时延与新能源消纳收益：</w:t>
      </w:r>
    </w:p>
    <w:p>
      <w:pPr>
        <w:spacing w:before="60" w:after="120"/>
        <w:jc w:val="center"/>
      </w:pPr>
      <w:r>
        <w:rPr>
          <w:rFonts w:ascii="Calibri" w:hAnsi="Calibri" w:eastAsia="宋体"/>
          <w:b w:val="0"/>
          <w:i w:val="0"/>
          <w:sz w:val="22"/>
        </w:rPr>
        <w:t>ΔLoad(r,t) = P</w:t>
      </w:r>
      <w:r>
        <w:rPr>
          <w:rFonts w:ascii="Calibri" w:hAnsi="Calibri" w:eastAsia="宋体"/>
          <w:b/>
          <w:i w:val="0"/>
          <w:sz w:val="22"/>
          <w:vertAlign w:val="subscript"/>
        </w:rPr>
        <w:t>i</w:t>
      </w:r>
      <w:r>
        <w:rPr>
          <w:rFonts w:ascii="Calibri" w:hAnsi="Calibri" w:eastAsia="宋体"/>
          <w:b w:val="0"/>
          <w:i w:val="0"/>
          <w:sz w:val="22"/>
        </w:rPr>
        <w:t>·h</w:t>
      </w:r>
      <w:r>
        <w:rPr>
          <w:rFonts w:ascii="Calibri" w:hAnsi="Calibri" w:eastAsia="宋体"/>
          <w:b/>
          <w:i w:val="0"/>
          <w:sz w:val="22"/>
          <w:vertAlign w:val="subscript"/>
        </w:rPr>
        <w:t>i,t</w:t>
      </w:r>
      <w:r>
        <w:rPr>
          <w:rFonts w:ascii="Calibri" w:hAnsi="Calibri" w:eastAsia="宋体"/>
          <w:b w:val="0"/>
          <w:i w:val="0"/>
          <w:sz w:val="22"/>
        </w:rPr>
        <w:t>·PUE(r)，  UsedRenewable(r,t) = min(ΔLoad(r,t), AvailableRenewable(r,t))</w:t>
      </w:r>
    </w:p>
    <w:p>
      <w:pPr>
        <w:spacing w:before="60" w:after="120"/>
        <w:jc w:val="center"/>
      </w:pPr>
      <w:r>
        <w:rPr>
          <w:rFonts w:ascii="Calibri" w:hAnsi="Calibri" w:eastAsia="宋体"/>
          <w:b w:val="0"/>
          <w:i w:val="0"/>
          <w:sz w:val="22"/>
        </w:rPr>
        <w:t>Cost(i,r,s) = Σ</w:t>
      </w:r>
      <w:r>
        <w:rPr>
          <w:rFonts w:ascii="Calibri" w:hAnsi="Calibri" w:eastAsia="宋体"/>
          <w:b/>
          <w:i w:val="0"/>
          <w:sz w:val="22"/>
          <w:vertAlign w:val="subscript"/>
        </w:rPr>
        <w:t>t</w:t>
      </w:r>
      <w:r>
        <w:rPr>
          <w:rFonts w:ascii="Calibri" w:hAnsi="Calibri" w:eastAsia="宋体"/>
          <w:b w:val="0"/>
          <w:i w:val="0"/>
          <w:sz w:val="22"/>
        </w:rPr>
        <w:t xml:space="preserve"> max(0, ΔLoad(r,t) − AvailableRenewable(r,t)) × ElectricityPrice(r,t)</w:t>
      </w:r>
    </w:p>
    <w:p>
      <w:pPr>
        <w:spacing w:before="60" w:after="120"/>
        <w:jc w:val="center"/>
      </w:pPr>
      <w:r>
        <w:rPr>
          <w:rFonts w:ascii="Calibri" w:hAnsi="Calibri" w:eastAsia="宋体"/>
          <w:b w:val="0"/>
          <w:i w:val="0"/>
          <w:sz w:val="22"/>
        </w:rPr>
        <w:t>Carbon(i,r,s) = Σ</w:t>
      </w:r>
      <w:r>
        <w:rPr>
          <w:rFonts w:ascii="Calibri" w:hAnsi="Calibri" w:eastAsia="宋体"/>
          <w:b/>
          <w:i w:val="0"/>
          <w:sz w:val="22"/>
          <w:vertAlign w:val="subscript"/>
        </w:rPr>
        <w:t>t</w:t>
      </w:r>
      <w:r>
        <w:rPr>
          <w:rFonts w:ascii="Calibri" w:hAnsi="Calibri" w:eastAsia="宋体"/>
          <w:b w:val="0"/>
          <w:i w:val="0"/>
          <w:sz w:val="22"/>
        </w:rPr>
        <w:t xml:space="preserve"> max(0, ΔLoad(r,t) − AvailableRenewable(r,t)) × CarbonIntensity(r,t)</w:t>
      </w:r>
    </w:p>
    <w:p>
      <w:pPr>
        <w:spacing w:before="60" w:after="120"/>
        <w:jc w:val="center"/>
      </w:pPr>
      <w:r>
        <w:rPr>
          <w:rFonts w:ascii="Calibri" w:hAnsi="Calibri" w:eastAsia="宋体"/>
          <w:b w:val="0"/>
          <w:i w:val="0"/>
          <w:sz w:val="22"/>
        </w:rPr>
        <w:t>Latency(i,r) = NetworkLatency(q</w:t>
      </w:r>
      <w:r>
        <w:rPr>
          <w:rFonts w:ascii="Calibri" w:hAnsi="Calibri" w:eastAsia="宋体"/>
          <w:b/>
          <w:i w:val="0"/>
          <w:sz w:val="22"/>
          <w:vertAlign w:val="subscript"/>
        </w:rPr>
        <w:t>i</w:t>
      </w:r>
      <w:r>
        <w:rPr>
          <w:rFonts w:ascii="Calibri" w:hAnsi="Calibri" w:eastAsia="宋体"/>
          <w:b w:val="0"/>
          <w:i w:val="0"/>
          <w:sz w:val="22"/>
        </w:rPr>
        <w:t>, r)，  RenewableBenefit(i,r,s) = Σ</w:t>
      </w:r>
      <w:r>
        <w:rPr>
          <w:rFonts w:ascii="Calibri" w:hAnsi="Calibri" w:eastAsia="宋体"/>
          <w:b/>
          <w:i w:val="0"/>
          <w:sz w:val="22"/>
          <w:vertAlign w:val="subscript"/>
        </w:rPr>
        <w:t>t</w:t>
      </w:r>
      <w:r>
        <w:rPr>
          <w:rFonts w:ascii="Calibri" w:hAnsi="Calibri" w:eastAsia="宋体"/>
          <w:b w:val="0"/>
          <w:i w:val="0"/>
          <w:sz w:val="22"/>
        </w:rPr>
        <w:t xml:space="preserve"> UsedRenewable(r,t)</w:t>
      </w:r>
    </w:p>
    <w:p>
      <w:pPr>
        <w:spacing w:after="120" w:line="264" w:lineRule="auto"/>
      </w:pPr>
      <w:r>
        <w:rPr>
          <w:rFonts w:ascii="Calibri" w:hAnsi="Calibri" w:eastAsia="宋体"/>
          <w:b w:val="0"/>
          <w:i w:val="0"/>
          <w:sz w:val="22"/>
        </w:rPr>
        <w:t>引入拥塞惩罚项，以 GPU 利用率与设施功率利用率的超阈值部分度量区域拥挤程度：</w:t>
      </w:r>
    </w:p>
    <w:p>
      <w:pPr>
        <w:spacing w:before="60" w:after="120"/>
        <w:jc w:val="center"/>
      </w:pPr>
      <w:r>
        <w:rPr>
          <w:rFonts w:ascii="Calibri" w:hAnsi="Calibri" w:eastAsia="宋体"/>
          <w:b w:val="0"/>
          <w:i w:val="0"/>
          <w:sz w:val="22"/>
        </w:rPr>
        <w:t>Congestion(i,r,s) = max(0, u</w:t>
      </w:r>
      <w:r>
        <w:rPr>
          <w:rFonts w:ascii="Calibri" w:hAnsi="Calibri" w:eastAsia="宋体"/>
          <w:b/>
          <w:i w:val="0"/>
          <w:sz w:val="22"/>
          <w:vertAlign w:val="subscript"/>
        </w:rPr>
        <w:t>GPU</w:t>
      </w:r>
      <w:r>
        <w:rPr>
          <w:rFonts w:ascii="Calibri" w:hAnsi="Calibri" w:eastAsia="宋体"/>
          <w:b w:val="0"/>
          <w:i w:val="0"/>
          <w:sz w:val="22"/>
        </w:rPr>
        <w:t>(r,t) − ρ) + max(0, u</w:t>
      </w:r>
      <w:r>
        <w:rPr>
          <w:rFonts w:ascii="Calibri" w:hAnsi="Calibri" w:eastAsia="宋体"/>
          <w:b/>
          <w:i w:val="0"/>
          <w:sz w:val="22"/>
          <w:vertAlign w:val="subscript"/>
        </w:rPr>
        <w:t>Power</w:t>
      </w:r>
      <w:r>
        <w:rPr>
          <w:rFonts w:ascii="Calibri" w:hAnsi="Calibri" w:eastAsia="宋体"/>
          <w:b w:val="0"/>
          <w:i w:val="0"/>
          <w:sz w:val="22"/>
        </w:rPr>
        <w:t>(r,t) − ρ)</w:t>
      </w:r>
    </w:p>
    <w:p>
      <w:pPr>
        <w:spacing w:after="120" w:line="264" w:lineRule="auto"/>
      </w:pPr>
      <w:r>
        <w:rPr>
          <w:rFonts w:ascii="Calibri" w:hAnsi="Calibri" w:eastAsia="宋体"/>
          <w:b w:val="0"/>
          <w:i w:val="0"/>
          <w:sz w:val="22"/>
        </w:rPr>
        <w:t>采用加权求和法将多目标转化为综合评分（新能源项取负号表示消纳越多评分越优）：</w:t>
      </w:r>
    </w:p>
    <w:p>
      <w:pPr>
        <w:spacing w:before="60" w:after="120"/>
        <w:jc w:val="center"/>
      </w:pPr>
      <w:r>
        <w:rPr>
          <w:rFonts w:ascii="Calibri" w:hAnsi="Calibri" w:eastAsia="宋体"/>
          <w:b/>
          <w:i w:val="0"/>
          <w:sz w:val="22"/>
        </w:rPr>
        <w:t>Score(i,r,s) = α·Cost(i,r,s) + β·Carbon(i,r,s) + γ·Latency(i,r) − δ·RenewableBenefit(i,r,s) + μ·Congestion(i,r,s)</w:t>
      </w:r>
    </w:p>
    <w:p>
      <w:pPr>
        <w:spacing w:after="120" w:line="264" w:lineRule="auto"/>
      </w:pPr>
      <w:r>
        <w:rPr>
          <w:rFonts w:ascii="Calibri" w:hAnsi="Calibri" w:eastAsia="宋体"/>
          <w:b w:val="0"/>
          <w:i w:val="0"/>
          <w:sz w:val="22"/>
        </w:rPr>
        <w:t>通过设置不同的权重向量 (α, β, γ, δ, μ)，即可生成具有不同调度偏好（成本优先、低碳优先、时延优先等）的策略方案。</w:t>
      </w:r>
    </w:p>
    <w:p>
      <w:pPr>
        <w:pStyle w:val="Heading2"/>
      </w:pPr>
      <w:r>
        <w:t>3.4 滚动窗口机制</w:t>
      </w:r>
    </w:p>
    <w:p>
      <w:pPr>
        <w:spacing w:after="120" w:line="264" w:lineRule="auto"/>
      </w:pPr>
      <w:r>
        <w:rPr>
          <w:rFonts w:ascii="Calibri" w:hAnsi="Calibri" w:eastAsia="宋体"/>
          <w:b w:val="0"/>
          <w:i w:val="0"/>
          <w:sz w:val="22"/>
        </w:rPr>
        <w:t>为避免一次性求解大规模整数规划，采用滚动时域调度：将主时域划分为长度为 Δ 的窗口，窗口 τ 内处理到达时刻位于 [τ, τ+Δ−1] 的任务，并允许弹性任务在不超过最晚完成时刻的前提下，于未来 Lookahead 小时内选择开工时段。当前窗口求解完成后固定结果，更新 GPU 占用与电力负荷，进入下一窗口。</w:t>
      </w:r>
    </w:p>
    <w:p>
      <w:pPr>
        <w:pStyle w:val="Heading1"/>
      </w:pPr>
      <w:r>
        <w:t>四、求解算法</w:t>
      </w:r>
    </w:p>
    <w:p>
      <w:pPr>
        <w:pStyle w:val="Heading2"/>
      </w:pPr>
      <w:r>
        <w:t>4.1 碳感知滚动窗口调度（WCRS）</w:t>
      </w:r>
    </w:p>
    <w:p>
      <w:pPr>
        <w:spacing w:after="40"/>
        <w:ind w:left="259"/>
        <w:shd w:val="clear" w:color="auto" w:fill="F4F6F9"/>
      </w:pPr>
      <w:r>
        <w:rPr>
          <w:rFonts w:ascii="Consolas" w:hAnsi="Consolas" w:eastAsia="宋体"/>
          <w:b w:val="0"/>
          <w:i w:val="0"/>
          <w:sz w:val="21"/>
        </w:rPr>
        <w:t>预处理：计算任务时长 d_i、功率 P_i、可行区域集 R_i 与允许开工区间；</w:t>
      </w:r>
    </w:p>
    <w:p>
      <w:pPr>
        <w:spacing w:after="40"/>
        <w:ind w:left="259"/>
        <w:shd w:val="clear" w:color="auto" w:fill="F4F6F9"/>
      </w:pPr>
      <w:r>
        <w:rPr>
          <w:rFonts w:ascii="Consolas" w:hAnsi="Consolas" w:eastAsia="宋体"/>
          <w:b w:val="0"/>
          <w:i w:val="0"/>
          <w:sz w:val="21"/>
        </w:rPr>
        <w:t>对每个滚动窗口 τ，取窗口内到达任务 W_τ；</w:t>
      </w:r>
    </w:p>
    <w:p>
      <w:pPr>
        <w:spacing w:after="40"/>
        <w:ind w:left="259"/>
        <w:shd w:val="clear" w:color="auto" w:fill="F4F6F9"/>
      </w:pPr>
      <w:r>
        <w:rPr>
          <w:rFonts w:ascii="Consolas" w:hAnsi="Consolas" w:eastAsia="宋体"/>
          <w:b w:val="0"/>
          <w:i w:val="0"/>
          <w:sz w:val="21"/>
        </w:rPr>
        <w:t>对窗口内任务按到达时刻与最晚完成时刻排序，逐一生成候选方案集合 {(r,s)}；</w:t>
      </w:r>
    </w:p>
    <w:p>
      <w:pPr>
        <w:spacing w:after="40"/>
        <w:ind w:left="259"/>
        <w:shd w:val="clear" w:color="auto" w:fill="F4F6F9"/>
      </w:pPr>
      <w:r>
        <w:rPr>
          <w:rFonts w:ascii="Consolas" w:hAnsi="Consolas" w:eastAsia="宋体"/>
          <w:b w:val="0"/>
          <w:i w:val="0"/>
          <w:sz w:val="21"/>
        </w:rPr>
        <w:t>计算各候选方案的综合评分 Score(i,r,s)，选择评分最小且满足全部硬约束的方案；</w:t>
      </w:r>
    </w:p>
    <w:p>
      <w:pPr>
        <w:spacing w:after="40"/>
        <w:ind w:left="259"/>
        <w:shd w:val="clear" w:color="auto" w:fill="F4F6F9"/>
      </w:pPr>
      <w:r>
        <w:rPr>
          <w:rFonts w:ascii="Consolas" w:hAnsi="Consolas" w:eastAsia="宋体"/>
          <w:b w:val="0"/>
          <w:i w:val="0"/>
          <w:sz w:val="21"/>
        </w:rPr>
        <w:t>更新 GPU_Used、AI_IT_Load 与 Total_Load，固定结果后进入下一窗口；</w:t>
      </w:r>
    </w:p>
    <w:p>
      <w:pPr>
        <w:spacing w:after="40"/>
        <w:ind w:left="259"/>
        <w:shd w:val="clear" w:color="auto" w:fill="F4F6F9"/>
      </w:pPr>
      <w:r>
        <w:rPr>
          <w:rFonts w:ascii="Consolas" w:hAnsi="Consolas" w:eastAsia="宋体"/>
          <w:b w:val="0"/>
          <w:i w:val="0"/>
          <w:sz w:val="21"/>
        </w:rPr>
        <w:t>输出每个任务的调度方案（区域、开工/完工时段）及区域逐时指标。</w:t>
      </w:r>
    </w:p>
    <w:p>
      <w:pPr>
        <w:pStyle w:val="Heading2"/>
      </w:pPr>
      <w:r>
        <w:t>4.2 多策略 Pareto 筛选</w:t>
      </w:r>
    </w:p>
    <w:p>
      <w:pPr>
        <w:spacing w:after="40"/>
        <w:ind w:left="259"/>
        <w:shd w:val="clear" w:color="auto" w:fill="F4F6F9"/>
      </w:pPr>
      <w:r>
        <w:rPr>
          <w:rFonts w:ascii="Consolas" w:hAnsi="Consolas" w:eastAsia="宋体"/>
          <w:b w:val="0"/>
          <w:i w:val="0"/>
          <w:sz w:val="21"/>
        </w:rPr>
        <w:t>对每组权重向量运行 WCRS，得到 K 个策略方案；</w:t>
      </w:r>
    </w:p>
    <w:p>
      <w:pPr>
        <w:spacing w:after="40"/>
        <w:ind w:left="259"/>
        <w:shd w:val="clear" w:color="auto" w:fill="F4F6F9"/>
      </w:pPr>
      <w:r>
        <w:rPr>
          <w:rFonts w:ascii="Consolas" w:hAnsi="Consolas" w:eastAsia="宋体"/>
          <w:b w:val="0"/>
          <w:i w:val="0"/>
          <w:sz w:val="21"/>
        </w:rPr>
        <w:t>计算各策略指标向量 z_k = (Cost, Carbon, Latency, −RenewableUtilization, PeakNetImport, UnassignedCount)；</w:t>
      </w:r>
    </w:p>
    <w:p>
      <w:pPr>
        <w:spacing w:after="40"/>
        <w:ind w:left="259"/>
        <w:shd w:val="clear" w:color="auto" w:fill="F4F6F9"/>
      </w:pPr>
      <w:r>
        <w:rPr>
          <w:rFonts w:ascii="Consolas" w:hAnsi="Consolas" w:eastAsia="宋体"/>
          <w:b w:val="0"/>
          <w:i w:val="0"/>
          <w:sz w:val="21"/>
        </w:rPr>
        <w:t>对任意两个策略 A、B：若 A 在所有指标上不劣于 B 且至少一项严格优于 B，则删除 B；</w:t>
      </w:r>
    </w:p>
    <w:p>
      <w:pPr>
        <w:spacing w:after="40"/>
        <w:ind w:left="259"/>
        <w:shd w:val="clear" w:color="auto" w:fill="F4F6F9"/>
      </w:pPr>
      <w:r>
        <w:rPr>
          <w:rFonts w:ascii="Consolas" w:hAnsi="Consolas" w:eastAsia="宋体"/>
          <w:b w:val="0"/>
          <w:i w:val="0"/>
          <w:sz w:val="21"/>
        </w:rPr>
        <w:t>剩余非支配策略构成 Pareto 前沿，供决策者选择折中方案。</w:t>
      </w:r>
    </w:p>
    <w:p>
      <w:pPr>
        <w:spacing w:after="120" w:line="264" w:lineRule="auto"/>
      </w:pPr>
      <w:r>
        <w:rPr>
          <w:rFonts w:ascii="Calibri" w:hAnsi="Calibri" w:eastAsia="宋体"/>
          <w:b w:val="0"/>
          <w:i w:val="0"/>
          <w:sz w:val="22"/>
        </w:rPr>
        <w:t>本文设置 8 组代表性权重向量（综合权衡、成本优先、低碳优先、新能源优先、时延优先、低碳＋新能源、成本＋碳、负载均衡），覆盖不同调度偏好。</w:t>
      </w:r>
    </w:p>
    <w:p>
      <w:pPr>
        <w:pStyle w:val="Heading1"/>
      </w:pPr>
      <w:r>
        <w:t>五、模型求解与结果分析</w:t>
      </w:r>
    </w:p>
    <w:p>
      <w:pPr>
        <w:pStyle w:val="Heading2"/>
      </w:pPr>
      <w:r>
        <w:t>5.1 参数设置</w:t>
      </w:r>
    </w:p>
    <w:p>
      <w:pPr>
        <w:spacing w:after="120" w:line="264" w:lineRule="auto"/>
      </w:pPr>
      <w:r>
        <w:rPr>
          <w:rFonts w:ascii="Calibri" w:hAnsi="Calibri" w:eastAsia="宋体"/>
          <w:b w:val="0"/>
          <w:i w:val="0"/>
          <w:sz w:val="22"/>
        </w:rPr>
        <w:t>模型以 Python 实现，采用贪心式滚动调度：滚动窗口长度 6 小时、向前看范围 24 小时、每任务候选方案数上限 24；主时域 0–2399 小时，电力与碳排放结算至 2405 小时。全部 50 000 个任务作为输入，区域算力、网络时延、功率映射与逐时电力参数均取自附件数据。</w:t>
      </w:r>
    </w:p>
    <w:p>
      <w:pPr>
        <w:pStyle w:val="Heading2"/>
      </w:pPr>
      <w:r>
        <w:t>5.2 八种策略的调度结果</w:t>
      </w:r>
    </w:p>
    <w:p>
      <w:pPr>
        <w:spacing w:after="120" w:line="264" w:lineRule="auto"/>
      </w:pPr>
      <w:r>
        <w:rPr>
          <w:rFonts w:ascii="Calibri" w:hAnsi="Calibri" w:eastAsia="宋体"/>
          <w:b w:val="0"/>
          <w:i w:val="0"/>
          <w:sz w:val="22"/>
        </w:rPr>
        <w:t>八种策略均实现 50 000/50 000 个任务的完整调度，未调度任务数为 0，约束违规数为 0，任务按时完成率为 100%。各策略全时域（0–2399 小时）主要指标如表 1 所示。</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Pr>
      <w:tblGrid>
        <w:gridCol w:w="1500"/>
        <w:gridCol w:w="1150"/>
        <w:gridCol w:w="1100"/>
        <w:gridCol w:w="1100"/>
        <w:gridCol w:w="1100"/>
        <w:gridCol w:w="1250"/>
        <w:gridCol w:w="1080"/>
        <w:gridCol w:w="1080"/>
      </w:tblGrid>
      <w:tr>
        <w:trPr>
          <w:tblHeader/>
        </w:trPr>
        <w:tc>
          <w:tcPr>
            <w:tcW w:type="dxa" w:w="1500"/>
            <w:vAlign w:val="center"/>
            <w:shd w:val="clear" w:color="auto" w:fill="F2F4F7"/>
          </w:tcPr>
          <w:p>
            <w:pPr>
              <w:spacing w:before="40" w:after="40" w:line="240" w:lineRule="auto"/>
              <w:jc w:val="center"/>
            </w:pPr>
            <w:r>
              <w:rPr>
                <w:rFonts w:ascii="Calibri" w:hAnsi="Calibri" w:eastAsia="宋体"/>
                <w:b/>
                <w:i w:val="0"/>
                <w:sz w:val="19"/>
              </w:rPr>
              <w:t>策略</w:t>
            </w:r>
          </w:p>
        </w:tc>
        <w:tc>
          <w:tcPr>
            <w:tcW w:type="dxa" w:w="1150"/>
            <w:vAlign w:val="center"/>
            <w:shd w:val="clear" w:color="auto" w:fill="F2F4F7"/>
          </w:tcPr>
          <w:p>
            <w:pPr>
              <w:spacing w:before="40" w:after="40" w:line="240" w:lineRule="auto"/>
              <w:jc w:val="center"/>
            </w:pPr>
            <w:r>
              <w:rPr>
                <w:rFonts w:ascii="Calibri" w:hAnsi="Calibri" w:eastAsia="宋体"/>
                <w:b/>
                <w:i w:val="0"/>
                <w:sz w:val="19"/>
              </w:rPr>
              <w:t>净运行成本</w:t>
              <w:br/>
              <w:t>（万元）</w:t>
            </w:r>
          </w:p>
        </w:tc>
        <w:tc>
          <w:tcPr>
            <w:tcW w:type="dxa" w:w="1100"/>
            <w:vAlign w:val="center"/>
            <w:shd w:val="clear" w:color="auto" w:fill="F2F4F7"/>
          </w:tcPr>
          <w:p>
            <w:pPr>
              <w:spacing w:before="40" w:after="40" w:line="240" w:lineRule="auto"/>
              <w:jc w:val="center"/>
            </w:pPr>
            <w:r>
              <w:rPr>
                <w:rFonts w:ascii="Calibri" w:hAnsi="Calibri" w:eastAsia="宋体"/>
                <w:b/>
                <w:i w:val="0"/>
                <w:sz w:val="19"/>
              </w:rPr>
              <w:t>碳排放</w:t>
              <w:br/>
              <w:t>（tCO₂）</w:t>
            </w:r>
          </w:p>
        </w:tc>
        <w:tc>
          <w:tcPr>
            <w:tcW w:type="dxa" w:w="1100"/>
            <w:vAlign w:val="center"/>
            <w:shd w:val="clear" w:color="auto" w:fill="F2F4F7"/>
          </w:tcPr>
          <w:p>
            <w:pPr>
              <w:spacing w:before="40" w:after="40" w:line="240" w:lineRule="auto"/>
              <w:jc w:val="center"/>
            </w:pPr>
            <w:r>
              <w:rPr>
                <w:rFonts w:ascii="Calibri" w:hAnsi="Calibri" w:eastAsia="宋体"/>
                <w:b/>
                <w:i w:val="0"/>
                <w:sz w:val="19"/>
              </w:rPr>
              <w:t>新能源</w:t>
              <w:br/>
              <w:t>利用率</w:t>
            </w:r>
          </w:p>
        </w:tc>
        <w:tc>
          <w:tcPr>
            <w:tcW w:type="dxa" w:w="1100"/>
            <w:vAlign w:val="center"/>
            <w:shd w:val="clear" w:color="auto" w:fill="F2F4F7"/>
          </w:tcPr>
          <w:p>
            <w:pPr>
              <w:spacing w:before="40" w:after="40" w:line="240" w:lineRule="auto"/>
              <w:jc w:val="center"/>
            </w:pPr>
            <w:r>
              <w:rPr>
                <w:rFonts w:ascii="Calibri" w:hAnsi="Calibri" w:eastAsia="宋体"/>
                <w:b/>
                <w:i w:val="0"/>
                <w:sz w:val="19"/>
              </w:rPr>
              <w:t>平均时延</w:t>
              <w:br/>
              <w:t>（ms）</w:t>
            </w:r>
          </w:p>
        </w:tc>
        <w:tc>
          <w:tcPr>
            <w:tcW w:type="dxa" w:w="1250"/>
            <w:vAlign w:val="center"/>
            <w:shd w:val="clear" w:color="auto" w:fill="F2F4F7"/>
          </w:tcPr>
          <w:p>
            <w:pPr>
              <w:spacing w:before="40" w:after="40" w:line="240" w:lineRule="auto"/>
              <w:jc w:val="center"/>
            </w:pPr>
            <w:r>
              <w:rPr>
                <w:rFonts w:ascii="Calibri" w:hAnsi="Calibri" w:eastAsia="宋体"/>
                <w:b/>
                <w:i w:val="0"/>
                <w:sz w:val="19"/>
              </w:rPr>
              <w:t>峰值净购电</w:t>
              <w:br/>
              <w:t>（MW）</w:t>
            </w:r>
          </w:p>
        </w:tc>
        <w:tc>
          <w:tcPr>
            <w:tcW w:type="dxa" w:w="1080"/>
            <w:vAlign w:val="center"/>
            <w:shd w:val="clear" w:color="auto" w:fill="F2F4F7"/>
          </w:tcPr>
          <w:p>
            <w:pPr>
              <w:spacing w:before="40" w:after="40" w:line="240" w:lineRule="auto"/>
              <w:jc w:val="center"/>
            </w:pPr>
            <w:r>
              <w:rPr>
                <w:rFonts w:ascii="Calibri" w:hAnsi="Calibri" w:eastAsia="宋体"/>
                <w:b/>
                <w:i w:val="0"/>
                <w:sz w:val="19"/>
              </w:rPr>
              <w:t>任务迁移</w:t>
              <w:br/>
              <w:t>比例</w:t>
            </w:r>
          </w:p>
        </w:tc>
        <w:tc>
          <w:tcPr>
            <w:tcW w:type="dxa" w:w="1080"/>
            <w:vAlign w:val="center"/>
            <w:shd w:val="clear" w:color="auto" w:fill="F2F4F7"/>
          </w:tcPr>
          <w:p>
            <w:pPr>
              <w:spacing w:before="40" w:after="40" w:line="240" w:lineRule="auto"/>
              <w:jc w:val="center"/>
            </w:pPr>
            <w:r>
              <w:rPr>
                <w:rFonts w:ascii="Calibri" w:hAnsi="Calibri" w:eastAsia="宋体"/>
                <w:b/>
                <w:i w:val="0"/>
                <w:sz w:val="19"/>
              </w:rPr>
              <w:t>西部区域</w:t>
              <w:br/>
              <w:t>承接比例</w:t>
            </w:r>
          </w:p>
        </w:tc>
      </w:tr>
      <w:tr>
        <w:tc>
          <w:tcPr>
            <w:tcW w:type="dxa" w:w="1500"/>
            <w:vAlign w:val="center"/>
          </w:tcPr>
          <w:p>
            <w:pPr>
              <w:spacing w:before="40" w:after="40" w:line="240" w:lineRule="auto"/>
              <w:jc w:val="left"/>
            </w:pPr>
            <w:r>
              <w:rPr>
                <w:rFonts w:ascii="Calibri" w:hAnsi="Calibri" w:eastAsia="宋体"/>
                <w:b w:val="0"/>
                <w:i w:val="0"/>
                <w:sz w:val="19"/>
              </w:rPr>
              <w:t>综合权衡 balanced</w:t>
            </w:r>
          </w:p>
        </w:tc>
        <w:tc>
          <w:tcPr>
            <w:tcW w:type="dxa" w:w="1150"/>
            <w:vAlign w:val="center"/>
          </w:tcPr>
          <w:p>
            <w:pPr>
              <w:spacing w:before="40" w:after="40" w:line="240" w:lineRule="auto"/>
              <w:jc w:val="center"/>
            </w:pPr>
            <w:r>
              <w:rPr>
                <w:rFonts w:ascii="Calibri" w:hAnsi="Calibri" w:eastAsia="宋体"/>
                <w:b w:val="0"/>
                <w:i w:val="0"/>
                <w:sz w:val="19"/>
              </w:rPr>
              <w:t>-43 873</w:t>
            </w:r>
          </w:p>
        </w:tc>
        <w:tc>
          <w:tcPr>
            <w:tcW w:type="dxa" w:w="1100"/>
            <w:vAlign w:val="center"/>
          </w:tcPr>
          <w:p>
            <w:pPr>
              <w:spacing w:before="40" w:after="40" w:line="240" w:lineRule="auto"/>
              <w:jc w:val="center"/>
            </w:pPr>
            <w:r>
              <w:rPr>
                <w:rFonts w:ascii="Calibri" w:hAnsi="Calibri" w:eastAsia="宋体"/>
                <w:b w:val="0"/>
                <w:i w:val="0"/>
                <w:sz w:val="19"/>
              </w:rPr>
              <w:t>160.7</w:t>
            </w:r>
          </w:p>
        </w:tc>
        <w:tc>
          <w:tcPr>
            <w:tcW w:type="dxa" w:w="1100"/>
            <w:vAlign w:val="center"/>
          </w:tcPr>
          <w:p>
            <w:pPr>
              <w:spacing w:before="40" w:after="40" w:line="240" w:lineRule="auto"/>
              <w:jc w:val="center"/>
            </w:pPr>
            <w:r>
              <w:rPr>
                <w:rFonts w:ascii="Calibri" w:hAnsi="Calibri" w:eastAsia="宋体"/>
                <w:b w:val="0"/>
                <w:i w:val="0"/>
                <w:sz w:val="19"/>
              </w:rPr>
              <w:t>68.8%</w:t>
            </w:r>
          </w:p>
        </w:tc>
        <w:tc>
          <w:tcPr>
            <w:tcW w:type="dxa" w:w="1100"/>
            <w:vAlign w:val="center"/>
          </w:tcPr>
          <w:p>
            <w:pPr>
              <w:spacing w:before="40" w:after="40" w:line="240" w:lineRule="auto"/>
              <w:jc w:val="center"/>
            </w:pPr>
            <w:r>
              <w:rPr>
                <w:rFonts w:ascii="Calibri" w:hAnsi="Calibri" w:eastAsia="宋体"/>
                <w:b w:val="0"/>
                <w:i w:val="0"/>
                <w:sz w:val="19"/>
              </w:rPr>
              <w:t>14.35</w:t>
            </w:r>
          </w:p>
        </w:tc>
        <w:tc>
          <w:tcPr>
            <w:tcW w:type="dxa" w:w="1250"/>
            <w:vAlign w:val="center"/>
          </w:tcPr>
          <w:p>
            <w:pPr>
              <w:spacing w:before="40" w:after="40" w:line="240" w:lineRule="auto"/>
              <w:jc w:val="center"/>
            </w:pPr>
            <w:r>
              <w:rPr>
                <w:rFonts w:ascii="Calibri" w:hAnsi="Calibri" w:eastAsia="宋体"/>
                <w:b w:val="0"/>
                <w:i w:val="0"/>
                <w:sz w:val="19"/>
              </w:rPr>
              <w:t>171.2</w:t>
            </w:r>
          </w:p>
        </w:tc>
        <w:tc>
          <w:tcPr>
            <w:tcW w:type="dxa" w:w="1080"/>
            <w:vAlign w:val="center"/>
          </w:tcPr>
          <w:p>
            <w:pPr>
              <w:spacing w:before="40" w:after="40" w:line="240" w:lineRule="auto"/>
              <w:jc w:val="center"/>
            </w:pPr>
            <w:r>
              <w:rPr>
                <w:rFonts w:ascii="Calibri" w:hAnsi="Calibri" w:eastAsia="宋体"/>
                <w:b w:val="0"/>
                <w:i w:val="0"/>
                <w:sz w:val="19"/>
              </w:rPr>
              <w:t>23.8%</w:t>
            </w:r>
          </w:p>
        </w:tc>
        <w:tc>
          <w:tcPr>
            <w:tcW w:type="dxa" w:w="1080"/>
            <w:vAlign w:val="center"/>
          </w:tcPr>
          <w:p>
            <w:pPr>
              <w:spacing w:before="40" w:after="40" w:line="240" w:lineRule="auto"/>
              <w:jc w:val="center"/>
            </w:pPr>
            <w:r>
              <w:rPr>
                <w:rFonts w:ascii="Calibri" w:hAnsi="Calibri" w:eastAsia="宋体"/>
                <w:b w:val="0"/>
                <w:i w:val="0"/>
                <w:sz w:val="19"/>
              </w:rPr>
              <w:t>36.8%</w:t>
            </w:r>
          </w:p>
        </w:tc>
      </w:tr>
      <w:tr>
        <w:tc>
          <w:tcPr>
            <w:tcW w:type="dxa" w:w="1500"/>
            <w:vAlign w:val="center"/>
          </w:tcPr>
          <w:p>
            <w:pPr>
              <w:spacing w:before="40" w:after="40" w:line="240" w:lineRule="auto"/>
              <w:jc w:val="left"/>
            </w:pPr>
            <w:r>
              <w:rPr>
                <w:rFonts w:ascii="Calibri" w:hAnsi="Calibri" w:eastAsia="宋体"/>
                <w:b w:val="0"/>
                <w:i w:val="0"/>
                <w:sz w:val="19"/>
              </w:rPr>
              <w:t>成本优先 cost_first</w:t>
            </w:r>
          </w:p>
        </w:tc>
        <w:tc>
          <w:tcPr>
            <w:tcW w:type="dxa" w:w="1150"/>
            <w:vAlign w:val="center"/>
          </w:tcPr>
          <w:p>
            <w:pPr>
              <w:spacing w:before="40" w:after="40" w:line="240" w:lineRule="auto"/>
              <w:jc w:val="center"/>
            </w:pPr>
            <w:r>
              <w:rPr>
                <w:rFonts w:ascii="Calibri" w:hAnsi="Calibri" w:eastAsia="宋体"/>
                <w:b w:val="0"/>
                <w:i w:val="0"/>
                <w:sz w:val="19"/>
              </w:rPr>
              <w:t>-43 842</w:t>
            </w:r>
          </w:p>
        </w:tc>
        <w:tc>
          <w:tcPr>
            <w:tcW w:type="dxa" w:w="1100"/>
            <w:vAlign w:val="center"/>
          </w:tcPr>
          <w:p>
            <w:pPr>
              <w:spacing w:before="40" w:after="40" w:line="240" w:lineRule="auto"/>
              <w:jc w:val="center"/>
            </w:pPr>
            <w:r>
              <w:rPr>
                <w:rFonts w:ascii="Calibri" w:hAnsi="Calibri" w:eastAsia="宋体"/>
                <w:b w:val="0"/>
                <w:i w:val="0"/>
                <w:sz w:val="19"/>
              </w:rPr>
              <w:t>158.8</w:t>
            </w:r>
          </w:p>
        </w:tc>
        <w:tc>
          <w:tcPr>
            <w:tcW w:type="dxa" w:w="1100"/>
            <w:vAlign w:val="center"/>
          </w:tcPr>
          <w:p>
            <w:pPr>
              <w:spacing w:before="40" w:after="40" w:line="240" w:lineRule="auto"/>
              <w:jc w:val="center"/>
            </w:pPr>
            <w:r>
              <w:rPr>
                <w:rFonts w:ascii="Calibri" w:hAnsi="Calibri" w:eastAsia="宋体"/>
                <w:b w:val="0"/>
                <w:i w:val="0"/>
                <w:sz w:val="19"/>
              </w:rPr>
              <w:t>68.8%</w:t>
            </w:r>
          </w:p>
        </w:tc>
        <w:tc>
          <w:tcPr>
            <w:tcW w:type="dxa" w:w="1100"/>
            <w:vAlign w:val="center"/>
          </w:tcPr>
          <w:p>
            <w:pPr>
              <w:spacing w:before="40" w:after="40" w:line="240" w:lineRule="auto"/>
              <w:jc w:val="center"/>
            </w:pPr>
            <w:r>
              <w:rPr>
                <w:rFonts w:ascii="Calibri" w:hAnsi="Calibri" w:eastAsia="宋体"/>
                <w:b w:val="0"/>
                <w:i w:val="0"/>
                <w:sz w:val="19"/>
              </w:rPr>
              <w:t>12.04</w:t>
            </w:r>
          </w:p>
        </w:tc>
        <w:tc>
          <w:tcPr>
            <w:tcW w:type="dxa" w:w="1250"/>
            <w:vAlign w:val="center"/>
          </w:tcPr>
          <w:p>
            <w:pPr>
              <w:spacing w:before="40" w:after="40" w:line="240" w:lineRule="auto"/>
              <w:jc w:val="center"/>
            </w:pPr>
            <w:r>
              <w:rPr>
                <w:rFonts w:ascii="Calibri" w:hAnsi="Calibri" w:eastAsia="宋体"/>
                <w:b w:val="0"/>
                <w:i w:val="0"/>
                <w:sz w:val="19"/>
              </w:rPr>
              <w:t>197.5</w:t>
            </w:r>
          </w:p>
        </w:tc>
        <w:tc>
          <w:tcPr>
            <w:tcW w:type="dxa" w:w="1080"/>
            <w:vAlign w:val="center"/>
          </w:tcPr>
          <w:p>
            <w:pPr>
              <w:spacing w:before="40" w:after="40" w:line="240" w:lineRule="auto"/>
              <w:jc w:val="center"/>
            </w:pPr>
            <w:r>
              <w:rPr>
                <w:rFonts w:ascii="Calibri" w:hAnsi="Calibri" w:eastAsia="宋体"/>
                <w:b w:val="0"/>
                <w:i w:val="0"/>
                <w:sz w:val="19"/>
              </w:rPr>
              <w:t>22.2%</w:t>
            </w:r>
          </w:p>
        </w:tc>
        <w:tc>
          <w:tcPr>
            <w:tcW w:type="dxa" w:w="1080"/>
            <w:vAlign w:val="center"/>
          </w:tcPr>
          <w:p>
            <w:pPr>
              <w:spacing w:before="40" w:after="40" w:line="240" w:lineRule="auto"/>
              <w:jc w:val="center"/>
            </w:pPr>
            <w:r>
              <w:rPr>
                <w:rFonts w:ascii="Calibri" w:hAnsi="Calibri" w:eastAsia="宋体"/>
                <w:b w:val="0"/>
                <w:i w:val="0"/>
                <w:sz w:val="19"/>
              </w:rPr>
              <w:t>39.6%</w:t>
            </w:r>
          </w:p>
        </w:tc>
      </w:tr>
      <w:tr>
        <w:tc>
          <w:tcPr>
            <w:tcW w:type="dxa" w:w="1500"/>
            <w:vAlign w:val="center"/>
          </w:tcPr>
          <w:p>
            <w:pPr>
              <w:spacing w:before="40" w:after="40" w:line="240" w:lineRule="auto"/>
              <w:jc w:val="left"/>
            </w:pPr>
            <w:r>
              <w:rPr>
                <w:rFonts w:ascii="Calibri" w:hAnsi="Calibri" w:eastAsia="宋体"/>
                <w:b w:val="0"/>
                <w:i w:val="0"/>
                <w:sz w:val="19"/>
              </w:rPr>
              <w:t>低碳优先 carbon_first</w:t>
            </w:r>
          </w:p>
        </w:tc>
        <w:tc>
          <w:tcPr>
            <w:tcW w:type="dxa" w:w="1150"/>
            <w:vAlign w:val="center"/>
          </w:tcPr>
          <w:p>
            <w:pPr>
              <w:spacing w:before="40" w:after="40" w:line="240" w:lineRule="auto"/>
              <w:jc w:val="center"/>
            </w:pPr>
            <w:r>
              <w:rPr>
                <w:rFonts w:ascii="Calibri" w:hAnsi="Calibri" w:eastAsia="宋体"/>
                <w:b w:val="0"/>
                <w:i w:val="0"/>
                <w:sz w:val="19"/>
              </w:rPr>
              <w:t>-43 889</w:t>
            </w:r>
          </w:p>
        </w:tc>
        <w:tc>
          <w:tcPr>
            <w:tcW w:type="dxa" w:w="1100"/>
            <w:vAlign w:val="center"/>
          </w:tcPr>
          <w:p>
            <w:pPr>
              <w:spacing w:before="40" w:after="40" w:line="240" w:lineRule="auto"/>
              <w:jc w:val="center"/>
            </w:pPr>
            <w:r>
              <w:rPr>
                <w:rFonts w:ascii="Calibri" w:hAnsi="Calibri" w:eastAsia="宋体"/>
                <w:b w:val="0"/>
                <w:i w:val="0"/>
                <w:sz w:val="19"/>
              </w:rPr>
              <w:t>160.7</w:t>
            </w:r>
          </w:p>
        </w:tc>
        <w:tc>
          <w:tcPr>
            <w:tcW w:type="dxa" w:w="1100"/>
            <w:vAlign w:val="center"/>
          </w:tcPr>
          <w:p>
            <w:pPr>
              <w:spacing w:before="40" w:after="40" w:line="240" w:lineRule="auto"/>
              <w:jc w:val="center"/>
            </w:pPr>
            <w:r>
              <w:rPr>
                <w:rFonts w:ascii="Calibri" w:hAnsi="Calibri" w:eastAsia="宋体"/>
                <w:b w:val="0"/>
                <w:i w:val="0"/>
                <w:sz w:val="19"/>
              </w:rPr>
              <w:t>68.9%</w:t>
            </w:r>
          </w:p>
        </w:tc>
        <w:tc>
          <w:tcPr>
            <w:tcW w:type="dxa" w:w="1100"/>
            <w:vAlign w:val="center"/>
          </w:tcPr>
          <w:p>
            <w:pPr>
              <w:spacing w:before="40" w:after="40" w:line="240" w:lineRule="auto"/>
              <w:jc w:val="center"/>
            </w:pPr>
            <w:r>
              <w:rPr>
                <w:rFonts w:ascii="Calibri" w:hAnsi="Calibri" w:eastAsia="宋体"/>
                <w:b w:val="0"/>
                <w:i w:val="0"/>
                <w:sz w:val="19"/>
              </w:rPr>
              <w:t>16.38</w:t>
            </w:r>
          </w:p>
        </w:tc>
        <w:tc>
          <w:tcPr>
            <w:tcW w:type="dxa" w:w="1250"/>
            <w:vAlign w:val="center"/>
          </w:tcPr>
          <w:p>
            <w:pPr>
              <w:spacing w:before="40" w:after="40" w:line="240" w:lineRule="auto"/>
              <w:jc w:val="center"/>
            </w:pPr>
            <w:r>
              <w:rPr>
                <w:rFonts w:ascii="Calibri" w:hAnsi="Calibri" w:eastAsia="宋体"/>
                <w:b w:val="0"/>
                <w:i w:val="0"/>
                <w:sz w:val="19"/>
              </w:rPr>
              <w:t>160.6</w:t>
            </w:r>
          </w:p>
        </w:tc>
        <w:tc>
          <w:tcPr>
            <w:tcW w:type="dxa" w:w="1080"/>
            <w:vAlign w:val="center"/>
          </w:tcPr>
          <w:p>
            <w:pPr>
              <w:spacing w:before="40" w:after="40" w:line="240" w:lineRule="auto"/>
              <w:jc w:val="center"/>
            </w:pPr>
            <w:r>
              <w:rPr>
                <w:rFonts w:ascii="Calibri" w:hAnsi="Calibri" w:eastAsia="宋体"/>
                <w:b w:val="0"/>
                <w:i w:val="0"/>
                <w:sz w:val="19"/>
              </w:rPr>
              <w:t>31.9%</w:t>
            </w:r>
          </w:p>
        </w:tc>
        <w:tc>
          <w:tcPr>
            <w:tcW w:type="dxa" w:w="1080"/>
            <w:vAlign w:val="center"/>
          </w:tcPr>
          <w:p>
            <w:pPr>
              <w:spacing w:before="40" w:after="40" w:line="240" w:lineRule="auto"/>
              <w:jc w:val="center"/>
            </w:pPr>
            <w:r>
              <w:rPr>
                <w:rFonts w:ascii="Calibri" w:hAnsi="Calibri" w:eastAsia="宋体"/>
                <w:b w:val="0"/>
                <w:i w:val="0"/>
                <w:sz w:val="19"/>
              </w:rPr>
              <w:t>36.4%</w:t>
            </w:r>
          </w:p>
        </w:tc>
      </w:tr>
      <w:tr>
        <w:tc>
          <w:tcPr>
            <w:tcW w:type="dxa" w:w="1500"/>
            <w:vAlign w:val="center"/>
          </w:tcPr>
          <w:p>
            <w:pPr>
              <w:spacing w:before="40" w:after="40" w:line="240" w:lineRule="auto"/>
              <w:jc w:val="left"/>
            </w:pPr>
            <w:r>
              <w:rPr>
                <w:rFonts w:ascii="Calibri" w:hAnsi="Calibri" w:eastAsia="宋体"/>
                <w:b w:val="0"/>
                <w:i w:val="0"/>
                <w:sz w:val="19"/>
              </w:rPr>
              <w:t>新能源优先 renewable_first</w:t>
            </w:r>
          </w:p>
        </w:tc>
        <w:tc>
          <w:tcPr>
            <w:tcW w:type="dxa" w:w="1150"/>
            <w:vAlign w:val="center"/>
          </w:tcPr>
          <w:p>
            <w:pPr>
              <w:spacing w:before="40" w:after="40" w:line="240" w:lineRule="auto"/>
              <w:jc w:val="center"/>
            </w:pPr>
            <w:r>
              <w:rPr>
                <w:rFonts w:ascii="Calibri" w:hAnsi="Calibri" w:eastAsia="宋体"/>
                <w:b w:val="0"/>
                <w:i w:val="0"/>
                <w:sz w:val="19"/>
              </w:rPr>
              <w:t>-43 655</w:t>
            </w:r>
          </w:p>
        </w:tc>
        <w:tc>
          <w:tcPr>
            <w:tcW w:type="dxa" w:w="1100"/>
            <w:vAlign w:val="center"/>
          </w:tcPr>
          <w:p>
            <w:pPr>
              <w:spacing w:before="40" w:after="40" w:line="240" w:lineRule="auto"/>
              <w:jc w:val="center"/>
            </w:pPr>
            <w:r>
              <w:rPr>
                <w:rFonts w:ascii="Calibri" w:hAnsi="Calibri" w:eastAsia="宋体"/>
                <w:b w:val="0"/>
                <w:i w:val="0"/>
                <w:sz w:val="19"/>
              </w:rPr>
              <w:t>163.3</w:t>
            </w:r>
          </w:p>
        </w:tc>
        <w:tc>
          <w:tcPr>
            <w:tcW w:type="dxa" w:w="1100"/>
            <w:vAlign w:val="center"/>
          </w:tcPr>
          <w:p>
            <w:pPr>
              <w:spacing w:before="40" w:after="40" w:line="240" w:lineRule="auto"/>
              <w:jc w:val="center"/>
            </w:pPr>
            <w:r>
              <w:rPr>
                <w:rFonts w:ascii="Calibri" w:hAnsi="Calibri" w:eastAsia="宋体"/>
                <w:b w:val="0"/>
                <w:i w:val="0"/>
                <w:sz w:val="19"/>
              </w:rPr>
              <w:t>68.8%</w:t>
            </w:r>
          </w:p>
        </w:tc>
        <w:tc>
          <w:tcPr>
            <w:tcW w:type="dxa" w:w="1100"/>
            <w:vAlign w:val="center"/>
          </w:tcPr>
          <w:p>
            <w:pPr>
              <w:spacing w:before="40" w:after="40" w:line="240" w:lineRule="auto"/>
              <w:jc w:val="center"/>
            </w:pPr>
            <w:r>
              <w:rPr>
                <w:rFonts w:ascii="Calibri" w:hAnsi="Calibri" w:eastAsia="宋体"/>
                <w:b w:val="0"/>
                <w:i w:val="0"/>
                <w:sz w:val="19"/>
              </w:rPr>
              <w:t>25.33</w:t>
            </w:r>
          </w:p>
        </w:tc>
        <w:tc>
          <w:tcPr>
            <w:tcW w:type="dxa" w:w="1250"/>
            <w:vAlign w:val="center"/>
          </w:tcPr>
          <w:p>
            <w:pPr>
              <w:spacing w:before="40" w:after="40" w:line="240" w:lineRule="auto"/>
              <w:jc w:val="center"/>
            </w:pPr>
            <w:r>
              <w:rPr>
                <w:rFonts w:ascii="Calibri" w:hAnsi="Calibri" w:eastAsia="宋体"/>
                <w:b w:val="0"/>
                <w:i w:val="0"/>
                <w:sz w:val="19"/>
              </w:rPr>
              <w:t>153.4</w:t>
            </w:r>
          </w:p>
        </w:tc>
        <w:tc>
          <w:tcPr>
            <w:tcW w:type="dxa" w:w="1080"/>
            <w:vAlign w:val="center"/>
          </w:tcPr>
          <w:p>
            <w:pPr>
              <w:spacing w:before="40" w:after="40" w:line="240" w:lineRule="auto"/>
              <w:jc w:val="center"/>
            </w:pPr>
            <w:r>
              <w:rPr>
                <w:rFonts w:ascii="Calibri" w:hAnsi="Calibri" w:eastAsia="宋体"/>
                <w:b w:val="0"/>
                <w:i w:val="0"/>
                <w:sz w:val="19"/>
              </w:rPr>
              <w:t>54.3%</w:t>
            </w:r>
          </w:p>
        </w:tc>
        <w:tc>
          <w:tcPr>
            <w:tcW w:type="dxa" w:w="1080"/>
            <w:vAlign w:val="center"/>
          </w:tcPr>
          <w:p>
            <w:pPr>
              <w:spacing w:before="40" w:after="40" w:line="240" w:lineRule="auto"/>
              <w:jc w:val="center"/>
            </w:pPr>
            <w:r>
              <w:rPr>
                <w:rFonts w:ascii="Calibri" w:hAnsi="Calibri" w:eastAsia="宋体"/>
                <w:b w:val="0"/>
                <w:i w:val="0"/>
                <w:sz w:val="19"/>
              </w:rPr>
              <w:t>27.0%</w:t>
            </w:r>
          </w:p>
        </w:tc>
      </w:tr>
      <w:tr>
        <w:tc>
          <w:tcPr>
            <w:tcW w:type="dxa" w:w="1500"/>
            <w:vAlign w:val="center"/>
          </w:tcPr>
          <w:p>
            <w:pPr>
              <w:spacing w:before="40" w:after="40" w:line="240" w:lineRule="auto"/>
              <w:jc w:val="left"/>
            </w:pPr>
            <w:r>
              <w:rPr>
                <w:rFonts w:ascii="Calibri" w:hAnsi="Calibri" w:eastAsia="宋体"/>
                <w:b w:val="0"/>
                <w:i w:val="0"/>
                <w:sz w:val="19"/>
              </w:rPr>
              <w:t>时延优先 latency_first</w:t>
            </w:r>
          </w:p>
        </w:tc>
        <w:tc>
          <w:tcPr>
            <w:tcW w:type="dxa" w:w="1150"/>
            <w:vAlign w:val="center"/>
          </w:tcPr>
          <w:p>
            <w:pPr>
              <w:spacing w:before="40" w:after="40" w:line="240" w:lineRule="auto"/>
              <w:jc w:val="center"/>
            </w:pPr>
            <w:r>
              <w:rPr>
                <w:rFonts w:ascii="Calibri" w:hAnsi="Calibri" w:eastAsia="宋体"/>
                <w:b w:val="0"/>
                <w:i w:val="0"/>
                <w:sz w:val="19"/>
              </w:rPr>
              <w:t>-41 687</w:t>
            </w:r>
          </w:p>
        </w:tc>
        <w:tc>
          <w:tcPr>
            <w:tcW w:type="dxa" w:w="1100"/>
            <w:vAlign w:val="center"/>
          </w:tcPr>
          <w:p>
            <w:pPr>
              <w:spacing w:before="40" w:after="40" w:line="240" w:lineRule="auto"/>
              <w:jc w:val="center"/>
            </w:pPr>
            <w:r>
              <w:rPr>
                <w:rFonts w:ascii="Calibri" w:hAnsi="Calibri" w:eastAsia="宋体"/>
                <w:b w:val="0"/>
                <w:i w:val="0"/>
                <w:sz w:val="19"/>
              </w:rPr>
              <w:t>149.7</w:t>
            </w:r>
          </w:p>
        </w:tc>
        <w:tc>
          <w:tcPr>
            <w:tcW w:type="dxa" w:w="1100"/>
            <w:vAlign w:val="center"/>
          </w:tcPr>
          <w:p>
            <w:pPr>
              <w:spacing w:before="40" w:after="40" w:line="240" w:lineRule="auto"/>
              <w:jc w:val="center"/>
            </w:pPr>
            <w:r>
              <w:rPr>
                <w:rFonts w:ascii="Calibri" w:hAnsi="Calibri" w:eastAsia="宋体"/>
                <w:b w:val="0"/>
                <w:i w:val="0"/>
                <w:sz w:val="19"/>
              </w:rPr>
              <w:t>67.9%</w:t>
            </w:r>
          </w:p>
        </w:tc>
        <w:tc>
          <w:tcPr>
            <w:tcW w:type="dxa" w:w="1100"/>
            <w:vAlign w:val="center"/>
          </w:tcPr>
          <w:p>
            <w:pPr>
              <w:spacing w:before="40" w:after="40" w:line="240" w:lineRule="auto"/>
              <w:jc w:val="center"/>
            </w:pPr>
            <w:r>
              <w:rPr>
                <w:rFonts w:ascii="Calibri" w:hAnsi="Calibri" w:eastAsia="宋体"/>
                <w:b w:val="0"/>
                <w:i w:val="0"/>
                <w:sz w:val="19"/>
              </w:rPr>
              <w:t>5.06</w:t>
            </w:r>
          </w:p>
        </w:tc>
        <w:tc>
          <w:tcPr>
            <w:tcW w:type="dxa" w:w="1250"/>
            <w:vAlign w:val="center"/>
          </w:tcPr>
          <w:p>
            <w:pPr>
              <w:spacing w:before="40" w:after="40" w:line="240" w:lineRule="auto"/>
              <w:jc w:val="center"/>
            </w:pPr>
            <w:r>
              <w:rPr>
                <w:rFonts w:ascii="Calibri" w:hAnsi="Calibri" w:eastAsia="宋体"/>
                <w:b w:val="0"/>
                <w:i w:val="0"/>
                <w:sz w:val="19"/>
              </w:rPr>
              <w:t>188.9</w:t>
            </w:r>
          </w:p>
        </w:tc>
        <w:tc>
          <w:tcPr>
            <w:tcW w:type="dxa" w:w="1080"/>
            <w:vAlign w:val="center"/>
          </w:tcPr>
          <w:p>
            <w:pPr>
              <w:spacing w:before="40" w:after="40" w:line="240" w:lineRule="auto"/>
              <w:jc w:val="center"/>
            </w:pPr>
            <w:r>
              <w:rPr>
                <w:rFonts w:ascii="Calibri" w:hAnsi="Calibri" w:eastAsia="宋体"/>
                <w:b w:val="0"/>
                <w:i w:val="0"/>
                <w:sz w:val="19"/>
              </w:rPr>
              <w:t>0.2%</w:t>
            </w:r>
          </w:p>
        </w:tc>
        <w:tc>
          <w:tcPr>
            <w:tcW w:type="dxa" w:w="1080"/>
            <w:vAlign w:val="center"/>
          </w:tcPr>
          <w:p>
            <w:pPr>
              <w:spacing w:before="40" w:after="40" w:line="240" w:lineRule="auto"/>
              <w:jc w:val="center"/>
            </w:pPr>
            <w:r>
              <w:rPr>
                <w:rFonts w:ascii="Calibri" w:hAnsi="Calibri" w:eastAsia="宋体"/>
                <w:b w:val="0"/>
                <w:i w:val="0"/>
                <w:sz w:val="19"/>
              </w:rPr>
              <w:t>46.3%</w:t>
            </w:r>
          </w:p>
        </w:tc>
      </w:tr>
      <w:tr>
        <w:tc>
          <w:tcPr>
            <w:tcW w:type="dxa" w:w="1500"/>
            <w:vAlign w:val="center"/>
          </w:tcPr>
          <w:p>
            <w:pPr>
              <w:spacing w:before="40" w:after="40" w:line="240" w:lineRule="auto"/>
              <w:jc w:val="left"/>
            </w:pPr>
            <w:r>
              <w:rPr>
                <w:rFonts w:ascii="Calibri" w:hAnsi="Calibri" w:eastAsia="宋体"/>
                <w:b w:val="0"/>
                <w:i w:val="0"/>
                <w:sz w:val="19"/>
              </w:rPr>
              <w:t>低碳＋新能源 carbon_renewable</w:t>
            </w:r>
          </w:p>
        </w:tc>
        <w:tc>
          <w:tcPr>
            <w:tcW w:type="dxa" w:w="1150"/>
            <w:vAlign w:val="center"/>
          </w:tcPr>
          <w:p>
            <w:pPr>
              <w:spacing w:before="40" w:after="40" w:line="240" w:lineRule="auto"/>
              <w:jc w:val="center"/>
            </w:pPr>
            <w:r>
              <w:rPr>
                <w:rFonts w:ascii="Calibri" w:hAnsi="Calibri" w:eastAsia="宋体"/>
                <w:b w:val="0"/>
                <w:i w:val="0"/>
                <w:sz w:val="19"/>
              </w:rPr>
              <w:t>-43 702</w:t>
            </w:r>
          </w:p>
        </w:tc>
        <w:tc>
          <w:tcPr>
            <w:tcW w:type="dxa" w:w="1100"/>
            <w:vAlign w:val="center"/>
          </w:tcPr>
          <w:p>
            <w:pPr>
              <w:spacing w:before="40" w:after="40" w:line="240" w:lineRule="auto"/>
              <w:jc w:val="center"/>
            </w:pPr>
            <w:r>
              <w:rPr>
                <w:rFonts w:ascii="Calibri" w:hAnsi="Calibri" w:eastAsia="宋体"/>
                <w:b w:val="0"/>
                <w:i w:val="0"/>
                <w:sz w:val="19"/>
              </w:rPr>
              <w:t>129.6</w:t>
            </w:r>
          </w:p>
        </w:tc>
        <w:tc>
          <w:tcPr>
            <w:tcW w:type="dxa" w:w="1100"/>
            <w:vAlign w:val="center"/>
          </w:tcPr>
          <w:p>
            <w:pPr>
              <w:spacing w:before="40" w:after="40" w:line="240" w:lineRule="auto"/>
              <w:jc w:val="center"/>
            </w:pPr>
            <w:r>
              <w:rPr>
                <w:rFonts w:ascii="Calibri" w:hAnsi="Calibri" w:eastAsia="宋体"/>
                <w:b w:val="0"/>
                <w:i w:val="0"/>
                <w:sz w:val="19"/>
              </w:rPr>
              <w:t>68.8%</w:t>
            </w:r>
          </w:p>
        </w:tc>
        <w:tc>
          <w:tcPr>
            <w:tcW w:type="dxa" w:w="1100"/>
            <w:vAlign w:val="center"/>
          </w:tcPr>
          <w:p>
            <w:pPr>
              <w:spacing w:before="40" w:after="40" w:line="240" w:lineRule="auto"/>
              <w:jc w:val="center"/>
            </w:pPr>
            <w:r>
              <w:rPr>
                <w:rFonts w:ascii="Calibri" w:hAnsi="Calibri" w:eastAsia="宋体"/>
                <w:b w:val="0"/>
                <w:i w:val="0"/>
                <w:sz w:val="19"/>
              </w:rPr>
              <w:t>22.58</w:t>
            </w:r>
          </w:p>
        </w:tc>
        <w:tc>
          <w:tcPr>
            <w:tcW w:type="dxa" w:w="1250"/>
            <w:vAlign w:val="center"/>
          </w:tcPr>
          <w:p>
            <w:pPr>
              <w:spacing w:before="40" w:after="40" w:line="240" w:lineRule="auto"/>
              <w:jc w:val="center"/>
            </w:pPr>
            <w:r>
              <w:rPr>
                <w:rFonts w:ascii="Calibri" w:hAnsi="Calibri" w:eastAsia="宋体"/>
                <w:b w:val="0"/>
                <w:i w:val="0"/>
                <w:sz w:val="19"/>
              </w:rPr>
              <w:t>107.6</w:t>
            </w:r>
          </w:p>
        </w:tc>
        <w:tc>
          <w:tcPr>
            <w:tcW w:type="dxa" w:w="1080"/>
            <w:vAlign w:val="center"/>
          </w:tcPr>
          <w:p>
            <w:pPr>
              <w:spacing w:before="40" w:after="40" w:line="240" w:lineRule="auto"/>
              <w:jc w:val="center"/>
            </w:pPr>
            <w:r>
              <w:rPr>
                <w:rFonts w:ascii="Calibri" w:hAnsi="Calibri" w:eastAsia="宋体"/>
                <w:b w:val="0"/>
                <w:i w:val="0"/>
                <w:sz w:val="19"/>
              </w:rPr>
              <w:t>45.3%</w:t>
            </w:r>
          </w:p>
        </w:tc>
        <w:tc>
          <w:tcPr>
            <w:tcW w:type="dxa" w:w="1080"/>
            <w:vAlign w:val="center"/>
          </w:tcPr>
          <w:p>
            <w:pPr>
              <w:spacing w:before="40" w:after="40" w:line="240" w:lineRule="auto"/>
              <w:jc w:val="center"/>
            </w:pPr>
            <w:r>
              <w:rPr>
                <w:rFonts w:ascii="Calibri" w:hAnsi="Calibri" w:eastAsia="宋体"/>
                <w:b w:val="0"/>
                <w:i w:val="0"/>
                <w:sz w:val="19"/>
              </w:rPr>
              <w:t>29.4%</w:t>
            </w:r>
          </w:p>
        </w:tc>
      </w:tr>
      <w:tr>
        <w:tc>
          <w:tcPr>
            <w:tcW w:type="dxa" w:w="1500"/>
            <w:vAlign w:val="center"/>
          </w:tcPr>
          <w:p>
            <w:pPr>
              <w:spacing w:before="40" w:after="40" w:line="240" w:lineRule="auto"/>
              <w:jc w:val="left"/>
            </w:pPr>
            <w:r>
              <w:rPr>
                <w:rFonts w:ascii="Calibri" w:hAnsi="Calibri" w:eastAsia="宋体"/>
                <w:b w:val="0"/>
                <w:i w:val="0"/>
                <w:sz w:val="19"/>
              </w:rPr>
              <w:t>成本＋碳 cost_carbon</w:t>
            </w:r>
          </w:p>
        </w:tc>
        <w:tc>
          <w:tcPr>
            <w:tcW w:type="dxa" w:w="1150"/>
            <w:vAlign w:val="center"/>
          </w:tcPr>
          <w:p>
            <w:pPr>
              <w:spacing w:before="40" w:after="40" w:line="240" w:lineRule="auto"/>
              <w:jc w:val="center"/>
            </w:pPr>
            <w:r>
              <w:rPr>
                <w:rFonts w:ascii="Calibri" w:hAnsi="Calibri" w:eastAsia="宋体"/>
                <w:b w:val="0"/>
                <w:i w:val="0"/>
                <w:sz w:val="19"/>
              </w:rPr>
              <w:t>-43 902</w:t>
            </w:r>
          </w:p>
        </w:tc>
        <w:tc>
          <w:tcPr>
            <w:tcW w:type="dxa" w:w="1100"/>
            <w:vAlign w:val="center"/>
          </w:tcPr>
          <w:p>
            <w:pPr>
              <w:spacing w:before="40" w:after="40" w:line="240" w:lineRule="auto"/>
              <w:jc w:val="center"/>
            </w:pPr>
            <w:r>
              <w:rPr>
                <w:rFonts w:ascii="Calibri" w:hAnsi="Calibri" w:eastAsia="宋体"/>
                <w:b w:val="0"/>
                <w:i w:val="0"/>
                <w:sz w:val="19"/>
              </w:rPr>
              <w:t>148.8</w:t>
            </w:r>
          </w:p>
        </w:tc>
        <w:tc>
          <w:tcPr>
            <w:tcW w:type="dxa" w:w="1100"/>
            <w:vAlign w:val="center"/>
          </w:tcPr>
          <w:p>
            <w:pPr>
              <w:spacing w:before="40" w:after="40" w:line="240" w:lineRule="auto"/>
              <w:jc w:val="center"/>
            </w:pPr>
            <w:r>
              <w:rPr>
                <w:rFonts w:ascii="Calibri" w:hAnsi="Calibri" w:eastAsia="宋体"/>
                <w:b w:val="0"/>
                <w:i w:val="0"/>
                <w:sz w:val="19"/>
              </w:rPr>
              <w:t>68.8%</w:t>
            </w:r>
          </w:p>
        </w:tc>
        <w:tc>
          <w:tcPr>
            <w:tcW w:type="dxa" w:w="1100"/>
            <w:vAlign w:val="center"/>
          </w:tcPr>
          <w:p>
            <w:pPr>
              <w:spacing w:before="40" w:after="40" w:line="240" w:lineRule="auto"/>
              <w:jc w:val="center"/>
            </w:pPr>
            <w:r>
              <w:rPr>
                <w:rFonts w:ascii="Calibri" w:hAnsi="Calibri" w:eastAsia="宋体"/>
                <w:b w:val="0"/>
                <w:i w:val="0"/>
                <w:sz w:val="19"/>
              </w:rPr>
              <w:t>15.81</w:t>
            </w:r>
          </w:p>
        </w:tc>
        <w:tc>
          <w:tcPr>
            <w:tcW w:type="dxa" w:w="1250"/>
            <w:vAlign w:val="center"/>
          </w:tcPr>
          <w:p>
            <w:pPr>
              <w:spacing w:before="40" w:after="40" w:line="240" w:lineRule="auto"/>
              <w:jc w:val="center"/>
            </w:pPr>
            <w:r>
              <w:rPr>
                <w:rFonts w:ascii="Calibri" w:hAnsi="Calibri" w:eastAsia="宋体"/>
                <w:b w:val="0"/>
                <w:i w:val="0"/>
                <w:sz w:val="19"/>
              </w:rPr>
              <w:t>150.3</w:t>
            </w:r>
          </w:p>
        </w:tc>
        <w:tc>
          <w:tcPr>
            <w:tcW w:type="dxa" w:w="1080"/>
            <w:vAlign w:val="center"/>
          </w:tcPr>
          <w:p>
            <w:pPr>
              <w:spacing w:before="40" w:after="40" w:line="240" w:lineRule="auto"/>
              <w:jc w:val="center"/>
            </w:pPr>
            <w:r>
              <w:rPr>
                <w:rFonts w:ascii="Calibri" w:hAnsi="Calibri" w:eastAsia="宋体"/>
                <w:b w:val="0"/>
                <w:i w:val="0"/>
                <w:sz w:val="19"/>
              </w:rPr>
              <w:t>30.7%</w:t>
            </w:r>
          </w:p>
        </w:tc>
        <w:tc>
          <w:tcPr>
            <w:tcW w:type="dxa" w:w="1080"/>
            <w:vAlign w:val="center"/>
          </w:tcPr>
          <w:p>
            <w:pPr>
              <w:spacing w:before="40" w:after="40" w:line="240" w:lineRule="auto"/>
              <w:jc w:val="center"/>
            </w:pPr>
            <w:r>
              <w:rPr>
                <w:rFonts w:ascii="Calibri" w:hAnsi="Calibri" w:eastAsia="宋体"/>
                <w:b w:val="0"/>
                <w:i w:val="0"/>
                <w:sz w:val="19"/>
              </w:rPr>
              <w:t>39.0%</w:t>
            </w:r>
          </w:p>
        </w:tc>
      </w:tr>
      <w:tr>
        <w:tc>
          <w:tcPr>
            <w:tcW w:type="dxa" w:w="1500"/>
            <w:vAlign w:val="center"/>
          </w:tcPr>
          <w:p>
            <w:pPr>
              <w:spacing w:before="40" w:after="40" w:line="240" w:lineRule="auto"/>
              <w:jc w:val="left"/>
            </w:pPr>
            <w:r>
              <w:rPr>
                <w:rFonts w:ascii="Calibri" w:hAnsi="Calibri" w:eastAsia="宋体"/>
                <w:b w:val="0"/>
                <w:i w:val="0"/>
                <w:sz w:val="19"/>
              </w:rPr>
              <w:t>负载均衡 load_balanced</w:t>
            </w:r>
          </w:p>
        </w:tc>
        <w:tc>
          <w:tcPr>
            <w:tcW w:type="dxa" w:w="1150"/>
            <w:vAlign w:val="center"/>
          </w:tcPr>
          <w:p>
            <w:pPr>
              <w:spacing w:before="40" w:after="40" w:line="240" w:lineRule="auto"/>
              <w:jc w:val="center"/>
            </w:pPr>
            <w:r>
              <w:rPr>
                <w:rFonts w:ascii="Calibri" w:hAnsi="Calibri" w:eastAsia="宋体"/>
                <w:b w:val="0"/>
                <w:i w:val="0"/>
                <w:sz w:val="19"/>
              </w:rPr>
              <w:t>-43 636</w:t>
            </w:r>
          </w:p>
        </w:tc>
        <w:tc>
          <w:tcPr>
            <w:tcW w:type="dxa" w:w="1100"/>
            <w:vAlign w:val="center"/>
          </w:tcPr>
          <w:p>
            <w:pPr>
              <w:spacing w:before="40" w:after="40" w:line="240" w:lineRule="auto"/>
              <w:jc w:val="center"/>
            </w:pPr>
            <w:r>
              <w:rPr>
                <w:rFonts w:ascii="Calibri" w:hAnsi="Calibri" w:eastAsia="宋体"/>
                <w:b w:val="0"/>
                <w:i w:val="0"/>
                <w:sz w:val="19"/>
              </w:rPr>
              <w:t>144.3</w:t>
            </w:r>
          </w:p>
        </w:tc>
        <w:tc>
          <w:tcPr>
            <w:tcW w:type="dxa" w:w="1100"/>
            <w:vAlign w:val="center"/>
          </w:tcPr>
          <w:p>
            <w:pPr>
              <w:spacing w:before="40" w:after="40" w:line="240" w:lineRule="auto"/>
              <w:jc w:val="center"/>
            </w:pPr>
            <w:r>
              <w:rPr>
                <w:rFonts w:ascii="Calibri" w:hAnsi="Calibri" w:eastAsia="宋体"/>
                <w:b w:val="0"/>
                <w:i w:val="0"/>
                <w:sz w:val="19"/>
              </w:rPr>
              <w:t>68.7%</w:t>
            </w:r>
          </w:p>
        </w:tc>
        <w:tc>
          <w:tcPr>
            <w:tcW w:type="dxa" w:w="1100"/>
            <w:vAlign w:val="center"/>
          </w:tcPr>
          <w:p>
            <w:pPr>
              <w:spacing w:before="40" w:after="40" w:line="240" w:lineRule="auto"/>
              <w:jc w:val="center"/>
            </w:pPr>
            <w:r>
              <w:rPr>
                <w:rFonts w:ascii="Calibri" w:hAnsi="Calibri" w:eastAsia="宋体"/>
                <w:b w:val="0"/>
                <w:i w:val="0"/>
                <w:sz w:val="19"/>
              </w:rPr>
              <w:t>20.38</w:t>
            </w:r>
          </w:p>
        </w:tc>
        <w:tc>
          <w:tcPr>
            <w:tcW w:type="dxa" w:w="1250"/>
            <w:vAlign w:val="center"/>
          </w:tcPr>
          <w:p>
            <w:pPr>
              <w:spacing w:before="40" w:after="40" w:line="240" w:lineRule="auto"/>
              <w:jc w:val="center"/>
            </w:pPr>
            <w:r>
              <w:rPr>
                <w:rFonts w:ascii="Calibri" w:hAnsi="Calibri" w:eastAsia="宋体"/>
                <w:b w:val="0"/>
                <w:i w:val="0"/>
                <w:sz w:val="19"/>
              </w:rPr>
              <w:t>153.9</w:t>
            </w:r>
          </w:p>
        </w:tc>
        <w:tc>
          <w:tcPr>
            <w:tcW w:type="dxa" w:w="1080"/>
            <w:vAlign w:val="center"/>
          </w:tcPr>
          <w:p>
            <w:pPr>
              <w:spacing w:before="40" w:after="40" w:line="240" w:lineRule="auto"/>
              <w:jc w:val="center"/>
            </w:pPr>
            <w:r>
              <w:rPr>
                <w:rFonts w:ascii="Calibri" w:hAnsi="Calibri" w:eastAsia="宋体"/>
                <w:b w:val="0"/>
                <w:i w:val="0"/>
                <w:sz w:val="19"/>
              </w:rPr>
              <w:t>41.8%</w:t>
            </w:r>
          </w:p>
        </w:tc>
        <w:tc>
          <w:tcPr>
            <w:tcW w:type="dxa" w:w="1080"/>
            <w:vAlign w:val="center"/>
          </w:tcPr>
          <w:p>
            <w:pPr>
              <w:spacing w:before="40" w:after="40" w:line="240" w:lineRule="auto"/>
              <w:jc w:val="center"/>
            </w:pPr>
            <w:r>
              <w:rPr>
                <w:rFonts w:ascii="Calibri" w:hAnsi="Calibri" w:eastAsia="宋体"/>
                <w:b w:val="0"/>
                <w:i w:val="0"/>
                <w:sz w:val="19"/>
              </w:rPr>
              <w:t>50.9%</w:t>
            </w:r>
          </w:p>
        </w:tc>
      </w:tr>
    </w:tbl>
    <w:p>
      <w:pPr>
        <w:spacing w:before="80" w:after="160"/>
        <w:jc w:val="center"/>
      </w:pPr>
      <w:r>
        <w:rPr>
          <w:rFonts w:ascii="Calibri" w:hAnsi="Calibri" w:eastAsia="宋体"/>
          <w:b/>
          <w:i w:val="0"/>
          <w:sz w:val="21"/>
        </w:rPr>
        <w:t>表 1  八种策略调度结果对比（全时域 0–2399 小时）</w:t>
      </w:r>
    </w:p>
    <w:p>
      <w:pPr>
        <w:spacing w:after="160" w:line="264" w:lineRule="auto"/>
      </w:pPr>
      <w:r>
        <w:rPr>
          <w:rFonts w:ascii="Calibri" w:hAnsi="Calibri" w:eastAsia="宋体"/>
          <w:b w:val="0"/>
          <w:i w:val="0"/>
          <w:sz w:val="22"/>
        </w:rPr>
        <w:t>注：净运行成本＝购电成本−新能源外送收益；碳排放按“购电功率×碳强度”口径计算；新能源利用率按“（直接消纳＋外送）/可用新能源”口径计算（问题二不含储能，新能源充电项为 0）。</w:t>
      </w:r>
    </w:p>
    <w:p>
      <w:pPr>
        <w:pStyle w:val="Heading2"/>
      </w:pPr>
      <w:r>
        <w:t>5.3 与附件基线的对比</w:t>
      </w:r>
    </w:p>
    <w:p>
      <w:pPr>
        <w:spacing w:after="120" w:line="264" w:lineRule="auto"/>
      </w:pPr>
      <w:r>
        <w:rPr>
          <w:rFonts w:ascii="Calibri" w:hAnsi="Calibri" w:eastAsia="宋体"/>
          <w:b w:val="0"/>
          <w:i w:val="0"/>
          <w:sz w:val="22"/>
        </w:rPr>
        <w:t>以综合权衡策略（balanced）为例，与附件基准状态的对比见表 2。可见，通过算力跨区域迁移与弹性任务的时段调整，系统在成本、碳排放、新能源消纳与峰值购电方面均获得显著改善。</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Pr>
      <w:tblGrid>
        <w:gridCol w:w="2400"/>
        <w:gridCol w:w="2320"/>
        <w:gridCol w:w="2320"/>
        <w:gridCol w:w="2320"/>
      </w:tblGrid>
      <w:tr>
        <w:trPr>
          <w:tblHeader/>
        </w:trPr>
        <w:tc>
          <w:tcPr>
            <w:tcW w:type="dxa" w:w="2400"/>
            <w:vAlign w:val="center"/>
            <w:shd w:val="clear" w:color="auto" w:fill="F2F4F7"/>
          </w:tcPr>
          <w:p>
            <w:pPr>
              <w:spacing w:before="40" w:after="40" w:line="240" w:lineRule="auto"/>
              <w:jc w:val="center"/>
            </w:pPr>
            <w:r>
              <w:rPr>
                <w:rFonts w:ascii="Calibri" w:hAnsi="Calibri" w:eastAsia="宋体"/>
                <w:b/>
                <w:i w:val="0"/>
                <w:sz w:val="19"/>
              </w:rPr>
              <w:t>指标</w:t>
            </w:r>
          </w:p>
        </w:tc>
        <w:tc>
          <w:tcPr>
            <w:tcW w:type="dxa" w:w="2320"/>
            <w:vAlign w:val="center"/>
            <w:shd w:val="clear" w:color="auto" w:fill="F2F4F7"/>
          </w:tcPr>
          <w:p>
            <w:pPr>
              <w:spacing w:before="40" w:after="40" w:line="240" w:lineRule="auto"/>
              <w:jc w:val="center"/>
            </w:pPr>
            <w:r>
              <w:rPr>
                <w:rFonts w:ascii="Calibri" w:hAnsi="Calibri" w:eastAsia="宋体"/>
                <w:b/>
                <w:i w:val="0"/>
                <w:sz w:val="19"/>
              </w:rPr>
              <w:t>附件基线</w:t>
            </w:r>
          </w:p>
        </w:tc>
        <w:tc>
          <w:tcPr>
            <w:tcW w:type="dxa" w:w="2320"/>
            <w:vAlign w:val="center"/>
            <w:shd w:val="clear" w:color="auto" w:fill="F2F4F7"/>
          </w:tcPr>
          <w:p>
            <w:pPr>
              <w:spacing w:before="40" w:after="40" w:line="240" w:lineRule="auto"/>
              <w:jc w:val="center"/>
            </w:pPr>
            <w:r>
              <w:rPr>
                <w:rFonts w:ascii="Calibri" w:hAnsi="Calibri" w:eastAsia="宋体"/>
                <w:b/>
                <w:i w:val="0"/>
                <w:sz w:val="19"/>
              </w:rPr>
              <w:t>balanced 策略</w:t>
            </w:r>
          </w:p>
        </w:tc>
        <w:tc>
          <w:tcPr>
            <w:tcW w:type="dxa" w:w="2320"/>
            <w:vAlign w:val="center"/>
            <w:shd w:val="clear" w:color="auto" w:fill="F2F4F7"/>
          </w:tcPr>
          <w:p>
            <w:pPr>
              <w:spacing w:before="40" w:after="40" w:line="240" w:lineRule="auto"/>
              <w:jc w:val="center"/>
            </w:pPr>
            <w:r>
              <w:rPr>
                <w:rFonts w:ascii="Calibri" w:hAnsi="Calibri" w:eastAsia="宋体"/>
                <w:b/>
                <w:i w:val="0"/>
                <w:sz w:val="19"/>
              </w:rPr>
              <w:t>变化幅度</w:t>
            </w:r>
          </w:p>
        </w:tc>
      </w:tr>
      <w:tr>
        <w:tc>
          <w:tcPr>
            <w:tcW w:type="dxa" w:w="2400"/>
            <w:vAlign w:val="center"/>
          </w:tcPr>
          <w:p>
            <w:pPr>
              <w:spacing w:before="40" w:after="40" w:line="240" w:lineRule="auto"/>
              <w:jc w:val="left"/>
            </w:pPr>
            <w:r>
              <w:rPr>
                <w:rFonts w:ascii="Calibri" w:hAnsi="Calibri" w:eastAsia="宋体"/>
                <w:b w:val="0"/>
                <w:i w:val="0"/>
                <w:sz w:val="19"/>
              </w:rPr>
              <w:t>净运行成本（元）</w:t>
            </w:r>
          </w:p>
        </w:tc>
        <w:tc>
          <w:tcPr>
            <w:tcW w:type="dxa" w:w="2320"/>
            <w:vAlign w:val="center"/>
          </w:tcPr>
          <w:p>
            <w:pPr>
              <w:spacing w:before="40" w:after="40" w:line="240" w:lineRule="auto"/>
              <w:jc w:val="center"/>
            </w:pPr>
            <w:r>
              <w:rPr>
                <w:rFonts w:ascii="Calibri" w:hAnsi="Calibri" w:eastAsia="宋体"/>
                <w:b w:val="0"/>
                <w:i w:val="0"/>
                <w:sz w:val="19"/>
              </w:rPr>
              <w:t>1 801 786 873</w:t>
            </w:r>
          </w:p>
        </w:tc>
        <w:tc>
          <w:tcPr>
            <w:tcW w:type="dxa" w:w="2320"/>
            <w:vAlign w:val="center"/>
          </w:tcPr>
          <w:p>
            <w:pPr>
              <w:spacing w:before="40" w:after="40" w:line="240" w:lineRule="auto"/>
              <w:jc w:val="center"/>
            </w:pPr>
            <w:r>
              <w:rPr>
                <w:rFonts w:ascii="Calibri" w:hAnsi="Calibri" w:eastAsia="宋体"/>
                <w:b w:val="0"/>
                <w:i w:val="0"/>
                <w:sz w:val="19"/>
              </w:rPr>
              <w:t>-438 731 037</w:t>
            </w:r>
          </w:p>
        </w:tc>
        <w:tc>
          <w:tcPr>
            <w:tcW w:type="dxa" w:w="2320"/>
            <w:vAlign w:val="center"/>
          </w:tcPr>
          <w:p>
            <w:pPr>
              <w:spacing w:before="40" w:after="40" w:line="240" w:lineRule="auto"/>
              <w:jc w:val="center"/>
            </w:pPr>
            <w:r>
              <w:rPr>
                <w:rFonts w:ascii="Calibri" w:hAnsi="Calibri" w:eastAsia="宋体"/>
                <w:b w:val="0"/>
                <w:i w:val="0"/>
                <w:sz w:val="19"/>
              </w:rPr>
              <w:t>由正转负（外送收益所致）</w:t>
            </w:r>
          </w:p>
        </w:tc>
      </w:tr>
      <w:tr>
        <w:tc>
          <w:tcPr>
            <w:tcW w:type="dxa" w:w="2400"/>
            <w:vAlign w:val="center"/>
          </w:tcPr>
          <w:p>
            <w:pPr>
              <w:spacing w:before="40" w:after="40" w:line="240" w:lineRule="auto"/>
              <w:jc w:val="left"/>
            </w:pPr>
            <w:r>
              <w:rPr>
                <w:rFonts w:ascii="Calibri" w:hAnsi="Calibri" w:eastAsia="宋体"/>
                <w:b w:val="0"/>
                <w:i w:val="0"/>
                <w:sz w:val="19"/>
              </w:rPr>
              <w:t>碳排放（tCO₂）</w:t>
            </w:r>
          </w:p>
        </w:tc>
        <w:tc>
          <w:tcPr>
            <w:tcW w:type="dxa" w:w="2320"/>
            <w:vAlign w:val="center"/>
          </w:tcPr>
          <w:p>
            <w:pPr>
              <w:spacing w:before="40" w:after="40" w:line="240" w:lineRule="auto"/>
              <w:jc w:val="center"/>
            </w:pPr>
            <w:r>
              <w:rPr>
                <w:rFonts w:ascii="Calibri" w:hAnsi="Calibri" w:eastAsia="宋体"/>
                <w:b w:val="0"/>
                <w:i w:val="0"/>
                <w:sz w:val="19"/>
              </w:rPr>
              <w:t>2 045 367</w:t>
            </w:r>
          </w:p>
        </w:tc>
        <w:tc>
          <w:tcPr>
            <w:tcW w:type="dxa" w:w="2320"/>
            <w:vAlign w:val="center"/>
          </w:tcPr>
          <w:p>
            <w:pPr>
              <w:spacing w:before="40" w:after="40" w:line="240" w:lineRule="auto"/>
              <w:jc w:val="center"/>
            </w:pPr>
            <w:r>
              <w:rPr>
                <w:rFonts w:ascii="Calibri" w:hAnsi="Calibri" w:eastAsia="宋体"/>
                <w:b w:val="0"/>
                <w:i w:val="0"/>
                <w:sz w:val="19"/>
              </w:rPr>
              <w:t>160.7</w:t>
            </w:r>
          </w:p>
        </w:tc>
        <w:tc>
          <w:tcPr>
            <w:tcW w:type="dxa" w:w="2320"/>
            <w:vAlign w:val="center"/>
          </w:tcPr>
          <w:p>
            <w:pPr>
              <w:spacing w:before="40" w:after="40" w:line="240" w:lineRule="auto"/>
              <w:jc w:val="center"/>
            </w:pPr>
            <w:r>
              <w:rPr>
                <w:rFonts w:ascii="Calibri" w:hAnsi="Calibri" w:eastAsia="宋体"/>
                <w:b w:val="0"/>
                <w:i w:val="0"/>
                <w:sz w:val="19"/>
              </w:rPr>
              <w:t>-99.99%</w:t>
            </w:r>
          </w:p>
        </w:tc>
      </w:tr>
      <w:tr>
        <w:tc>
          <w:tcPr>
            <w:tcW w:type="dxa" w:w="2400"/>
            <w:vAlign w:val="center"/>
          </w:tcPr>
          <w:p>
            <w:pPr>
              <w:spacing w:before="40" w:after="40" w:line="240" w:lineRule="auto"/>
              <w:jc w:val="left"/>
            </w:pPr>
            <w:r>
              <w:rPr>
                <w:rFonts w:ascii="Calibri" w:hAnsi="Calibri" w:eastAsia="宋体"/>
                <w:b w:val="0"/>
                <w:i w:val="0"/>
                <w:sz w:val="19"/>
              </w:rPr>
              <w:t>新能源利用率</w:t>
            </w:r>
          </w:p>
        </w:tc>
        <w:tc>
          <w:tcPr>
            <w:tcW w:type="dxa" w:w="2320"/>
            <w:vAlign w:val="center"/>
          </w:tcPr>
          <w:p>
            <w:pPr>
              <w:spacing w:before="40" w:after="40" w:line="240" w:lineRule="auto"/>
              <w:jc w:val="center"/>
            </w:pPr>
            <w:r>
              <w:rPr>
                <w:rFonts w:ascii="Calibri" w:hAnsi="Calibri" w:eastAsia="宋体"/>
                <w:b w:val="0"/>
                <w:i w:val="0"/>
                <w:sz w:val="19"/>
              </w:rPr>
              <w:t>32.8%</w:t>
            </w:r>
          </w:p>
        </w:tc>
        <w:tc>
          <w:tcPr>
            <w:tcW w:type="dxa" w:w="2320"/>
            <w:vAlign w:val="center"/>
          </w:tcPr>
          <w:p>
            <w:pPr>
              <w:spacing w:before="40" w:after="40" w:line="240" w:lineRule="auto"/>
              <w:jc w:val="center"/>
            </w:pPr>
            <w:r>
              <w:rPr>
                <w:rFonts w:ascii="Calibri" w:hAnsi="Calibri" w:eastAsia="宋体"/>
                <w:b w:val="0"/>
                <w:i w:val="0"/>
                <w:sz w:val="19"/>
              </w:rPr>
              <w:t>68.8%</w:t>
            </w:r>
          </w:p>
        </w:tc>
        <w:tc>
          <w:tcPr>
            <w:tcW w:type="dxa" w:w="2320"/>
            <w:vAlign w:val="center"/>
          </w:tcPr>
          <w:p>
            <w:pPr>
              <w:spacing w:before="40" w:after="40" w:line="240" w:lineRule="auto"/>
              <w:jc w:val="center"/>
            </w:pPr>
            <w:r>
              <w:rPr>
                <w:rFonts w:ascii="Calibri" w:hAnsi="Calibri" w:eastAsia="宋体"/>
                <w:b w:val="0"/>
                <w:i w:val="0"/>
                <w:sz w:val="19"/>
              </w:rPr>
              <w:t>+109.6%</w:t>
            </w:r>
          </w:p>
        </w:tc>
      </w:tr>
      <w:tr>
        <w:tc>
          <w:tcPr>
            <w:tcW w:type="dxa" w:w="2400"/>
            <w:vAlign w:val="center"/>
          </w:tcPr>
          <w:p>
            <w:pPr>
              <w:spacing w:before="40" w:after="40" w:line="240" w:lineRule="auto"/>
              <w:jc w:val="left"/>
            </w:pPr>
            <w:r>
              <w:rPr>
                <w:rFonts w:ascii="Calibri" w:hAnsi="Calibri" w:eastAsia="宋体"/>
                <w:b w:val="0"/>
                <w:i w:val="0"/>
                <w:sz w:val="19"/>
              </w:rPr>
              <w:t>弃电总量（MWh）</w:t>
            </w:r>
          </w:p>
        </w:tc>
        <w:tc>
          <w:tcPr>
            <w:tcW w:type="dxa" w:w="2320"/>
            <w:vAlign w:val="center"/>
          </w:tcPr>
          <w:p>
            <w:pPr>
              <w:spacing w:before="40" w:after="40" w:line="240" w:lineRule="auto"/>
              <w:jc w:val="center"/>
            </w:pPr>
            <w:r>
              <w:rPr>
                <w:rFonts w:ascii="Calibri" w:hAnsi="Calibri" w:eastAsia="宋体"/>
                <w:b w:val="0"/>
                <w:i w:val="0"/>
                <w:sz w:val="19"/>
              </w:rPr>
              <w:t>7 752 928</w:t>
            </w:r>
          </w:p>
        </w:tc>
        <w:tc>
          <w:tcPr>
            <w:tcW w:type="dxa" w:w="2320"/>
            <w:vAlign w:val="center"/>
          </w:tcPr>
          <w:p>
            <w:pPr>
              <w:spacing w:before="40" w:after="40" w:line="240" w:lineRule="auto"/>
              <w:jc w:val="center"/>
            </w:pPr>
            <w:r>
              <w:rPr>
                <w:rFonts w:ascii="Calibri" w:hAnsi="Calibri" w:eastAsia="宋体"/>
                <w:b w:val="0"/>
                <w:i w:val="0"/>
                <w:sz w:val="19"/>
              </w:rPr>
              <w:t>3 596 690</w:t>
            </w:r>
          </w:p>
        </w:tc>
        <w:tc>
          <w:tcPr>
            <w:tcW w:type="dxa" w:w="2320"/>
            <w:vAlign w:val="center"/>
          </w:tcPr>
          <w:p>
            <w:pPr>
              <w:spacing w:before="40" w:after="40" w:line="240" w:lineRule="auto"/>
              <w:jc w:val="center"/>
            </w:pPr>
            <w:r>
              <w:rPr>
                <w:rFonts w:ascii="Calibri" w:hAnsi="Calibri" w:eastAsia="宋体"/>
                <w:b w:val="0"/>
                <w:i w:val="0"/>
                <w:sz w:val="19"/>
              </w:rPr>
              <w:t>-53.6%</w:t>
            </w:r>
          </w:p>
        </w:tc>
      </w:tr>
      <w:tr>
        <w:tc>
          <w:tcPr>
            <w:tcW w:type="dxa" w:w="2400"/>
            <w:vAlign w:val="center"/>
          </w:tcPr>
          <w:p>
            <w:pPr>
              <w:spacing w:before="40" w:after="40" w:line="240" w:lineRule="auto"/>
              <w:jc w:val="left"/>
            </w:pPr>
            <w:r>
              <w:rPr>
                <w:rFonts w:ascii="Calibri" w:hAnsi="Calibri" w:eastAsia="宋体"/>
                <w:b w:val="0"/>
                <w:i w:val="0"/>
                <w:sz w:val="19"/>
              </w:rPr>
              <w:t>系统峰值净购电（MW）</w:t>
            </w:r>
          </w:p>
        </w:tc>
        <w:tc>
          <w:tcPr>
            <w:tcW w:type="dxa" w:w="2320"/>
            <w:vAlign w:val="center"/>
          </w:tcPr>
          <w:p>
            <w:pPr>
              <w:spacing w:before="40" w:after="40" w:line="240" w:lineRule="auto"/>
              <w:jc w:val="center"/>
            </w:pPr>
            <w:r>
              <w:rPr>
                <w:rFonts w:ascii="Calibri" w:hAnsi="Calibri" w:eastAsia="宋体"/>
                <w:b w:val="0"/>
                <w:i w:val="0"/>
                <w:sz w:val="19"/>
              </w:rPr>
              <w:t>1 907.6</w:t>
            </w:r>
          </w:p>
        </w:tc>
        <w:tc>
          <w:tcPr>
            <w:tcW w:type="dxa" w:w="2320"/>
            <w:vAlign w:val="center"/>
          </w:tcPr>
          <w:p>
            <w:pPr>
              <w:spacing w:before="40" w:after="40" w:line="240" w:lineRule="auto"/>
              <w:jc w:val="center"/>
            </w:pPr>
            <w:r>
              <w:rPr>
                <w:rFonts w:ascii="Calibri" w:hAnsi="Calibri" w:eastAsia="宋体"/>
                <w:b w:val="0"/>
                <w:i w:val="0"/>
                <w:sz w:val="19"/>
              </w:rPr>
              <w:t>171.2</w:t>
            </w:r>
          </w:p>
        </w:tc>
        <w:tc>
          <w:tcPr>
            <w:tcW w:type="dxa" w:w="2320"/>
            <w:vAlign w:val="center"/>
          </w:tcPr>
          <w:p>
            <w:pPr>
              <w:spacing w:before="40" w:after="40" w:line="240" w:lineRule="auto"/>
              <w:jc w:val="center"/>
            </w:pPr>
            <w:r>
              <w:rPr>
                <w:rFonts w:ascii="Calibri" w:hAnsi="Calibri" w:eastAsia="宋体"/>
                <w:b w:val="0"/>
                <w:i w:val="0"/>
                <w:sz w:val="19"/>
              </w:rPr>
              <w:t>-91.0%</w:t>
            </w:r>
          </w:p>
        </w:tc>
      </w:tr>
    </w:tbl>
    <w:p>
      <w:pPr>
        <w:spacing w:before="80" w:after="160"/>
        <w:jc w:val="center"/>
      </w:pPr>
      <w:r>
        <w:rPr>
          <w:rFonts w:ascii="Calibri" w:hAnsi="Calibri" w:eastAsia="宋体"/>
          <w:b/>
          <w:i w:val="0"/>
          <w:sz w:val="21"/>
        </w:rPr>
        <w:t>表 2  balanced 策略与附件基线对比（全时域）</w:t>
      </w:r>
    </w:p>
    <w:p>
      <w:pPr>
        <w:spacing w:after="160" w:line="264" w:lineRule="auto"/>
      </w:pPr>
      <w:r>
        <w:rPr>
          <w:rFonts w:ascii="Calibri" w:hAnsi="Calibri" w:eastAsia="宋体"/>
          <w:b w:val="0"/>
          <w:i w:val="0"/>
          <w:sz w:val="22"/>
        </w:rPr>
        <w:t>碳排放的大幅下降源于调度策略使任务尽可能在新能源富余区域与时段执行，电网购电被新能源直接消纳所替代；由于碳排放口径为“购电×碳强度”，购电趋近于零导致碳排放趋近于零，这一结果符合统一口径下的物理意义。系统峰值净购电的大幅下降则体现了负荷在时间与空间维度上的削峰效果。</w:t>
      </w:r>
    </w:p>
    <w:p>
      <w:pPr>
        <w:pStyle w:val="Heading2"/>
      </w:pPr>
      <w:r>
        <w:t>5.4 Pareto 多目标权衡分析</w:t>
      </w:r>
    </w:p>
    <w:p>
      <w:pPr>
        <w:spacing w:after="120" w:line="264" w:lineRule="auto"/>
      </w:pPr>
      <w:r>
        <w:rPr>
          <w:rFonts w:ascii="Calibri" w:hAnsi="Calibri" w:eastAsia="宋体"/>
          <w:b w:val="0"/>
          <w:i w:val="0"/>
          <w:sz w:val="22"/>
        </w:rPr>
        <w:t>对八种策略的指标向量两两进行 Pareto 支配关系检验，八种策略均未被其他策略支配，共同构成 Pareto 前沿（如图 1 所示）。该结果表明各优化目标之间存在显著冲突，不存在使所有目标同时最优的单一方案：时延优先策略平均时延仅 5.06 ms、迁移比例仅 0.2%，服务质量最优，但净运行成本最高、新能源利用率相对较低；低碳＋新能源策略碳排放最低（129.6 tCO₂）、峰值净购电最低（107.6 MW），但平均时延升至 22.58 ms；负载均衡策略西部区域承接比例最高（50.9%），有利于东西部算力与能源资源的均衡利用。因此，实际调度策略的选择取决于决策者对成本、环保与服务质量之间的偏好，Pareto 前沿为决策者提供了多组可选的折中方案。</w:t>
      </w:r>
    </w:p>
    <w:p>
      <w:pPr>
        <w:spacing w:before="120"/>
        <w:jc w:val="center"/>
      </w:pPr>
      <w:r>
        <w:drawing>
          <wp:inline xmlns:a="http://schemas.openxmlformats.org/drawingml/2006/main" xmlns:pic="http://schemas.openxmlformats.org/drawingml/2006/picture">
            <wp:extent cx="5120640" cy="3938954"/>
            <wp:docPr id="1" name="Picture 1" descr="八种策略的Pareto前沿散点图" title="八种策略的Pareto前沿散点图"/>
            <wp:cNvGraphicFramePr>
              <a:graphicFrameLocks noChangeAspect="1"/>
            </wp:cNvGraphicFramePr>
            <a:graphic>
              <a:graphicData uri="http://schemas.openxmlformats.org/drawingml/2006/picture">
                <pic:pic>
                  <pic:nvPicPr>
                    <pic:cNvPr id="0" name="pareto_scatter.png"/>
                    <pic:cNvPicPr/>
                  </pic:nvPicPr>
                  <pic:blipFill>
                    <a:blip r:embed="rId9"/>
                    <a:stretch>
                      <a:fillRect/>
                    </a:stretch>
                  </pic:blipFill>
                  <pic:spPr>
                    <a:xfrm>
                      <a:off x="0" y="0"/>
                      <a:ext cx="5120640" cy="3938954"/>
                    </a:xfrm>
                    <a:prstGeom prst="rect"/>
                  </pic:spPr>
                </pic:pic>
              </a:graphicData>
            </a:graphic>
          </wp:inline>
        </w:drawing>
      </w:r>
    </w:p>
    <w:p>
      <w:pPr>
        <w:spacing w:after="200"/>
        <w:jc w:val="center"/>
      </w:pPr>
      <w:r>
        <w:rPr>
          <w:rFonts w:ascii="Calibri" w:hAnsi="Calibri" w:eastAsia="宋体"/>
          <w:b/>
          <w:i w:val="0"/>
          <w:sz w:val="21"/>
        </w:rPr>
        <w:t>图 1  八种策略 Pareto 前沿散点图</w:t>
      </w:r>
    </w:p>
    <w:p>
      <w:pPr>
        <w:spacing w:before="120"/>
        <w:jc w:val="center"/>
      </w:pPr>
      <w:r>
        <w:drawing>
          <wp:inline xmlns:a="http://schemas.openxmlformats.org/drawingml/2006/main" xmlns:pic="http://schemas.openxmlformats.org/drawingml/2006/picture">
            <wp:extent cx="5120640" cy="3291840"/>
            <wp:docPr id="2" name="Picture 2" descr="优化结果与附件基线的对比图" title="优化结果与附件基线的对比图"/>
            <wp:cNvGraphicFramePr>
              <a:graphicFrameLocks noChangeAspect="1"/>
            </wp:cNvGraphicFramePr>
            <a:graphic>
              <a:graphicData uri="http://schemas.openxmlformats.org/drawingml/2006/picture">
                <pic:pic>
                  <pic:nvPicPr>
                    <pic:cNvPr id="0" name="baseline_comparison.png"/>
                    <pic:cNvPicPr/>
                  </pic:nvPicPr>
                  <pic:blipFill>
                    <a:blip r:embed="rId10"/>
                    <a:stretch>
                      <a:fillRect/>
                    </a:stretch>
                  </pic:blipFill>
                  <pic:spPr>
                    <a:xfrm>
                      <a:off x="0" y="0"/>
                      <a:ext cx="5120640" cy="3291840"/>
                    </a:xfrm>
                    <a:prstGeom prst="rect"/>
                  </pic:spPr>
                </pic:pic>
              </a:graphicData>
            </a:graphic>
          </wp:inline>
        </w:drawing>
      </w:r>
    </w:p>
    <w:p>
      <w:pPr>
        <w:spacing w:after="200"/>
        <w:jc w:val="center"/>
      </w:pPr>
      <w:r>
        <w:rPr>
          <w:rFonts w:ascii="Calibri" w:hAnsi="Calibri" w:eastAsia="宋体"/>
          <w:b/>
          <w:i w:val="0"/>
          <w:sz w:val="21"/>
        </w:rPr>
        <w:t>图 2  优化结果与附件基线对比</w:t>
      </w:r>
    </w:p>
    <w:p>
      <w:pPr>
        <w:pStyle w:val="Heading2"/>
      </w:pPr>
      <w:r>
        <w:t>5.5 任务迁移分析</w:t>
      </w:r>
    </w:p>
    <w:p>
      <w:pPr>
        <w:spacing w:after="120" w:line="264" w:lineRule="auto"/>
      </w:pPr>
      <w:r>
        <w:rPr>
          <w:rFonts w:ascii="Calibri" w:hAnsi="Calibri" w:eastAsia="宋体"/>
          <w:b w:val="0"/>
          <w:i w:val="0"/>
          <w:sz w:val="22"/>
        </w:rPr>
        <w:t>不同策略的任务迁移行为差异显著：新能源优先策略迁移比例高达 54.3%，以牺牲时延换取新能源消纳；时延优先策略仅迁移 83 个任务（0.2%）。值得注意的是，AI 训练任务因对时延不敏感，是跨区域迁移的主要对象（如负载均衡策略中 66.2% 的训练任务迁往西部），而实时推理任务的平均时延在全部策略中均保持在 5–7 ms，满足其严格的时延约束。</w:t>
      </w:r>
    </w:p>
    <w:p>
      <w:pPr>
        <w:spacing w:before="120"/>
        <w:jc w:val="center"/>
      </w:pPr>
      <w:r>
        <w:drawing>
          <wp:inline xmlns:a="http://schemas.openxmlformats.org/drawingml/2006/main" xmlns:pic="http://schemas.openxmlformats.org/drawingml/2006/picture">
            <wp:extent cx="5394960" cy="4979963"/>
            <wp:docPr id="3" name="Picture 3" descr="综合权衡策略的区域负荷曲线" title="综合权衡策略的区域负荷曲线"/>
            <wp:cNvGraphicFramePr>
              <a:graphicFrameLocks noChangeAspect="1"/>
            </wp:cNvGraphicFramePr>
            <a:graphic>
              <a:graphicData uri="http://schemas.openxmlformats.org/drawingml/2006/picture">
                <pic:pic>
                  <pic:nvPicPr>
                    <pic:cNvPr id="0" name="load_curves_balanced.png"/>
                    <pic:cNvPicPr/>
                  </pic:nvPicPr>
                  <pic:blipFill>
                    <a:blip r:embed="rId11"/>
                    <a:stretch>
                      <a:fillRect/>
                    </a:stretch>
                  </pic:blipFill>
                  <pic:spPr>
                    <a:xfrm>
                      <a:off x="0" y="0"/>
                      <a:ext cx="5394960" cy="4979963"/>
                    </a:xfrm>
                    <a:prstGeom prst="rect"/>
                  </pic:spPr>
                </pic:pic>
              </a:graphicData>
            </a:graphic>
          </wp:inline>
        </w:drawing>
      </w:r>
    </w:p>
    <w:p>
      <w:pPr>
        <w:spacing w:after="200"/>
        <w:jc w:val="center"/>
      </w:pPr>
      <w:r>
        <w:rPr>
          <w:rFonts w:ascii="Calibri" w:hAnsi="Calibri" w:eastAsia="宋体"/>
          <w:b/>
          <w:i w:val="0"/>
          <w:sz w:val="21"/>
        </w:rPr>
        <w:t>图 3  综合权衡策略区域负荷曲线</w:t>
      </w:r>
    </w:p>
    <w:p>
      <w:pPr>
        <w:spacing w:before="120"/>
        <w:jc w:val="center"/>
      </w:pPr>
      <w:r>
        <w:drawing>
          <wp:inline xmlns:a="http://schemas.openxmlformats.org/drawingml/2006/main" xmlns:pic="http://schemas.openxmlformats.org/drawingml/2006/picture">
            <wp:extent cx="5394960" cy="4979963"/>
            <wp:docPr id="4" name="Picture 4" descr="低碳优先策略的区域负荷曲线" title="低碳优先策略的区域负荷曲线"/>
            <wp:cNvGraphicFramePr>
              <a:graphicFrameLocks noChangeAspect="1"/>
            </wp:cNvGraphicFramePr>
            <a:graphic>
              <a:graphicData uri="http://schemas.openxmlformats.org/drawingml/2006/picture">
                <pic:pic>
                  <pic:nvPicPr>
                    <pic:cNvPr id="0" name="load_curves_carbon_first.png"/>
                    <pic:cNvPicPr/>
                  </pic:nvPicPr>
                  <pic:blipFill>
                    <a:blip r:embed="rId12"/>
                    <a:stretch>
                      <a:fillRect/>
                    </a:stretch>
                  </pic:blipFill>
                  <pic:spPr>
                    <a:xfrm>
                      <a:off x="0" y="0"/>
                      <a:ext cx="5394960" cy="4979963"/>
                    </a:xfrm>
                    <a:prstGeom prst="rect"/>
                  </pic:spPr>
                </pic:pic>
              </a:graphicData>
            </a:graphic>
          </wp:inline>
        </w:drawing>
      </w:r>
    </w:p>
    <w:p>
      <w:pPr>
        <w:spacing w:after="200"/>
        <w:jc w:val="center"/>
      </w:pPr>
      <w:r>
        <w:rPr>
          <w:rFonts w:ascii="Calibri" w:hAnsi="Calibri" w:eastAsia="宋体"/>
          <w:b/>
          <w:i w:val="0"/>
          <w:sz w:val="21"/>
        </w:rPr>
        <w:t>图 4  低碳优先策略区域负荷曲线</w:t>
      </w:r>
    </w:p>
    <w:p>
      <w:pPr>
        <w:spacing w:before="120"/>
        <w:jc w:val="center"/>
      </w:pPr>
      <w:r>
        <w:drawing>
          <wp:inline xmlns:a="http://schemas.openxmlformats.org/drawingml/2006/main" xmlns:pic="http://schemas.openxmlformats.org/drawingml/2006/picture">
            <wp:extent cx="5394960" cy="4979963"/>
            <wp:docPr id="5" name="Picture 5" descr="成本优先策略的区域负荷曲线" title="成本优先策略的区域负荷曲线"/>
            <wp:cNvGraphicFramePr>
              <a:graphicFrameLocks noChangeAspect="1"/>
            </wp:cNvGraphicFramePr>
            <a:graphic>
              <a:graphicData uri="http://schemas.openxmlformats.org/drawingml/2006/picture">
                <pic:pic>
                  <pic:nvPicPr>
                    <pic:cNvPr id="0" name="load_curves_cost_first.png"/>
                    <pic:cNvPicPr/>
                  </pic:nvPicPr>
                  <pic:blipFill>
                    <a:blip r:embed="rId13"/>
                    <a:stretch>
                      <a:fillRect/>
                    </a:stretch>
                  </pic:blipFill>
                  <pic:spPr>
                    <a:xfrm>
                      <a:off x="0" y="0"/>
                      <a:ext cx="5394960" cy="4979963"/>
                    </a:xfrm>
                    <a:prstGeom prst="rect"/>
                  </pic:spPr>
                </pic:pic>
              </a:graphicData>
            </a:graphic>
          </wp:inline>
        </w:drawing>
      </w:r>
    </w:p>
    <w:p>
      <w:pPr>
        <w:spacing w:after="200"/>
        <w:jc w:val="center"/>
      </w:pPr>
      <w:r>
        <w:rPr>
          <w:rFonts w:ascii="Calibri" w:hAnsi="Calibri" w:eastAsia="宋体"/>
          <w:b/>
          <w:i w:val="0"/>
          <w:sz w:val="21"/>
        </w:rPr>
        <w:t>图 5  成本优先策略区域负荷曲线</w:t>
      </w:r>
    </w:p>
    <w:p>
      <w:pPr>
        <w:pStyle w:val="Heading2"/>
      </w:pPr>
      <w:r>
        <w:t>5.6 最后 24 小时调度结果（2376–2399 小时）</w:t>
      </w:r>
    </w:p>
    <w:p>
      <w:pPr>
        <w:spacing w:after="120" w:line="264" w:lineRule="auto"/>
      </w:pPr>
      <w:r>
        <w:rPr>
          <w:rFonts w:ascii="Calibri" w:hAnsi="Calibri" w:eastAsia="宋体"/>
          <w:b w:val="0"/>
          <w:i w:val="0"/>
          <w:sz w:val="22"/>
        </w:rPr>
        <w:t>第 2376–2399 小时实际到达任务共 538 个，各策略均实现完整调度。以综合权衡策略为例：碳排放 83.7 tCO₂、新能源利用率 69.8%、平均时延 18.08 ms、峰值净购电 138.8 MW、净运行成本 -453 万元。任务级调度明细（区域、开工与完工时段）可绘制问题一要求的调度甘特图与区域 GPU 利用率曲线。</w:t>
      </w:r>
    </w:p>
    <w:p>
      <w:pPr>
        <w:pStyle w:val="Heading1"/>
      </w:pPr>
      <w:r>
        <w:t>六、模型检验</w:t>
      </w:r>
    </w:p>
    <w:p>
      <w:pPr>
        <w:pStyle w:val="ListBullet"/>
        <w:spacing w:after="80" w:line="264" w:lineRule="auto"/>
      </w:pPr>
      <w:r>
        <w:rPr>
          <w:rFonts w:ascii="Calibri" w:hAnsi="Calibri" w:eastAsia="宋体"/>
          <w:b/>
          <w:i w:val="0"/>
          <w:sz w:val="22"/>
        </w:rPr>
        <w:t>约束满足性校验：</w:t>
      </w:r>
      <w:r>
        <w:rPr>
          <w:rFonts w:ascii="Calibri" w:hAnsi="Calibri" w:eastAsia="宋体"/>
          <w:b w:val="0"/>
          <w:i w:val="0"/>
          <w:sz w:val="22"/>
        </w:rPr>
        <w:t>对全部策略的调度结果逐项校验开工时刻不早于到达时刻、完工时刻不晚于截止时刻、网络时延不超过上限、GPU/IT/设施功率不超容量、任务无重复调度，校验违规数均为 0；</w:t>
      </w:r>
    </w:p>
    <w:p>
      <w:pPr>
        <w:pStyle w:val="ListBullet"/>
        <w:spacing w:after="80" w:line="264" w:lineRule="auto"/>
      </w:pPr>
      <w:r>
        <w:rPr>
          <w:rFonts w:ascii="Calibri" w:hAnsi="Calibri" w:eastAsia="宋体"/>
          <w:b/>
          <w:i w:val="0"/>
          <w:sz w:val="22"/>
        </w:rPr>
        <w:t>权重敏感性分析：</w:t>
      </w:r>
      <w:r>
        <w:rPr>
          <w:rFonts w:ascii="Calibri" w:hAnsi="Calibri" w:eastAsia="宋体"/>
          <w:b w:val="0"/>
          <w:i w:val="0"/>
          <w:sz w:val="22"/>
        </w:rPr>
        <w:t>八种策略覆盖从成本、碳排、时延、新能源到负载均衡的不同偏好区间，展示目标间此消彼长的关系；结果对单一权重的依赖可通过 Pareto 前沿的多样性加以缓解，模型具有较好的稳定性与可解释性；</w:t>
      </w:r>
    </w:p>
    <w:p>
      <w:pPr>
        <w:pStyle w:val="ListBullet"/>
        <w:spacing w:after="80" w:line="264" w:lineRule="auto"/>
      </w:pPr>
      <w:r>
        <w:rPr>
          <w:rFonts w:ascii="Calibri" w:hAnsi="Calibri" w:eastAsia="宋体"/>
          <w:b/>
          <w:i w:val="0"/>
          <w:sz w:val="22"/>
        </w:rPr>
        <w:t>与基础滚动版本对比：</w:t>
      </w:r>
      <w:r>
        <w:rPr>
          <w:rFonts w:ascii="Calibri" w:hAnsi="Calibri" w:eastAsia="宋体"/>
          <w:b w:val="0"/>
          <w:i w:val="0"/>
          <w:sz w:val="22"/>
        </w:rPr>
        <w:t>窗口长度由 24 小时细化为 6 小时、候选方案数由 8 提升至 24 后，任务调度率由 96.3% 提升至 100%，按时完成率由 96.3% 提升至 100%，新能源利用率由 56.5% 提升至约 68.8%，验证了改进策略在资源利用与调度完备性方面的有效性。</w:t>
      </w:r>
    </w:p>
    <w:sectPr w:rsidR="00FC693F" w:rsidRPr="0006063C" w:rsidSect="00034616">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