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jc w:val="center"/>
      </w:pPr>
      <w:r>
        <w:rPr>
          <w:rFonts w:ascii="Times New Roman" w:hAnsi="Times New Roman" w:eastAsia="宋体"/>
          <w:b/>
          <w:i w:val="0"/>
          <w:sz w:val="24"/>
        </w:rPr>
        <w:t>参赛组别：本科组        参赛队号：CM【待填】</w:t>
      </w:r>
    </w:p>
    <w:p>
      <w:pPr>
        <w:spacing w:after="120"/>
        <w:jc w:val="center"/>
      </w:pPr>
      <w:r>
        <w:rPr>
          <w:rFonts w:ascii="Times New Roman" w:hAnsi="Times New Roman" w:eastAsia="黑体"/>
          <w:b/>
          <w:i w:val="0"/>
          <w:sz w:val="32"/>
        </w:rPr>
        <w:t>面向算电协同的多区域算力调度与储能协同优化</w:t>
      </w:r>
    </w:p>
    <w:p>
      <w:pPr>
        <w:spacing w:before="240" w:after="240"/>
        <w:jc w:val="center"/>
      </w:pPr>
      <w:r>
        <w:rPr>
          <w:rFonts w:ascii="Times New Roman" w:hAnsi="Times New Roman" w:eastAsia="黑体"/>
          <w:b/>
          <w:i w:val="0"/>
          <w:sz w:val="32"/>
        </w:rPr>
        <w:t>摘  要</w:t>
      </w:r>
    </w:p>
    <w:p>
      <w:pPr>
        <w:spacing w:after="0" w:line="240" w:lineRule="auto"/>
        <w:ind w:firstLine="480"/>
      </w:pPr>
      <w:r>
        <w:rPr>
          <w:rFonts w:ascii="Times New Roman" w:hAnsi="Times New Roman" w:eastAsia="宋体"/>
          <w:b w:val="0"/>
          <w:i w:val="0"/>
          <w:sz w:val="24"/>
        </w:rPr>
        <w:t>随着人工智能算力规模持续扩张，数据中心用电成本与碳排放日益成为运营核心约束，算电协同要求算力负荷与电力系统实时耦合、跨区域联合优化。针对问题一，采用描述性统计与泊松拟合分析任务到达规律，构建常数均值、AR(2) 与梯度提升树三种预测模型并给出 90% 预测区间，建立以 GPU 容量为硬约束的基础算力调度模型；针对问题二，建立基于加权综合评分的碳感知滚动窗口调度模型（WCRS），以 8 组权重策略生成方案并经 Pareto 非支配筛选；针对问题三，建立六区域独立的储能协同 MILP 模型并精确求解；针对问题四，构建任务调度层与能源—储能层双层协同框架，以边际供应栈实现算储电耦合。</w:t>
      </w:r>
    </w:p>
    <w:p>
      <w:pPr>
        <w:spacing w:after="0" w:line="240" w:lineRule="auto"/>
        <w:ind w:firstLine="480"/>
      </w:pPr>
      <w:r>
        <w:rPr>
          <w:rFonts w:ascii="Times New Roman" w:hAnsi="Times New Roman" w:eastAsia="宋体"/>
          <w:b w:val="0"/>
          <w:i w:val="0"/>
          <w:sz w:val="24"/>
        </w:rPr>
        <w:t>问题一梯度提升树在 2376–2399 小时窗口 MAPE 为 10.06%、预测区间覆盖率 91.7%，538 个任务全部按时调度；问题二 50 000 个任务全部调度且 0 违规，新能源利用率由 32.8% 提升至 68.8%、碳排放降至 160.7 tCO₂；问题三储能进一步降低运行成本 9.4%、峰值净购电降至 -568.4 MW；问题四 20 个场景全部调度，成本由 +18.0 亿元转为 -4.59 亿元、碳排放降为 0，新能源减少 20% 时系统失去零购电运行点。</w:t>
      </w:r>
    </w:p>
    <w:p>
      <w:pPr>
        <w:spacing w:after="0" w:line="240" w:lineRule="auto"/>
        <w:ind w:firstLine="480"/>
      </w:pPr>
      <w:r>
        <w:rPr>
          <w:rFonts w:ascii="Times New Roman" w:hAnsi="Times New Roman" w:eastAsia="宋体"/>
          <w:b w:val="0"/>
          <w:i w:val="0"/>
          <w:sz w:val="24"/>
        </w:rPr>
        <w:t>进一步对储能容量与充放电效率进行敏感性分析，验证了模型稳健性；模型可推广至多能互补园区与虚拟电厂等算电协同场景。</w:t>
      </w:r>
    </w:p>
    <w:p>
      <w:pPr>
        <w:spacing w:after="80"/>
      </w:pPr>
      <w:r>
        <w:rPr>
          <w:rFonts w:ascii="Times New Roman" w:hAnsi="Times New Roman" w:eastAsia="黑体"/>
          <w:b/>
          <w:i w:val="0"/>
          <w:sz w:val="28"/>
        </w:rPr>
        <w:t>关键词</w:t>
      </w:r>
      <w:r>
        <w:rPr>
          <w:rFonts w:ascii="Times New Roman" w:hAnsi="Times New Roman" w:eastAsia="宋体"/>
          <w:b w:val="0"/>
          <w:i w:val="0"/>
          <w:sz w:val="24"/>
        </w:rPr>
        <w:t>：算电协同；多目标优化；滚动时域调度；储能协同；双层协同优化</w:t>
      </w:r>
    </w:p>
    <w:p>
      <w:r>
        <w:br w:type="page"/>
      </w:r>
    </w:p>
    <w:p>
      <w:pPr>
        <w:spacing w:before="240" w:after="240"/>
        <w:jc w:val="center"/>
      </w:pPr>
      <w:r>
        <w:rPr>
          <w:rFonts w:ascii="Times New Roman" w:hAnsi="Times New Roman" w:eastAsia="黑体"/>
          <w:b/>
          <w:i w:val="0"/>
          <w:sz w:val="32"/>
        </w:rPr>
        <w:t>目 录</w:t>
      </w:r>
    </w:p>
    <w:p>
      <w:r>
        <w:fldChar w:fldCharType="begin"/>
        <w:instrText xml:space="preserve">TOC \o "1-3" \h \z \u</w:instrText>
        <w:fldChar w:fldCharType="separate"/>
        <w:t>（目录将自动生成：在 Word 中按 Ctrl+A 后按 F9 更新域）</w:t>
        <w:fldChar w:fldCharType="end"/>
      </w:r>
    </w:p>
    <w:p>
      <w:r>
        <w:br w:type="page"/>
      </w:r>
    </w:p>
    <w:p>
      <w:pPr>
        <w:pStyle w:val="Heading1"/>
      </w:pPr>
      <w:r>
        <w:t>一、问题重述</w:t>
      </w:r>
    </w:p>
    <w:p>
      <w:pPr>
        <w:pStyle w:val="Heading2"/>
      </w:pPr>
      <w:r>
        <w:t>1.1 问题背景</w:t>
      </w:r>
    </w:p>
    <w:p>
      <w:pPr>
        <w:spacing w:after="0" w:line="240" w:lineRule="auto"/>
        <w:ind w:firstLine="480"/>
      </w:pPr>
      <w:r>
        <w:rPr>
          <w:rFonts w:ascii="Times New Roman" w:hAnsi="Times New Roman" w:eastAsia="宋体"/>
          <w:b w:val="0"/>
          <w:i w:val="0"/>
          <w:sz w:val="24"/>
        </w:rPr>
        <w:t>随着人工智能算力规模持续扩张，数据中心对电力系统的影响不断增强，电力成本逐渐成为数据中心运营成本的核心组成部分。在此背景下，“算电协同”从政策倡导演变为产业发展的现实需求：2026 年政府工作报告首次将“算电协同”纳入国家级新基建工程，明确提出“实施超大规模智算集群、算电协同等新基建工程，加强全国一体化算力监测调度”。</w:t>
      </w:r>
    </w:p>
    <w:p>
      <w:pPr>
        <w:spacing w:after="0" w:line="240" w:lineRule="auto"/>
        <w:ind w:firstLine="480"/>
      </w:pPr>
      <w:r>
        <w:rPr>
          <w:rFonts w:ascii="Times New Roman" w:hAnsi="Times New Roman" w:eastAsia="宋体"/>
          <w:b w:val="0"/>
          <w:i w:val="0"/>
          <w:sz w:val="24"/>
        </w:rPr>
        <w:t>算电协同关注算力负荷与能源系统之间的实时耦合关系。西部地区具有丰富的风能、太阳能和水电资源，电价相对较低，具备建设绿色低碳数据中心的天然优势；东部地区则更接近用户侧，具有更低的网络时延与更高的实时业务需求。然而，算力跨区域迁移涉及计算任务、电力系统、新能源、储能系统和通信网络之间复杂耦合的多目标协同优化：将 AI 任务迁移至新能源资源丰富地区虽可降低电费成本与碳排放，但可能增加网络时延；实时推理任务对时延极为敏感，而训练任务更关注能源成本与算力规模；新能源出力具有波动性，需要储能系统协调。因此，如何实现 AI 工作负载、能源系统与通信网络的联合优化，成为当前面向算电协同的重要研究问题。</w:t>
      </w:r>
    </w:p>
    <w:p>
      <w:pPr>
        <w:pStyle w:val="Heading2"/>
      </w:pPr>
      <w:r>
        <w:t>1.2 问题提出</w:t>
      </w:r>
    </w:p>
    <w:p>
      <w:pPr>
        <w:spacing w:after="0" w:line="240" w:lineRule="auto"/>
        <w:ind w:firstLine="480"/>
      </w:pPr>
      <w:r>
        <w:rPr>
          <w:rFonts w:ascii="Times New Roman" w:hAnsi="Times New Roman" w:eastAsia="宋体"/>
          <w:b w:val="0"/>
          <w:i w:val="0"/>
          <w:sz w:val="24"/>
        </w:rPr>
        <w:t>本赛题设定六个典型区域：RegionA、RegionB 与 RegionC 代表东部高负荷区域，RegionD 代表西部算力中心，RegionE、RegionF 分别为光伏和风电资源富集区域。任务到达主时域为第 0–2399 小时，粒度为 1 小时；第 2400–2405 小时用于结清末端任务，第 2406 小时不产生新任务，仅用于电力与储能终端状态结算。任务包括实时推理、批量推理和 AI 训练三类：实时推理任务到达即开工；批量推理和 AI 训练任务允许延后，但均须在时点 2406 前完成。任务不可抢占、不可拆分或中途迁移。基于附件数据需解决以下四个问题：</w:t>
      </w:r>
    </w:p>
    <w:p>
      <w:pPr>
        <w:spacing w:after="40" w:line="240" w:lineRule="auto"/>
        <w:ind w:left="480"/>
      </w:pPr>
      <w:r>
        <w:rPr>
          <w:rFonts w:ascii="Times New Roman" w:hAnsi="Times New Roman" w:eastAsia="宋体"/>
          <w:b w:val="0"/>
          <w:i w:val="0"/>
          <w:sz w:val="24"/>
        </w:rPr>
        <w:t xml:space="preserve">• </w:t>
      </w:r>
      <w:r>
        <w:rPr>
          <w:rFonts w:ascii="Times New Roman" w:hAnsi="Times New Roman" w:eastAsia="宋体"/>
          <w:b/>
          <w:i w:val="0"/>
          <w:sz w:val="24"/>
        </w:rPr>
        <w:t>问题一：</w:t>
      </w:r>
      <w:r>
        <w:rPr>
          <w:rFonts w:ascii="Times New Roman" w:hAnsi="Times New Roman" w:eastAsia="宋体"/>
          <w:b w:val="0"/>
          <w:i w:val="0"/>
          <w:sz w:val="24"/>
        </w:rPr>
        <w:t>基于 AI 工作负载数据，对不同区域、不同类型任务的 GPU 需求进行统计分析，构建短期预测模型；建立基础算力调度模型，给出第 2376–2399 小时实际到达任务的调度方案，展示最后 24 小时调度甘特图与区域 GPU 利用率。</w:t>
      </w:r>
    </w:p>
    <w:p>
      <w:pPr>
        <w:spacing w:after="40" w:line="240" w:lineRule="auto"/>
        <w:ind w:left="480"/>
      </w:pPr>
      <w:r>
        <w:rPr>
          <w:rFonts w:ascii="Times New Roman" w:hAnsi="Times New Roman" w:eastAsia="宋体"/>
          <w:b w:val="0"/>
          <w:i w:val="0"/>
          <w:sz w:val="24"/>
        </w:rPr>
        <w:t xml:space="preserve">• </w:t>
      </w:r>
      <w:r>
        <w:rPr>
          <w:rFonts w:ascii="Times New Roman" w:hAnsi="Times New Roman" w:eastAsia="宋体"/>
          <w:b/>
          <w:i w:val="0"/>
          <w:sz w:val="24"/>
        </w:rPr>
        <w:t>问题二：</w:t>
      </w:r>
      <w:r>
        <w:rPr>
          <w:rFonts w:ascii="Times New Roman" w:hAnsi="Times New Roman" w:eastAsia="宋体"/>
          <w:b w:val="0"/>
          <w:i w:val="0"/>
          <w:sz w:val="24"/>
        </w:rPr>
        <w:t>以任务迁移与开工时段为决策变量，考虑区域电价、碳强度和可用新能源出力，以运行成本、碳排放、网络时延和新能源利用率为目标或评价指标，建立碳感知任务调度模型并给出调度策略。</w:t>
      </w:r>
    </w:p>
    <w:p>
      <w:pPr>
        <w:spacing w:after="40" w:line="240" w:lineRule="auto"/>
        <w:ind w:left="480"/>
      </w:pPr>
      <w:r>
        <w:rPr>
          <w:rFonts w:ascii="Times New Roman" w:hAnsi="Times New Roman" w:eastAsia="宋体"/>
          <w:b w:val="0"/>
          <w:i w:val="0"/>
          <w:sz w:val="24"/>
        </w:rPr>
        <w:t xml:space="preserve">• </w:t>
      </w:r>
      <w:r>
        <w:rPr>
          <w:rFonts w:ascii="Times New Roman" w:hAnsi="Times New Roman" w:eastAsia="宋体"/>
          <w:b/>
          <w:i w:val="0"/>
          <w:sz w:val="24"/>
        </w:rPr>
        <w:t>问题三：</w:t>
      </w:r>
      <w:r>
        <w:rPr>
          <w:rFonts w:ascii="Times New Roman" w:hAnsi="Times New Roman" w:eastAsia="宋体"/>
          <w:b w:val="0"/>
          <w:i w:val="0"/>
          <w:sz w:val="24"/>
        </w:rPr>
        <w:t>在给定任务调度和逐时负荷的基础上，建立储能协同优化模型，设计储能充放电策略，分析储能系统对运行成本、碳排放、区域峰值净购电功率和负荷波动程度的影响。</w:t>
      </w:r>
    </w:p>
    <w:p>
      <w:pPr>
        <w:spacing w:after="40" w:line="240" w:lineRule="auto"/>
        <w:ind w:left="480"/>
      </w:pPr>
      <w:r>
        <w:rPr>
          <w:rFonts w:ascii="Times New Roman" w:hAnsi="Times New Roman" w:eastAsia="宋体"/>
          <w:b w:val="0"/>
          <w:i w:val="0"/>
          <w:sz w:val="24"/>
        </w:rPr>
        <w:t xml:space="preserve">• </w:t>
      </w:r>
      <w:r>
        <w:rPr>
          <w:rFonts w:ascii="Times New Roman" w:hAnsi="Times New Roman" w:eastAsia="宋体"/>
          <w:b/>
          <w:i w:val="0"/>
          <w:sz w:val="24"/>
        </w:rPr>
        <w:t>问题四：</w:t>
      </w:r>
      <w:r>
        <w:rPr>
          <w:rFonts w:ascii="Times New Roman" w:hAnsi="Times New Roman" w:eastAsia="宋体"/>
          <w:b w:val="0"/>
          <w:i w:val="0"/>
          <w:sz w:val="24"/>
        </w:rPr>
        <w:t>建立多区域算—储—电协同优化模型，统一考虑任务迁移、电价、碳排放、可用新能源、储能、区域购售电边界、网络时延及任务异构性，并比较不同碳约束、电价机制和新能源波动场景下的策略变化。</w:t>
      </w:r>
    </w:p>
    <w:p>
      <w:pPr>
        <w:pStyle w:val="Heading1"/>
      </w:pPr>
      <w:r>
        <w:t>二、问题分析</w:t>
      </w:r>
    </w:p>
    <w:p>
      <w:pPr>
        <w:pStyle w:val="Heading2"/>
      </w:pPr>
      <w:r>
        <w:t>2.1 总体思路</w:t>
      </w:r>
    </w:p>
    <w:p>
      <w:pPr>
        <w:spacing w:after="0" w:line="240" w:lineRule="auto"/>
        <w:ind w:firstLine="480"/>
      </w:pPr>
      <w:r>
        <w:rPr>
          <w:rFonts w:ascii="Times New Roman" w:hAnsi="Times New Roman" w:eastAsia="宋体"/>
          <w:b w:val="0"/>
          <w:i w:val="0"/>
          <w:sz w:val="24"/>
        </w:rPr>
        <w:t>本题是一个典型的“算力调度—电力系统—储能系统”耦合的多目标优化问题，四个问题层层递进：问题一解决算力需求的统计与预测并给出基础调度；问题二在问题一基础上引入跨区域迁移与碳感知，升级为多目标任务调度；问题三固定调度结果，单独研究储能协同；问题四将算力、储能、电力统一建模，进行全局协同优化与场景对比。整体技术路线为“数据探索→需求预测→基础调度→碳感知多目标调度→储能协同→算—储—电全局协同”。</w:t>
      </w:r>
    </w:p>
    <w:p>
      <w:pPr>
        <w:pStyle w:val="Heading2"/>
      </w:pPr>
      <w:r>
        <w:t>2.2 数据概览</w:t>
      </w:r>
    </w:p>
    <w:p>
      <w:pPr>
        <w:spacing w:after="0" w:line="240" w:lineRule="auto"/>
        <w:ind w:firstLine="480"/>
      </w:pPr>
      <w:r>
        <w:rPr>
          <w:rFonts w:ascii="Times New Roman" w:hAnsi="Times New Roman" w:eastAsia="宋体"/>
          <w:b w:val="0"/>
          <w:i w:val="0"/>
          <w:sz w:val="24"/>
        </w:rPr>
        <w:t>附件共提供 50 000 个任务、6 个区域与 2 406 个小时的完整数据。任务类型分布较为均衡：实时推理 16 724 个（33.4%）、批量推理 16 717 个（33.4%）、AI 训练 16 559 个（33.1%）；任务来源以东三区与西部算力中心为主。GPU 需求量介于 1–127 等效 GPU、均值 29.5，任务时长介于 10–399 分钟、均值 204.2 分钟。区域算力资源见表 1：RegionD 为西部算力中心，可调度 GPU 容量达 1 472，明显高于东三区；RegionE/F 依托新能源富集条件具备较高的低碳调度潜力。</w:t>
      </w:r>
    </w:p>
    <w:p>
      <w:pPr>
        <w:spacing w:before="160" w:after="60"/>
        <w:jc w:val="center"/>
      </w:pPr>
      <w:r>
        <w:rPr>
          <w:rFonts w:ascii="Times New Roman" w:hAnsi="Times New Roman" w:eastAsia="宋体"/>
          <w:b/>
          <w:i w:val="0"/>
          <w:sz w:val="21"/>
        </w:rPr>
        <w:t>表 1  六区域算力资源概览</w:t>
      </w:r>
    </w:p>
    <w:tbl>
      <w:tblPr>
        <w:tblW w:type="dxa" w:w="9072"/>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firstColumn="1" w:firstRow="1" w:lastColumn="0" w:lastRow="0" w:noHBand="0" w:noVBand="1" w:val="04A0"/>
        <w:tblInd w:w="120" w:type="dxa"/>
        <w:tblCellMar>
          <w:top w:w="40" w:type="dxa"/>
          <w:start w:w="80" w:type="dxa"/>
          <w:bottom w:w="40" w:type="dxa"/>
          <w:end w:w="80" w:type="dxa"/>
        </w:tblCellMar>
      </w:tblPr>
      <w:tblGrid>
        <w:gridCol w:w="1400"/>
        <w:gridCol w:w="2200"/>
        <w:gridCol w:w="1200"/>
        <w:gridCol w:w="1500"/>
        <w:gridCol w:w="900"/>
        <w:gridCol w:w="1872"/>
      </w:tblGrid>
      <w:tr>
        <w:trPr>
          <w:tblHeader/>
        </w:trPr>
        <w:tc>
          <w:tcPr>
            <w:tcW w:type="dxa" w:w="14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区域</w:t>
            </w:r>
          </w:p>
        </w:tc>
        <w:tc>
          <w:tcPr>
            <w:tcW w:type="dxa" w:w="22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定位</w:t>
            </w:r>
          </w:p>
        </w:tc>
        <w:tc>
          <w:tcPr>
            <w:tcW w:type="dxa" w:w="12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可调度GPU</w:t>
            </w:r>
          </w:p>
        </w:tc>
        <w:tc>
          <w:tcPr>
            <w:tcW w:type="dxa" w:w="15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IT功率上限（MW）</w:t>
            </w:r>
          </w:p>
        </w:tc>
        <w:tc>
          <w:tcPr>
            <w:tcW w:type="dxa" w:w="9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PUE</w:t>
            </w:r>
          </w:p>
        </w:tc>
        <w:tc>
          <w:tcPr>
            <w:tcW w:type="dxa" w:w="1872"/>
            <w:vAlign w:val="center"/>
            <w:tcBorders>
              <w:bottom w:val="single" w:sz="6" w:space="0" w:color="000000"/>
            </w:tcBorders>
          </w:tcPr>
          <w:p>
            <w:pPr>
              <w:spacing w:before="20" w:after="20" w:line="240" w:lineRule="auto"/>
              <w:jc w:val="center"/>
            </w:pPr>
            <w:r>
              <w:rPr>
                <w:rFonts w:ascii="Times New Roman" w:hAnsi="Times New Roman" w:eastAsia="宋体"/>
                <w:b/>
                <w:i w:val="0"/>
                <w:sz w:val="18"/>
              </w:rPr>
              <w:t>设施功率上限（MW）</w:t>
            </w:r>
          </w:p>
        </w:tc>
      </w:tr>
      <w:tr>
        <w:tc>
          <w:tcPr>
            <w:tcW w:type="dxa" w:w="1400"/>
            <w:vAlign w:val="center"/>
          </w:tcPr>
          <w:p>
            <w:pPr>
              <w:spacing w:before="20" w:after="20" w:line="240" w:lineRule="auto"/>
              <w:jc w:val="left"/>
            </w:pPr>
            <w:r>
              <w:rPr>
                <w:rFonts w:ascii="Times New Roman" w:hAnsi="Times New Roman" w:eastAsia="宋体"/>
                <w:b w:val="0"/>
                <w:i w:val="0"/>
                <w:sz w:val="18"/>
              </w:rPr>
              <w:t>RegionA</w:t>
            </w:r>
          </w:p>
        </w:tc>
        <w:tc>
          <w:tcPr>
            <w:tcW w:type="dxa" w:w="2200"/>
            <w:vAlign w:val="center"/>
          </w:tcPr>
          <w:p>
            <w:pPr>
              <w:spacing w:before="20" w:after="20" w:line="240" w:lineRule="auto"/>
              <w:jc w:val="center"/>
            </w:pPr>
            <w:r>
              <w:rPr>
                <w:rFonts w:ascii="Times New Roman" w:hAnsi="Times New Roman" w:eastAsia="宋体"/>
                <w:b w:val="0"/>
                <w:i w:val="0"/>
                <w:sz w:val="18"/>
              </w:rPr>
              <w:t>东部实时业务中心</w:t>
            </w:r>
          </w:p>
        </w:tc>
        <w:tc>
          <w:tcPr>
            <w:tcW w:type="dxa" w:w="1200"/>
            <w:vAlign w:val="center"/>
          </w:tcPr>
          <w:p>
            <w:pPr>
              <w:spacing w:before="20" w:after="20" w:line="240" w:lineRule="auto"/>
              <w:jc w:val="center"/>
            </w:pPr>
            <w:r>
              <w:rPr>
                <w:rFonts w:ascii="Times New Roman" w:hAnsi="Times New Roman" w:eastAsia="宋体"/>
                <w:b w:val="0"/>
                <w:i w:val="0"/>
                <w:sz w:val="18"/>
              </w:rPr>
              <w:t>630</w:t>
            </w:r>
          </w:p>
        </w:tc>
        <w:tc>
          <w:tcPr>
            <w:tcW w:type="dxa" w:w="1500"/>
            <w:vAlign w:val="center"/>
          </w:tcPr>
          <w:p>
            <w:pPr>
              <w:spacing w:before="20" w:after="20" w:line="240" w:lineRule="auto"/>
              <w:jc w:val="center"/>
            </w:pPr>
            <w:r>
              <w:rPr>
                <w:rFonts w:ascii="Times New Roman" w:hAnsi="Times New Roman" w:eastAsia="宋体"/>
                <w:b w:val="0"/>
                <w:i w:val="0"/>
                <w:sz w:val="18"/>
              </w:rPr>
              <w:t>420</w:t>
            </w:r>
          </w:p>
        </w:tc>
        <w:tc>
          <w:tcPr>
            <w:tcW w:type="dxa" w:w="900"/>
            <w:vAlign w:val="center"/>
          </w:tcPr>
          <w:p>
            <w:pPr>
              <w:spacing w:before="20" w:after="20" w:line="240" w:lineRule="auto"/>
              <w:jc w:val="center"/>
            </w:pPr>
            <w:r>
              <w:rPr>
                <w:rFonts w:ascii="Times New Roman" w:hAnsi="Times New Roman" w:eastAsia="宋体"/>
                <w:b w:val="0"/>
                <w:i w:val="0"/>
                <w:sz w:val="18"/>
              </w:rPr>
              <w:t>1.35</w:t>
            </w:r>
          </w:p>
        </w:tc>
        <w:tc>
          <w:tcPr>
            <w:tcW w:type="dxa" w:w="1872"/>
            <w:vAlign w:val="center"/>
          </w:tcPr>
          <w:p>
            <w:pPr>
              <w:spacing w:before="20" w:after="20" w:line="240" w:lineRule="auto"/>
              <w:jc w:val="center"/>
            </w:pPr>
            <w:r>
              <w:rPr>
                <w:rFonts w:ascii="Times New Roman" w:hAnsi="Times New Roman" w:eastAsia="宋体"/>
                <w:b w:val="0"/>
                <w:i w:val="0"/>
                <w:sz w:val="18"/>
              </w:rPr>
              <w:t>567.0</w:t>
            </w:r>
          </w:p>
        </w:tc>
      </w:tr>
      <w:tr>
        <w:tc>
          <w:tcPr>
            <w:tcW w:type="dxa" w:w="1400"/>
            <w:vAlign w:val="center"/>
          </w:tcPr>
          <w:p>
            <w:pPr>
              <w:spacing w:before="20" w:after="20" w:line="240" w:lineRule="auto"/>
              <w:jc w:val="left"/>
            </w:pPr>
            <w:r>
              <w:rPr>
                <w:rFonts w:ascii="Times New Roman" w:hAnsi="Times New Roman" w:eastAsia="宋体"/>
                <w:b w:val="0"/>
                <w:i w:val="0"/>
                <w:sz w:val="18"/>
              </w:rPr>
              <w:t>RegionB</w:t>
            </w:r>
          </w:p>
        </w:tc>
        <w:tc>
          <w:tcPr>
            <w:tcW w:type="dxa" w:w="2200"/>
            <w:vAlign w:val="center"/>
          </w:tcPr>
          <w:p>
            <w:pPr>
              <w:spacing w:before="20" w:after="20" w:line="240" w:lineRule="auto"/>
              <w:jc w:val="center"/>
            </w:pPr>
            <w:r>
              <w:rPr>
                <w:rFonts w:ascii="Times New Roman" w:hAnsi="Times New Roman" w:eastAsia="宋体"/>
                <w:b w:val="0"/>
                <w:i w:val="0"/>
                <w:sz w:val="18"/>
              </w:rPr>
              <w:t>东部综合业务中心</w:t>
            </w:r>
          </w:p>
        </w:tc>
        <w:tc>
          <w:tcPr>
            <w:tcW w:type="dxa" w:w="1200"/>
            <w:vAlign w:val="center"/>
          </w:tcPr>
          <w:p>
            <w:pPr>
              <w:spacing w:before="20" w:after="20" w:line="240" w:lineRule="auto"/>
              <w:jc w:val="center"/>
            </w:pPr>
            <w:r>
              <w:rPr>
                <w:rFonts w:ascii="Times New Roman" w:hAnsi="Times New Roman" w:eastAsia="宋体"/>
                <w:b w:val="0"/>
                <w:i w:val="0"/>
                <w:sz w:val="18"/>
              </w:rPr>
              <w:t>585</w:t>
            </w:r>
          </w:p>
        </w:tc>
        <w:tc>
          <w:tcPr>
            <w:tcW w:type="dxa" w:w="1500"/>
            <w:vAlign w:val="center"/>
          </w:tcPr>
          <w:p>
            <w:pPr>
              <w:spacing w:before="20" w:after="20" w:line="240" w:lineRule="auto"/>
              <w:jc w:val="center"/>
            </w:pPr>
            <w:r>
              <w:rPr>
                <w:rFonts w:ascii="Times New Roman" w:hAnsi="Times New Roman" w:eastAsia="宋体"/>
                <w:b w:val="0"/>
                <w:i w:val="0"/>
                <w:sz w:val="18"/>
              </w:rPr>
              <w:t>410</w:t>
            </w:r>
          </w:p>
        </w:tc>
        <w:tc>
          <w:tcPr>
            <w:tcW w:type="dxa" w:w="900"/>
            <w:vAlign w:val="center"/>
          </w:tcPr>
          <w:p>
            <w:pPr>
              <w:spacing w:before="20" w:after="20" w:line="240" w:lineRule="auto"/>
              <w:jc w:val="center"/>
            </w:pPr>
            <w:r>
              <w:rPr>
                <w:rFonts w:ascii="Times New Roman" w:hAnsi="Times New Roman" w:eastAsia="宋体"/>
                <w:b w:val="0"/>
                <w:i w:val="0"/>
                <w:sz w:val="18"/>
              </w:rPr>
              <w:t>1.35</w:t>
            </w:r>
          </w:p>
        </w:tc>
        <w:tc>
          <w:tcPr>
            <w:tcW w:type="dxa" w:w="1872"/>
            <w:vAlign w:val="center"/>
          </w:tcPr>
          <w:p>
            <w:pPr>
              <w:spacing w:before="20" w:after="20" w:line="240" w:lineRule="auto"/>
              <w:jc w:val="center"/>
            </w:pPr>
            <w:r>
              <w:rPr>
                <w:rFonts w:ascii="Times New Roman" w:hAnsi="Times New Roman" w:eastAsia="宋体"/>
                <w:b w:val="0"/>
                <w:i w:val="0"/>
                <w:sz w:val="18"/>
              </w:rPr>
              <w:t>553.5</w:t>
            </w:r>
          </w:p>
        </w:tc>
      </w:tr>
      <w:tr>
        <w:tc>
          <w:tcPr>
            <w:tcW w:type="dxa" w:w="1400"/>
            <w:vAlign w:val="center"/>
          </w:tcPr>
          <w:p>
            <w:pPr>
              <w:spacing w:before="20" w:after="20" w:line="240" w:lineRule="auto"/>
              <w:jc w:val="left"/>
            </w:pPr>
            <w:r>
              <w:rPr>
                <w:rFonts w:ascii="Times New Roman" w:hAnsi="Times New Roman" w:eastAsia="宋体"/>
                <w:b w:val="0"/>
                <w:i w:val="0"/>
                <w:sz w:val="18"/>
              </w:rPr>
              <w:t>RegionC</w:t>
            </w:r>
          </w:p>
        </w:tc>
        <w:tc>
          <w:tcPr>
            <w:tcW w:type="dxa" w:w="2200"/>
            <w:vAlign w:val="center"/>
          </w:tcPr>
          <w:p>
            <w:pPr>
              <w:spacing w:before="20" w:after="20" w:line="240" w:lineRule="auto"/>
              <w:jc w:val="center"/>
            </w:pPr>
            <w:r>
              <w:rPr>
                <w:rFonts w:ascii="Times New Roman" w:hAnsi="Times New Roman" w:eastAsia="宋体"/>
                <w:b w:val="0"/>
                <w:i w:val="0"/>
                <w:sz w:val="18"/>
              </w:rPr>
              <w:t>东部边缘算力节点</w:t>
            </w:r>
          </w:p>
        </w:tc>
        <w:tc>
          <w:tcPr>
            <w:tcW w:type="dxa" w:w="1200"/>
            <w:vAlign w:val="center"/>
          </w:tcPr>
          <w:p>
            <w:pPr>
              <w:spacing w:before="20" w:after="20" w:line="240" w:lineRule="auto"/>
              <w:jc w:val="center"/>
            </w:pPr>
            <w:r>
              <w:rPr>
                <w:rFonts w:ascii="Times New Roman" w:hAnsi="Times New Roman" w:eastAsia="宋体"/>
                <w:b w:val="0"/>
                <w:i w:val="0"/>
                <w:sz w:val="18"/>
              </w:rPr>
              <w:t>540</w:t>
            </w:r>
          </w:p>
        </w:tc>
        <w:tc>
          <w:tcPr>
            <w:tcW w:type="dxa" w:w="1500"/>
            <w:vAlign w:val="center"/>
          </w:tcPr>
          <w:p>
            <w:pPr>
              <w:spacing w:before="20" w:after="20" w:line="240" w:lineRule="auto"/>
              <w:jc w:val="center"/>
            </w:pPr>
            <w:r>
              <w:rPr>
                <w:rFonts w:ascii="Times New Roman" w:hAnsi="Times New Roman" w:eastAsia="宋体"/>
                <w:b w:val="0"/>
                <w:i w:val="0"/>
                <w:sz w:val="18"/>
              </w:rPr>
              <w:t>405</w:t>
            </w:r>
          </w:p>
        </w:tc>
        <w:tc>
          <w:tcPr>
            <w:tcW w:type="dxa" w:w="900"/>
            <w:vAlign w:val="center"/>
          </w:tcPr>
          <w:p>
            <w:pPr>
              <w:spacing w:before="20" w:after="20" w:line="240" w:lineRule="auto"/>
              <w:jc w:val="center"/>
            </w:pPr>
            <w:r>
              <w:rPr>
                <w:rFonts w:ascii="Times New Roman" w:hAnsi="Times New Roman" w:eastAsia="宋体"/>
                <w:b w:val="0"/>
                <w:i w:val="0"/>
                <w:sz w:val="18"/>
              </w:rPr>
              <w:t>1.38</w:t>
            </w:r>
          </w:p>
        </w:tc>
        <w:tc>
          <w:tcPr>
            <w:tcW w:type="dxa" w:w="1872"/>
            <w:vAlign w:val="center"/>
          </w:tcPr>
          <w:p>
            <w:pPr>
              <w:spacing w:before="20" w:after="20" w:line="240" w:lineRule="auto"/>
              <w:jc w:val="center"/>
            </w:pPr>
            <w:r>
              <w:rPr>
                <w:rFonts w:ascii="Times New Roman" w:hAnsi="Times New Roman" w:eastAsia="宋体"/>
                <w:b w:val="0"/>
                <w:i w:val="0"/>
                <w:sz w:val="18"/>
              </w:rPr>
              <w:t>558.9</w:t>
            </w:r>
          </w:p>
        </w:tc>
      </w:tr>
      <w:tr>
        <w:tc>
          <w:tcPr>
            <w:tcW w:type="dxa" w:w="1400"/>
            <w:vAlign w:val="center"/>
          </w:tcPr>
          <w:p>
            <w:pPr>
              <w:spacing w:before="20" w:after="20" w:line="240" w:lineRule="auto"/>
              <w:jc w:val="left"/>
            </w:pPr>
            <w:r>
              <w:rPr>
                <w:rFonts w:ascii="Times New Roman" w:hAnsi="Times New Roman" w:eastAsia="宋体"/>
                <w:b w:val="0"/>
                <w:i w:val="0"/>
                <w:sz w:val="18"/>
              </w:rPr>
              <w:t>RegionD</w:t>
            </w:r>
          </w:p>
        </w:tc>
        <w:tc>
          <w:tcPr>
            <w:tcW w:type="dxa" w:w="2200"/>
            <w:vAlign w:val="center"/>
          </w:tcPr>
          <w:p>
            <w:pPr>
              <w:spacing w:before="20" w:after="20" w:line="240" w:lineRule="auto"/>
              <w:jc w:val="center"/>
            </w:pPr>
            <w:r>
              <w:rPr>
                <w:rFonts w:ascii="Times New Roman" w:hAnsi="Times New Roman" w:eastAsia="宋体"/>
                <w:b w:val="0"/>
                <w:i w:val="0"/>
                <w:sz w:val="18"/>
              </w:rPr>
              <w:t>西部算力中心</w:t>
            </w:r>
          </w:p>
        </w:tc>
        <w:tc>
          <w:tcPr>
            <w:tcW w:type="dxa" w:w="1200"/>
            <w:vAlign w:val="center"/>
          </w:tcPr>
          <w:p>
            <w:pPr>
              <w:spacing w:before="20" w:after="20" w:line="240" w:lineRule="auto"/>
              <w:jc w:val="center"/>
            </w:pPr>
            <w:r>
              <w:rPr>
                <w:rFonts w:ascii="Times New Roman" w:hAnsi="Times New Roman" w:eastAsia="宋体"/>
                <w:b w:val="0"/>
                <w:i w:val="0"/>
                <w:sz w:val="18"/>
              </w:rPr>
              <w:t>1 472</w:t>
            </w:r>
          </w:p>
        </w:tc>
        <w:tc>
          <w:tcPr>
            <w:tcW w:type="dxa" w:w="1500"/>
            <w:vAlign w:val="center"/>
          </w:tcPr>
          <w:p>
            <w:pPr>
              <w:spacing w:before="20" w:after="20" w:line="240" w:lineRule="auto"/>
              <w:jc w:val="center"/>
            </w:pPr>
            <w:r>
              <w:rPr>
                <w:rFonts w:ascii="Times New Roman" w:hAnsi="Times New Roman" w:eastAsia="宋体"/>
                <w:b w:val="0"/>
                <w:i w:val="0"/>
                <w:sz w:val="18"/>
              </w:rPr>
              <w:t>720</w:t>
            </w:r>
          </w:p>
        </w:tc>
        <w:tc>
          <w:tcPr>
            <w:tcW w:type="dxa" w:w="900"/>
            <w:vAlign w:val="center"/>
          </w:tcPr>
          <w:p>
            <w:pPr>
              <w:spacing w:before="20" w:after="20" w:line="240" w:lineRule="auto"/>
              <w:jc w:val="center"/>
            </w:pPr>
            <w:r>
              <w:rPr>
                <w:rFonts w:ascii="Times New Roman" w:hAnsi="Times New Roman" w:eastAsia="宋体"/>
                <w:b w:val="0"/>
                <w:i w:val="0"/>
                <w:sz w:val="18"/>
              </w:rPr>
              <w:t>1.28</w:t>
            </w:r>
          </w:p>
        </w:tc>
        <w:tc>
          <w:tcPr>
            <w:tcW w:type="dxa" w:w="1872"/>
            <w:vAlign w:val="center"/>
          </w:tcPr>
          <w:p>
            <w:pPr>
              <w:spacing w:before="20" w:after="20" w:line="240" w:lineRule="auto"/>
              <w:jc w:val="center"/>
            </w:pPr>
            <w:r>
              <w:rPr>
                <w:rFonts w:ascii="Times New Roman" w:hAnsi="Times New Roman" w:eastAsia="宋体"/>
                <w:b w:val="0"/>
                <w:i w:val="0"/>
                <w:sz w:val="18"/>
              </w:rPr>
              <w:t>921.6</w:t>
            </w:r>
          </w:p>
        </w:tc>
      </w:tr>
      <w:tr>
        <w:tc>
          <w:tcPr>
            <w:tcW w:type="dxa" w:w="1400"/>
            <w:vAlign w:val="center"/>
          </w:tcPr>
          <w:p>
            <w:pPr>
              <w:spacing w:before="20" w:after="20" w:line="240" w:lineRule="auto"/>
              <w:jc w:val="left"/>
            </w:pPr>
            <w:r>
              <w:rPr>
                <w:rFonts w:ascii="Times New Roman" w:hAnsi="Times New Roman" w:eastAsia="宋体"/>
                <w:b w:val="0"/>
                <w:i w:val="0"/>
                <w:sz w:val="18"/>
              </w:rPr>
              <w:t>RegionE</w:t>
            </w:r>
          </w:p>
        </w:tc>
        <w:tc>
          <w:tcPr>
            <w:tcW w:type="dxa" w:w="2200"/>
            <w:vAlign w:val="center"/>
          </w:tcPr>
          <w:p>
            <w:pPr>
              <w:spacing w:before="20" w:after="20" w:line="240" w:lineRule="auto"/>
              <w:jc w:val="center"/>
            </w:pPr>
            <w:r>
              <w:rPr>
                <w:rFonts w:ascii="Times New Roman" w:hAnsi="Times New Roman" w:eastAsia="宋体"/>
                <w:b w:val="0"/>
                <w:i w:val="0"/>
                <w:sz w:val="18"/>
              </w:rPr>
              <w:t>光伏资源富集区</w:t>
            </w:r>
          </w:p>
        </w:tc>
        <w:tc>
          <w:tcPr>
            <w:tcW w:type="dxa" w:w="1200"/>
            <w:vAlign w:val="center"/>
          </w:tcPr>
          <w:p>
            <w:pPr>
              <w:spacing w:before="20" w:after="20" w:line="240" w:lineRule="auto"/>
              <w:jc w:val="center"/>
            </w:pPr>
            <w:r>
              <w:rPr>
                <w:rFonts w:ascii="Times New Roman" w:hAnsi="Times New Roman" w:eastAsia="宋体"/>
                <w:b w:val="0"/>
                <w:i w:val="0"/>
                <w:sz w:val="18"/>
              </w:rPr>
              <w:t>1 012</w:t>
            </w:r>
          </w:p>
        </w:tc>
        <w:tc>
          <w:tcPr>
            <w:tcW w:type="dxa" w:w="1500"/>
            <w:vAlign w:val="center"/>
          </w:tcPr>
          <w:p>
            <w:pPr>
              <w:spacing w:before="20" w:after="20" w:line="240" w:lineRule="auto"/>
              <w:jc w:val="center"/>
            </w:pPr>
            <w:r>
              <w:rPr>
                <w:rFonts w:ascii="Times New Roman" w:hAnsi="Times New Roman" w:eastAsia="宋体"/>
                <w:b w:val="0"/>
                <w:i w:val="0"/>
                <w:sz w:val="18"/>
              </w:rPr>
              <w:t>560</w:t>
            </w:r>
          </w:p>
        </w:tc>
        <w:tc>
          <w:tcPr>
            <w:tcW w:type="dxa" w:w="900"/>
            <w:vAlign w:val="center"/>
          </w:tcPr>
          <w:p>
            <w:pPr>
              <w:spacing w:before="20" w:after="20" w:line="240" w:lineRule="auto"/>
              <w:jc w:val="center"/>
            </w:pPr>
            <w:r>
              <w:rPr>
                <w:rFonts w:ascii="Times New Roman" w:hAnsi="Times New Roman" w:eastAsia="宋体"/>
                <w:b w:val="0"/>
                <w:i w:val="0"/>
                <w:sz w:val="18"/>
              </w:rPr>
              <w:t>1.25</w:t>
            </w:r>
          </w:p>
        </w:tc>
        <w:tc>
          <w:tcPr>
            <w:tcW w:type="dxa" w:w="1872"/>
            <w:vAlign w:val="center"/>
          </w:tcPr>
          <w:p>
            <w:pPr>
              <w:spacing w:before="20" w:after="20" w:line="240" w:lineRule="auto"/>
              <w:jc w:val="center"/>
            </w:pPr>
            <w:r>
              <w:rPr>
                <w:rFonts w:ascii="Times New Roman" w:hAnsi="Times New Roman" w:eastAsia="宋体"/>
                <w:b w:val="0"/>
                <w:i w:val="0"/>
                <w:sz w:val="18"/>
              </w:rPr>
              <w:t>700.0</w:t>
            </w:r>
          </w:p>
        </w:tc>
      </w:tr>
      <w:tr>
        <w:tc>
          <w:tcPr>
            <w:tcW w:type="dxa" w:w="1400"/>
            <w:vAlign w:val="center"/>
          </w:tcPr>
          <w:p>
            <w:pPr>
              <w:spacing w:before="20" w:after="20" w:line="240" w:lineRule="auto"/>
              <w:jc w:val="left"/>
            </w:pPr>
            <w:r>
              <w:rPr>
                <w:rFonts w:ascii="Times New Roman" w:hAnsi="Times New Roman" w:eastAsia="宋体"/>
                <w:b w:val="0"/>
                <w:i w:val="0"/>
                <w:sz w:val="18"/>
              </w:rPr>
              <w:t>RegionF</w:t>
            </w:r>
          </w:p>
        </w:tc>
        <w:tc>
          <w:tcPr>
            <w:tcW w:type="dxa" w:w="2200"/>
            <w:vAlign w:val="center"/>
          </w:tcPr>
          <w:p>
            <w:pPr>
              <w:spacing w:before="20" w:after="20" w:line="240" w:lineRule="auto"/>
              <w:jc w:val="center"/>
            </w:pPr>
            <w:r>
              <w:rPr>
                <w:rFonts w:ascii="Times New Roman" w:hAnsi="Times New Roman" w:eastAsia="宋体"/>
                <w:b w:val="0"/>
                <w:i w:val="0"/>
                <w:sz w:val="18"/>
              </w:rPr>
              <w:t>风电资源富集区</w:t>
            </w:r>
          </w:p>
        </w:tc>
        <w:tc>
          <w:tcPr>
            <w:tcW w:type="dxa" w:w="1200"/>
            <w:vAlign w:val="center"/>
          </w:tcPr>
          <w:p>
            <w:pPr>
              <w:spacing w:before="20" w:after="20" w:line="240" w:lineRule="auto"/>
              <w:jc w:val="center"/>
            </w:pPr>
            <w:r>
              <w:rPr>
                <w:rFonts w:ascii="Times New Roman" w:hAnsi="Times New Roman" w:eastAsia="宋体"/>
                <w:b w:val="0"/>
                <w:i w:val="0"/>
                <w:sz w:val="18"/>
              </w:rPr>
              <w:t>966</w:t>
            </w:r>
          </w:p>
        </w:tc>
        <w:tc>
          <w:tcPr>
            <w:tcW w:type="dxa" w:w="1500"/>
            <w:vAlign w:val="center"/>
          </w:tcPr>
          <w:p>
            <w:pPr>
              <w:spacing w:before="20" w:after="20" w:line="240" w:lineRule="auto"/>
              <w:jc w:val="center"/>
            </w:pPr>
            <w:r>
              <w:rPr>
                <w:rFonts w:ascii="Times New Roman" w:hAnsi="Times New Roman" w:eastAsia="宋体"/>
                <w:b w:val="0"/>
                <w:i w:val="0"/>
                <w:sz w:val="18"/>
              </w:rPr>
              <w:t>540</w:t>
            </w:r>
          </w:p>
        </w:tc>
        <w:tc>
          <w:tcPr>
            <w:tcW w:type="dxa" w:w="900"/>
            <w:vAlign w:val="center"/>
          </w:tcPr>
          <w:p>
            <w:pPr>
              <w:spacing w:before="20" w:after="20" w:line="240" w:lineRule="auto"/>
              <w:jc w:val="center"/>
            </w:pPr>
            <w:r>
              <w:rPr>
                <w:rFonts w:ascii="Times New Roman" w:hAnsi="Times New Roman" w:eastAsia="宋体"/>
                <w:b w:val="0"/>
                <w:i w:val="0"/>
                <w:sz w:val="18"/>
              </w:rPr>
              <w:t>1.27</w:t>
            </w:r>
          </w:p>
        </w:tc>
        <w:tc>
          <w:tcPr>
            <w:tcW w:type="dxa" w:w="1872"/>
            <w:vAlign w:val="center"/>
          </w:tcPr>
          <w:p>
            <w:pPr>
              <w:spacing w:before="20" w:after="20" w:line="240" w:lineRule="auto"/>
              <w:jc w:val="center"/>
            </w:pPr>
            <w:r>
              <w:rPr>
                <w:rFonts w:ascii="Times New Roman" w:hAnsi="Times New Roman" w:eastAsia="宋体"/>
                <w:b w:val="0"/>
                <w:i w:val="0"/>
                <w:sz w:val="18"/>
              </w:rPr>
              <w:t>685.8</w:t>
            </w:r>
          </w:p>
        </w:tc>
      </w:tr>
    </w:tbl>
    <w:p>
      <w:pPr>
        <w:spacing w:after="0" w:line="240" w:lineRule="auto"/>
        <w:ind w:firstLine="480"/>
      </w:pPr>
      <w:r>
        <w:rPr>
          <w:rFonts w:ascii="Times New Roman" w:hAnsi="Times New Roman" w:eastAsia="宋体"/>
          <w:b w:val="0"/>
          <w:i w:val="0"/>
          <w:sz w:val="24"/>
        </w:rPr>
        <w:t>从任务与区域的耦合关系看，东三区（A/B/C）主要承接实时推理与批量推理任务，RegionA 的可调度 GPU 容量最高（630）且靠近用户侧；RegionD 作为西部算力中心拥有最大的算力容量（1 472），是 AI 训练与可延迟批量任务的主要迁移目的地；RegionE/F 依托光伏与风电资源，是低碳调度与新能源消纳的核心区域。这种“东部重时延、西部重算力与绿电”的区域格局，决定了跨区域迁移是兼顾成本、碳排与时延的关键手段，也构成本文后续多目标调度的基本前提。</w:t>
      </w:r>
    </w:p>
    <w:p>
      <w:pPr>
        <w:spacing w:after="0" w:line="240" w:lineRule="auto"/>
        <w:ind w:firstLine="480"/>
      </w:pPr>
      <w:r>
        <w:rPr>
          <w:rFonts w:ascii="Times New Roman" w:hAnsi="Times New Roman" w:eastAsia="宋体"/>
          <w:b w:val="0"/>
          <w:i w:val="0"/>
          <w:sz w:val="24"/>
        </w:rPr>
        <w:t>时间维度上，任务到达覆盖第 0–2399 小时。逐时任务到达数的均值方差比约为 1.032，符合泊松分布“均值≈方差”的特征；逐时 GPU 需求总量与 GPU-hour 需求的方差则显著大于均值（过离散），但两类序列的一阶自相关均接近于 0，说明不存在显著的短期记忆或强周期成分。因此预测建模应关注近期观测信息与时变特征，并保留对需求波动的风险刻画能力，以避免末端时段容量饱和导致任务无法安排。</w:t>
      </w:r>
    </w:p>
    <w:p>
      <w:pPr>
        <w:pStyle w:val="Heading2"/>
      </w:pPr>
      <w:r>
        <w:t>2.3 问题一分析</w:t>
      </w:r>
    </w:p>
    <w:p>
      <w:pPr>
        <w:spacing w:after="0" w:line="240" w:lineRule="auto"/>
        <w:ind w:firstLine="480"/>
      </w:pPr>
      <w:r>
        <w:rPr>
          <w:rFonts w:ascii="Times New Roman" w:hAnsi="Times New Roman" w:eastAsia="宋体"/>
          <w:b w:val="0"/>
          <w:i w:val="0"/>
          <w:sz w:val="24"/>
        </w:rPr>
        <w:t>问题一包含统计、预测、调度三个层次。统计层面需按区域与任务类型刻画 GPU 需求的分布特征与时空规律；预测层面赛题建议以第 0–2351 小时训练、2352–2375 小时验证，确定模型后以 0–2375 小时重训并对 2376–2399 小时做最终测试；调度层面以 GPU 容量为硬约束，实时任务优先安排、弹性任务在容量允许时延后执行，输出调度方案与区域 GPU 利用率。</w:t>
      </w:r>
    </w:p>
    <w:p>
      <w:pPr>
        <w:pStyle w:val="Heading2"/>
      </w:pPr>
      <w:r>
        <w:t>2.4 问题二分析</w:t>
      </w:r>
    </w:p>
    <w:p>
      <w:pPr>
        <w:spacing w:after="0" w:line="240" w:lineRule="auto"/>
        <w:ind w:firstLine="480"/>
      </w:pPr>
      <w:r>
        <w:rPr>
          <w:rFonts w:ascii="Times New Roman" w:hAnsi="Times New Roman" w:eastAsia="宋体"/>
          <w:b w:val="0"/>
          <w:i w:val="0"/>
          <w:sz w:val="24"/>
        </w:rPr>
        <w:t>问题二在问题一的基础上引入跨区域迁移与碳感知，是一个典型的“算力调度—电力系统”耦合的多目标优化问题。决策变量由单一的开工时段扩展为“迁移目标区域＋开工时段”的组合；四个目标（运行成本、碳排放、网络时延、新能源利用率）之间存在显著冲突；约束包括 GPU 容量、IT/设施功率、网络时延与完成时限。由于问题规模庞大（50 000 个任务、2 400 个时段），直接求解全局整数规划在计算上不可行，故采用“滚动时域＋加权综合评分＋多策略 Pareto 分析”的求解框架，兼顾求解效率与多目标权衡的刻画。</w:t>
      </w:r>
    </w:p>
    <w:p>
      <w:pPr>
        <w:pStyle w:val="Heading2"/>
      </w:pPr>
      <w:r>
        <w:t>2.5 问题三分析</w:t>
      </w:r>
    </w:p>
    <w:p>
      <w:pPr>
        <w:spacing w:after="0" w:line="240" w:lineRule="auto"/>
        <w:ind w:firstLine="480"/>
      </w:pPr>
      <w:r>
        <w:rPr>
          <w:rFonts w:ascii="Times New Roman" w:hAnsi="Times New Roman" w:eastAsia="宋体"/>
          <w:b w:val="0"/>
          <w:i w:val="0"/>
          <w:sz w:val="24"/>
        </w:rPr>
        <w:t>问题三不重新优化任务调度，仅优化储能充放电、购售电与新能源分配策略。六区域之间不存在线路潮流与带宽耦合，问题可分解为六个相互独立的区域子问题，每个子问题为带 0-1 充放互斥变量的混合整数线性规划（MILP），可由 HiGHS 求解器精确求解。评价储能效果的核心指标为运行成本、碳排放、区域峰值净购电功率与负荷波动程度，通过“有储能/无储能”与“优化后/基线”的对比分析定量刻画储能价值，并开展容量与效率敏感性分析。</w:t>
      </w:r>
    </w:p>
    <w:p>
      <w:pPr>
        <w:pStyle w:val="Heading2"/>
      </w:pPr>
      <w:r>
        <w:t>2.6 问题四分析</w:t>
      </w:r>
    </w:p>
    <w:p>
      <w:pPr>
        <w:spacing w:after="0" w:line="240" w:lineRule="auto"/>
        <w:ind w:firstLine="480"/>
      </w:pPr>
      <w:r>
        <w:rPr>
          <w:rFonts w:ascii="Times New Roman" w:hAnsi="Times New Roman" w:eastAsia="宋体"/>
          <w:b w:val="0"/>
          <w:i w:val="0"/>
          <w:sz w:val="24"/>
        </w:rPr>
        <w:t>问题四的关键在于“耦合”：任务调度决定区域逐时 AI 负荷，负荷进入下层能源—储能优化，决定购售电、充放电与新能源分配；下层优化的边际供应特性再反馈到上层任务调度的评分函数。据此采用“任务调度层（继承问题二）＋能源—储能层（继承问题三）＋边际供应栈反馈”的双层协同迭代结构，并针对碳约束强度、电价机制与新能源波动设计 20 个对比场景（含新能源减少场景下的碳约束组合），分析策略对参数变化的敏感性。</w:t>
      </w:r>
    </w:p>
    <w:p>
      <w:pPr>
        <w:pStyle w:val="Heading1"/>
      </w:pPr>
      <w:r>
        <w:t>三、模型假设</w:t>
      </w:r>
    </w:p>
    <w:p>
      <w:pPr>
        <w:spacing w:after="40" w:line="240" w:lineRule="auto"/>
        <w:ind w:firstLine="480"/>
      </w:pPr>
      <w:r>
        <w:rPr>
          <w:rFonts w:ascii="Times New Roman" w:hAnsi="Times New Roman" w:eastAsia="宋体"/>
          <w:b w:val="0"/>
          <w:i w:val="0"/>
          <w:sz w:val="24"/>
        </w:rPr>
        <w:t>时间以 1 小时为基本粒度离散化，同一小时内电价、碳强度、新能源出力及任务执行状态保持不变；</w:t>
      </w:r>
    </w:p>
    <w:p>
      <w:pPr>
        <w:spacing w:after="40" w:line="240" w:lineRule="auto"/>
        <w:ind w:firstLine="480"/>
      </w:pPr>
      <w:r>
        <w:rPr>
          <w:rFonts w:ascii="Times New Roman" w:hAnsi="Times New Roman" w:eastAsia="宋体"/>
          <w:b w:val="0"/>
          <w:i w:val="0"/>
          <w:sz w:val="24"/>
        </w:rPr>
        <w:t>所有任务不可抢占、不可拆分、不可中途迁移，任务一旦开工，其执行区域与连续占用资源不变；</w:t>
      </w:r>
    </w:p>
    <w:p>
      <w:pPr>
        <w:spacing w:after="40" w:line="240" w:lineRule="auto"/>
        <w:ind w:firstLine="480"/>
      </w:pPr>
      <w:r>
        <w:rPr>
          <w:rFonts w:ascii="Times New Roman" w:hAnsi="Times New Roman" w:eastAsia="宋体"/>
          <w:b w:val="0"/>
          <w:i w:val="0"/>
          <w:sz w:val="24"/>
        </w:rPr>
        <w:t>实时推理任务到达即开工，且仅安排在满足网络时延约束的区域执行；批量推理与 AI 训练任务可在最晚完成时限内延迟调度；</w:t>
      </w:r>
    </w:p>
    <w:p>
      <w:pPr>
        <w:spacing w:after="40" w:line="240" w:lineRule="auto"/>
        <w:ind w:firstLine="480"/>
      </w:pPr>
      <w:r>
        <w:rPr>
          <w:rFonts w:ascii="Times New Roman" w:hAnsi="Times New Roman" w:eastAsia="宋体"/>
          <w:b w:val="0"/>
          <w:i w:val="0"/>
          <w:sz w:val="24"/>
        </w:rPr>
        <w:t>跨区域任务迁移仅考虑 network_latency.xlsx 给出的单向网络时延，忽略网络带宽、迁移数据量、传输能耗与传输费用；</w:t>
      </w:r>
    </w:p>
    <w:p>
      <w:pPr>
        <w:spacing w:after="40" w:line="240" w:lineRule="auto"/>
        <w:ind w:firstLine="480"/>
      </w:pPr>
      <w:r>
        <w:rPr>
          <w:rFonts w:ascii="Times New Roman" w:hAnsi="Times New Roman" w:eastAsia="宋体"/>
          <w:b w:val="0"/>
          <w:i w:val="0"/>
          <w:sz w:val="24"/>
        </w:rPr>
        <w:t>不考虑区域间线路潮流与输电约束，仅考虑区域级购售电边界（MaxGridImport/MaxGridExport）；</w:t>
      </w:r>
    </w:p>
    <w:p>
      <w:pPr>
        <w:spacing w:after="40" w:line="240" w:lineRule="auto"/>
        <w:ind w:firstLine="480"/>
      </w:pPr>
      <w:r>
        <w:rPr>
          <w:rFonts w:ascii="Times New Roman" w:hAnsi="Times New Roman" w:eastAsia="宋体"/>
          <w:b w:val="0"/>
          <w:i w:val="0"/>
          <w:sz w:val="24"/>
        </w:rPr>
        <w:t>各区域 PUE 为附件给定固定值，设施负荷按“IT 负荷×PUE”计算；</w:t>
      </w:r>
    </w:p>
    <w:p>
      <w:pPr>
        <w:spacing w:after="40" w:line="240" w:lineRule="auto"/>
        <w:ind w:firstLine="480"/>
      </w:pPr>
      <w:r>
        <w:rPr>
          <w:rFonts w:ascii="Times New Roman" w:hAnsi="Times New Roman" w:eastAsia="宋体"/>
          <w:b w:val="0"/>
          <w:i w:val="0"/>
          <w:sz w:val="24"/>
        </w:rPr>
        <w:t>储能系统按 SOC 递推方程运行，充放电效率恒定，SOC 不超出上下限，且第 2406 小时 SOC 不低于初始值；同一时段不允许同时充放电；</w:t>
      </w:r>
    </w:p>
    <w:p>
      <w:pPr>
        <w:spacing w:after="40" w:line="240" w:lineRule="auto"/>
        <w:ind w:firstLine="480"/>
      </w:pPr>
      <w:r>
        <w:rPr>
          <w:rFonts w:ascii="Times New Roman" w:hAnsi="Times New Roman" w:eastAsia="宋体"/>
          <w:b w:val="0"/>
          <w:i w:val="0"/>
          <w:sz w:val="24"/>
        </w:rPr>
        <w:t>新能源出力以附件逐时数据为准，时段内恒定；富余新能源可用于直接消纳、储能充电或外送，超出部分视为弃风弃光；</w:t>
      </w:r>
    </w:p>
    <w:p>
      <w:pPr>
        <w:spacing w:after="40" w:line="240" w:lineRule="auto"/>
        <w:ind w:firstLine="480"/>
      </w:pPr>
      <w:r>
        <w:rPr>
          <w:rFonts w:ascii="Times New Roman" w:hAnsi="Times New Roman" w:eastAsia="宋体"/>
          <w:b w:val="0"/>
          <w:i w:val="0"/>
          <w:sz w:val="24"/>
        </w:rPr>
        <w:t>问题三给定 IT 负荷取附件 Baseline_AI_IT_Load 与 NonAI_IT_Load 之和，问题三不调整任务调度，故负荷为外生参数；</w:t>
      </w:r>
    </w:p>
    <w:p>
      <w:pPr>
        <w:spacing w:after="40" w:line="240" w:lineRule="auto"/>
        <w:ind w:firstLine="480"/>
      </w:pPr>
      <w:r>
        <w:rPr>
          <w:rFonts w:ascii="Times New Roman" w:hAnsi="Times New Roman" w:eastAsia="宋体"/>
          <w:b w:val="0"/>
          <w:i w:val="0"/>
          <w:sz w:val="24"/>
        </w:rPr>
        <w:t>碳排放按“购电功率×碳强度”统一口径计算，新能源利用率按“（直接消纳＋新能源充电＋外送）/可用新能源”口径计算。</w:t>
      </w:r>
    </w:p>
    <w:p>
      <w:pPr>
        <w:pStyle w:val="Heading1"/>
      </w:pPr>
      <w:r>
        <w:t>四、符号说明</w:t>
      </w:r>
    </w:p>
    <w:p>
      <w:pPr>
        <w:spacing w:before="160" w:after="60"/>
        <w:jc w:val="center"/>
      </w:pPr>
      <w:r>
        <w:rPr>
          <w:rFonts w:ascii="Times New Roman" w:hAnsi="Times New Roman" w:eastAsia="宋体"/>
          <w:b/>
          <w:i w:val="0"/>
          <w:sz w:val="21"/>
        </w:rPr>
        <w:t>表 2  主要符号说明</w:t>
      </w:r>
    </w:p>
    <w:tbl>
      <w:tblPr>
        <w:tblW w:type="dxa" w:w="9072"/>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firstColumn="1" w:firstRow="1" w:lastColumn="0" w:lastRow="0" w:noHBand="0" w:noVBand="1" w:val="04A0"/>
        <w:tblInd w:w="120" w:type="dxa"/>
        <w:tblCellMar>
          <w:top w:w="40" w:type="dxa"/>
          <w:start w:w="80" w:type="dxa"/>
          <w:bottom w:w="40" w:type="dxa"/>
          <w:end w:w="80" w:type="dxa"/>
        </w:tblCellMar>
      </w:tblPr>
      <w:tblGrid>
        <w:gridCol w:w="2000"/>
        <w:gridCol w:w="4600"/>
        <w:gridCol w:w="2472"/>
      </w:tblGrid>
      <w:tr>
        <w:trPr>
          <w:tblHeader/>
        </w:trPr>
        <w:tc>
          <w:tcPr>
            <w:tcW w:type="dxa" w:w="20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符号</w:t>
            </w:r>
          </w:p>
        </w:tc>
        <w:tc>
          <w:tcPr>
            <w:tcW w:type="dxa" w:w="46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符号意义</w:t>
            </w:r>
          </w:p>
        </w:tc>
        <w:tc>
          <w:tcPr>
            <w:tcW w:type="dxa" w:w="2472"/>
            <w:vAlign w:val="center"/>
            <w:tcBorders>
              <w:bottom w:val="single" w:sz="6" w:space="0" w:color="000000"/>
            </w:tcBorders>
          </w:tcPr>
          <w:p>
            <w:pPr>
              <w:spacing w:before="20" w:after="20" w:line="240" w:lineRule="auto"/>
              <w:jc w:val="center"/>
            </w:pPr>
            <w:r>
              <w:rPr>
                <w:rFonts w:ascii="Times New Roman" w:hAnsi="Times New Roman" w:eastAsia="宋体"/>
                <w:b/>
                <w:i w:val="0"/>
                <w:sz w:val="18"/>
              </w:rPr>
              <w:t>备注/单位</w:t>
            </w:r>
          </w:p>
        </w:tc>
      </w:tr>
      <w:tr>
        <w:tc>
          <w:tcPr>
            <w:tcW w:type="dxa" w:w="2000"/>
            <w:vAlign w:val="center"/>
          </w:tcPr>
          <w:p>
            <w:pPr>
              <w:spacing w:before="20" w:after="20" w:line="240" w:lineRule="auto"/>
              <w:jc w:val="left"/>
            </w:pPr>
            <w:r>
              <w:rPr>
                <w:rFonts w:ascii="Times New Roman" w:hAnsi="Times New Roman" w:eastAsia="宋体"/>
                <w:b w:val="0"/>
                <w:i w:val="0"/>
                <w:sz w:val="18"/>
              </w:rPr>
              <w:t>r / t</w:t>
            </w:r>
          </w:p>
        </w:tc>
        <w:tc>
          <w:tcPr>
            <w:tcW w:type="dxa" w:w="4600"/>
            <w:vAlign w:val="center"/>
          </w:tcPr>
          <w:p>
            <w:pPr>
              <w:spacing w:before="20" w:after="20" w:line="240" w:lineRule="auto"/>
              <w:jc w:val="center"/>
            </w:pPr>
            <w:r>
              <w:rPr>
                <w:rFonts w:ascii="Times New Roman" w:hAnsi="Times New Roman" w:eastAsia="宋体"/>
                <w:b w:val="0"/>
                <w:i w:val="0"/>
                <w:sz w:val="18"/>
              </w:rPr>
              <w:t>区域索引（A–F）/ 时段索引（0–2406）</w:t>
            </w:r>
          </w:p>
        </w:tc>
        <w:tc>
          <w:tcPr>
            <w:tcW w:type="dxa" w:w="2472"/>
            <w:vAlign w:val="center"/>
          </w:tcPr>
          <w:p>
            <w:pPr>
              <w:spacing w:before="20" w:after="20" w:line="240" w:lineRule="auto"/>
              <w:jc w:val="center"/>
            </w:pPr>
            <w:r>
              <w:rPr>
                <w:rFonts w:ascii="Times New Roman" w:hAnsi="Times New Roman" w:eastAsia="宋体"/>
                <w:b w:val="0"/>
                <w:i w:val="0"/>
                <w:sz w:val="18"/>
              </w:rPr>
              <w:t>— / h</w:t>
            </w:r>
          </w:p>
        </w:tc>
      </w:tr>
      <w:tr>
        <w:tc>
          <w:tcPr>
            <w:tcW w:type="dxa" w:w="2000"/>
            <w:vAlign w:val="center"/>
          </w:tcPr>
          <w:p>
            <w:pPr>
              <w:spacing w:before="20" w:after="20" w:line="240" w:lineRule="auto"/>
              <w:jc w:val="left"/>
            </w:pPr>
            <w:r>
              <w:rPr>
                <w:rFonts w:ascii="Times New Roman" w:hAnsi="Times New Roman" w:eastAsia="宋体"/>
                <w:b w:val="0"/>
                <w:i w:val="0"/>
                <w:sz w:val="18"/>
              </w:rPr>
              <w:t>i</w:t>
            </w:r>
          </w:p>
        </w:tc>
        <w:tc>
          <w:tcPr>
            <w:tcW w:type="dxa" w:w="4600"/>
            <w:vAlign w:val="center"/>
          </w:tcPr>
          <w:p>
            <w:pPr>
              <w:spacing w:before="20" w:after="20" w:line="240" w:lineRule="auto"/>
              <w:jc w:val="center"/>
            </w:pPr>
            <w:r>
              <w:rPr>
                <w:rFonts w:ascii="Times New Roman" w:hAnsi="Times New Roman" w:eastAsia="宋体"/>
                <w:b w:val="0"/>
                <w:i w:val="0"/>
                <w:sz w:val="18"/>
              </w:rPr>
              <w:t>任务索引</w:t>
            </w:r>
          </w:p>
        </w:tc>
        <w:tc>
          <w:tcPr>
            <w:tcW w:type="dxa" w:w="2472"/>
            <w:vAlign w:val="center"/>
          </w:tcPr>
          <w:p>
            <w:pPr>
              <w:spacing w:before="20" w:after="20" w:line="240" w:lineRule="auto"/>
              <w:jc w:val="center"/>
            </w:pPr>
            <w:r>
              <w:rPr>
                <w:rFonts w:ascii="Times New Roman" w:hAnsi="Times New Roman" w:eastAsia="宋体"/>
                <w:b w:val="0"/>
                <w:i w:val="0"/>
                <w:sz w:val="18"/>
              </w:rPr>
              <w:t>—</w:t>
            </w:r>
          </w:p>
        </w:tc>
      </w:tr>
      <w:tr>
        <w:tc>
          <w:tcPr>
            <w:tcW w:type="dxa" w:w="2000"/>
            <w:vAlign w:val="center"/>
          </w:tcPr>
          <w:p>
            <w:pPr>
              <w:spacing w:before="20" w:after="20" w:line="240" w:lineRule="auto"/>
              <w:jc w:val="left"/>
            </w:pPr>
            <w:r>
              <w:rPr>
                <w:rFonts w:ascii="Times New Roman" w:hAnsi="Times New Roman" w:eastAsia="宋体"/>
                <w:b w:val="0"/>
                <w:i w:val="0"/>
                <w:sz w:val="18"/>
              </w:rPr>
              <w:t>g_i</w:t>
            </w:r>
          </w:p>
        </w:tc>
        <w:tc>
          <w:tcPr>
            <w:tcW w:type="dxa" w:w="4600"/>
            <w:vAlign w:val="center"/>
          </w:tcPr>
          <w:p>
            <w:pPr>
              <w:spacing w:before="20" w:after="20" w:line="240" w:lineRule="auto"/>
              <w:jc w:val="center"/>
            </w:pPr>
            <w:r>
              <w:rPr>
                <w:rFonts w:ascii="Times New Roman" w:hAnsi="Times New Roman" w:eastAsia="宋体"/>
                <w:b w:val="0"/>
                <w:i w:val="0"/>
                <w:sz w:val="18"/>
              </w:rPr>
              <w:t>任务 GPU 需求</w:t>
            </w:r>
          </w:p>
        </w:tc>
        <w:tc>
          <w:tcPr>
            <w:tcW w:type="dxa" w:w="2472"/>
            <w:vAlign w:val="center"/>
          </w:tcPr>
          <w:p>
            <w:pPr>
              <w:spacing w:before="20" w:after="20" w:line="240" w:lineRule="auto"/>
              <w:jc w:val="center"/>
            </w:pPr>
            <w:r>
              <w:rPr>
                <w:rFonts w:ascii="Times New Roman" w:hAnsi="Times New Roman" w:eastAsia="宋体"/>
                <w:b w:val="0"/>
                <w:i w:val="0"/>
                <w:sz w:val="18"/>
              </w:rPr>
              <w:t>等效 GPU</w:t>
            </w:r>
          </w:p>
        </w:tc>
      </w:tr>
      <w:tr>
        <w:tc>
          <w:tcPr>
            <w:tcW w:type="dxa" w:w="2000"/>
            <w:vAlign w:val="center"/>
          </w:tcPr>
          <w:p>
            <w:pPr>
              <w:spacing w:before="20" w:after="20" w:line="240" w:lineRule="auto"/>
              <w:jc w:val="left"/>
            </w:pPr>
            <w:r>
              <w:rPr>
                <w:rFonts w:ascii="Times New Roman" w:hAnsi="Times New Roman" w:eastAsia="宋体"/>
                <w:b w:val="0"/>
                <w:i w:val="0"/>
                <w:sz w:val="18"/>
              </w:rPr>
              <w:t>d_i</w:t>
            </w:r>
          </w:p>
        </w:tc>
        <w:tc>
          <w:tcPr>
            <w:tcW w:type="dxa" w:w="4600"/>
            <w:vAlign w:val="center"/>
          </w:tcPr>
          <w:p>
            <w:pPr>
              <w:spacing w:before="20" w:after="20" w:line="240" w:lineRule="auto"/>
              <w:jc w:val="center"/>
            </w:pPr>
            <w:r>
              <w:rPr>
                <w:rFonts w:ascii="Times New Roman" w:hAnsi="Times New Roman" w:eastAsia="宋体"/>
                <w:b w:val="0"/>
                <w:i w:val="0"/>
                <w:sz w:val="18"/>
              </w:rPr>
              <w:t>任务执行时长</w:t>
            </w:r>
          </w:p>
        </w:tc>
        <w:tc>
          <w:tcPr>
            <w:tcW w:type="dxa" w:w="2472"/>
            <w:vAlign w:val="center"/>
          </w:tcPr>
          <w:p>
            <w:pPr>
              <w:spacing w:before="20" w:after="20" w:line="240" w:lineRule="auto"/>
              <w:jc w:val="center"/>
            </w:pPr>
            <w:r>
              <w:rPr>
                <w:rFonts w:ascii="Times New Roman" w:hAnsi="Times New Roman" w:eastAsia="宋体"/>
                <w:b w:val="0"/>
                <w:i w:val="0"/>
                <w:sz w:val="18"/>
              </w:rPr>
              <w:t>h</w:t>
            </w:r>
          </w:p>
        </w:tc>
      </w:tr>
      <w:tr>
        <w:tc>
          <w:tcPr>
            <w:tcW w:type="dxa" w:w="2000"/>
            <w:vAlign w:val="center"/>
          </w:tcPr>
          <w:p>
            <w:pPr>
              <w:spacing w:before="20" w:after="20" w:line="240" w:lineRule="auto"/>
              <w:jc w:val="left"/>
            </w:pPr>
            <w:r>
              <w:rPr>
                <w:rFonts w:ascii="Times New Roman" w:hAnsi="Times New Roman" w:eastAsia="宋体"/>
                <w:b w:val="0"/>
                <w:i w:val="0"/>
                <w:sz w:val="18"/>
              </w:rPr>
              <w:t>l_i / L_i</w:t>
            </w:r>
          </w:p>
        </w:tc>
        <w:tc>
          <w:tcPr>
            <w:tcW w:type="dxa" w:w="4600"/>
            <w:vAlign w:val="center"/>
          </w:tcPr>
          <w:p>
            <w:pPr>
              <w:spacing w:before="20" w:after="20" w:line="240" w:lineRule="auto"/>
              <w:jc w:val="center"/>
            </w:pPr>
            <w:r>
              <w:rPr>
                <w:rFonts w:ascii="Times New Roman" w:hAnsi="Times New Roman" w:eastAsia="宋体"/>
                <w:b w:val="0"/>
                <w:i w:val="0"/>
                <w:sz w:val="18"/>
              </w:rPr>
              <w:t>最大可接受时延 / 最晚完成时刻</w:t>
            </w:r>
          </w:p>
        </w:tc>
        <w:tc>
          <w:tcPr>
            <w:tcW w:type="dxa" w:w="2472"/>
            <w:vAlign w:val="center"/>
          </w:tcPr>
          <w:p>
            <w:pPr>
              <w:spacing w:before="20" w:after="20" w:line="240" w:lineRule="auto"/>
              <w:jc w:val="center"/>
            </w:pPr>
            <w:r>
              <w:rPr>
                <w:rFonts w:ascii="Times New Roman" w:hAnsi="Times New Roman" w:eastAsia="宋体"/>
                <w:b w:val="0"/>
                <w:i w:val="0"/>
                <w:sz w:val="18"/>
              </w:rPr>
              <w:t>ms / h</w:t>
            </w:r>
          </w:p>
        </w:tc>
      </w:tr>
      <w:tr>
        <w:tc>
          <w:tcPr>
            <w:tcW w:type="dxa" w:w="2000"/>
            <w:vAlign w:val="center"/>
          </w:tcPr>
          <w:p>
            <w:pPr>
              <w:spacing w:before="20" w:after="20" w:line="240" w:lineRule="auto"/>
              <w:jc w:val="left"/>
            </w:pPr>
            <w:r>
              <w:rPr>
                <w:rFonts w:ascii="Times New Roman" w:hAnsi="Times New Roman" w:eastAsia="宋体"/>
                <w:b w:val="0"/>
                <w:i w:val="0"/>
                <w:sz w:val="18"/>
              </w:rPr>
              <w:t>x_i,r,s</w:t>
            </w:r>
          </w:p>
        </w:tc>
        <w:tc>
          <w:tcPr>
            <w:tcW w:type="dxa" w:w="4600"/>
            <w:vAlign w:val="center"/>
          </w:tcPr>
          <w:p>
            <w:pPr>
              <w:spacing w:before="20" w:after="20" w:line="240" w:lineRule="auto"/>
              <w:jc w:val="center"/>
            </w:pPr>
            <w:r>
              <w:rPr>
                <w:rFonts w:ascii="Times New Roman" w:hAnsi="Times New Roman" w:eastAsia="宋体"/>
                <w:b w:val="0"/>
                <w:i w:val="0"/>
                <w:sz w:val="18"/>
              </w:rPr>
              <w:t>任务 i 在区域 r、时段 s 开工的 0-1 变量</w:t>
            </w:r>
          </w:p>
        </w:tc>
        <w:tc>
          <w:tcPr>
            <w:tcW w:type="dxa" w:w="2472"/>
            <w:vAlign w:val="center"/>
          </w:tcPr>
          <w:p>
            <w:pPr>
              <w:spacing w:before="20" w:after="20" w:line="240" w:lineRule="auto"/>
              <w:jc w:val="center"/>
            </w:pPr>
            <w:r>
              <w:rPr>
                <w:rFonts w:ascii="Times New Roman" w:hAnsi="Times New Roman" w:eastAsia="宋体"/>
                <w:b w:val="0"/>
                <w:i w:val="0"/>
                <w:sz w:val="18"/>
              </w:rPr>
              <w:t>—</w:t>
            </w:r>
          </w:p>
        </w:tc>
      </w:tr>
      <w:tr>
        <w:tc>
          <w:tcPr>
            <w:tcW w:type="dxa" w:w="2000"/>
            <w:vAlign w:val="center"/>
          </w:tcPr>
          <w:p>
            <w:pPr>
              <w:spacing w:before="20" w:after="20" w:line="240" w:lineRule="auto"/>
              <w:jc w:val="left"/>
            </w:pPr>
            <w:r>
              <w:rPr>
                <w:rFonts w:ascii="Times New Roman" w:hAnsi="Times New Roman" w:eastAsia="宋体"/>
                <w:b w:val="0"/>
                <w:i w:val="0"/>
                <w:sz w:val="18"/>
              </w:rPr>
              <w:t>h_i,t</w:t>
            </w:r>
          </w:p>
        </w:tc>
        <w:tc>
          <w:tcPr>
            <w:tcW w:type="dxa" w:w="4600"/>
            <w:vAlign w:val="center"/>
          </w:tcPr>
          <w:p>
            <w:pPr>
              <w:spacing w:before="20" w:after="20" w:line="240" w:lineRule="auto"/>
              <w:jc w:val="center"/>
            </w:pPr>
            <w:r>
              <w:rPr>
                <w:rFonts w:ascii="Times New Roman" w:hAnsi="Times New Roman" w:eastAsia="宋体"/>
                <w:b w:val="0"/>
                <w:i w:val="0"/>
                <w:sz w:val="18"/>
              </w:rPr>
              <w:t>任务 i 在时段 t 的重叠系数</w:t>
            </w:r>
          </w:p>
        </w:tc>
        <w:tc>
          <w:tcPr>
            <w:tcW w:type="dxa" w:w="2472"/>
            <w:vAlign w:val="center"/>
          </w:tcPr>
          <w:p>
            <w:pPr>
              <w:spacing w:before="20" w:after="20" w:line="240" w:lineRule="auto"/>
              <w:jc w:val="center"/>
            </w:pPr>
            <w:r>
              <w:rPr>
                <w:rFonts w:ascii="Times New Roman" w:hAnsi="Times New Roman" w:eastAsia="宋体"/>
                <w:b w:val="0"/>
                <w:i w:val="0"/>
                <w:sz w:val="18"/>
              </w:rPr>
              <w:t>—</w:t>
            </w:r>
          </w:p>
        </w:tc>
      </w:tr>
      <w:tr>
        <w:tc>
          <w:tcPr>
            <w:tcW w:type="dxa" w:w="2000"/>
            <w:vAlign w:val="center"/>
          </w:tcPr>
          <w:p>
            <w:pPr>
              <w:spacing w:before="20" w:after="20" w:line="240" w:lineRule="auto"/>
              <w:jc w:val="left"/>
            </w:pPr>
            <w:r>
              <w:rPr>
                <w:rFonts w:ascii="Times New Roman" w:hAnsi="Times New Roman" w:eastAsia="宋体"/>
                <w:b w:val="0"/>
                <w:i w:val="0"/>
                <w:sz w:val="18"/>
              </w:rPr>
              <w:t>Available_GPU(r)</w:t>
            </w:r>
          </w:p>
        </w:tc>
        <w:tc>
          <w:tcPr>
            <w:tcW w:type="dxa" w:w="4600"/>
            <w:vAlign w:val="center"/>
          </w:tcPr>
          <w:p>
            <w:pPr>
              <w:spacing w:before="20" w:after="20" w:line="240" w:lineRule="auto"/>
              <w:jc w:val="center"/>
            </w:pPr>
            <w:r>
              <w:rPr>
                <w:rFonts w:ascii="Times New Roman" w:hAnsi="Times New Roman" w:eastAsia="宋体"/>
                <w:b w:val="0"/>
                <w:i w:val="0"/>
                <w:sz w:val="18"/>
              </w:rPr>
              <w:t>区域可调度 GPU 容量</w:t>
            </w:r>
          </w:p>
        </w:tc>
        <w:tc>
          <w:tcPr>
            <w:tcW w:type="dxa" w:w="2472"/>
            <w:vAlign w:val="center"/>
          </w:tcPr>
          <w:p>
            <w:pPr>
              <w:spacing w:before="20" w:after="20" w:line="240" w:lineRule="auto"/>
              <w:jc w:val="center"/>
            </w:pPr>
            <w:r>
              <w:rPr>
                <w:rFonts w:ascii="Times New Roman" w:hAnsi="Times New Roman" w:eastAsia="宋体"/>
                <w:b w:val="0"/>
                <w:i w:val="0"/>
                <w:sz w:val="18"/>
              </w:rPr>
              <w:t>等效 GPU</w:t>
            </w:r>
          </w:p>
        </w:tc>
      </w:tr>
      <w:tr>
        <w:tc>
          <w:tcPr>
            <w:tcW w:type="dxa" w:w="2000"/>
            <w:vAlign w:val="center"/>
          </w:tcPr>
          <w:p>
            <w:pPr>
              <w:spacing w:before="20" w:after="20" w:line="240" w:lineRule="auto"/>
              <w:jc w:val="left"/>
            </w:pPr>
            <w:r>
              <w:rPr>
                <w:rFonts w:ascii="Times New Roman" w:hAnsi="Times New Roman" w:eastAsia="宋体"/>
                <w:b w:val="0"/>
                <w:i w:val="0"/>
                <w:sz w:val="18"/>
              </w:rPr>
              <w:t>PUE(r)</w:t>
            </w:r>
          </w:p>
        </w:tc>
        <w:tc>
          <w:tcPr>
            <w:tcW w:type="dxa" w:w="4600"/>
            <w:vAlign w:val="center"/>
          </w:tcPr>
          <w:p>
            <w:pPr>
              <w:spacing w:before="20" w:after="20" w:line="240" w:lineRule="auto"/>
              <w:jc w:val="center"/>
            </w:pPr>
            <w:r>
              <w:rPr>
                <w:rFonts w:ascii="Times New Roman" w:hAnsi="Times New Roman" w:eastAsia="宋体"/>
                <w:b w:val="0"/>
                <w:i w:val="0"/>
                <w:sz w:val="18"/>
              </w:rPr>
              <w:t>区域能源使用效率</w:t>
            </w:r>
          </w:p>
        </w:tc>
        <w:tc>
          <w:tcPr>
            <w:tcW w:type="dxa" w:w="2472"/>
            <w:vAlign w:val="center"/>
          </w:tcPr>
          <w:p>
            <w:pPr>
              <w:spacing w:before="20" w:after="20" w:line="240" w:lineRule="auto"/>
              <w:jc w:val="center"/>
            </w:pPr>
            <w:r>
              <w:rPr>
                <w:rFonts w:ascii="Times New Roman" w:hAnsi="Times New Roman" w:eastAsia="宋体"/>
                <w:b w:val="0"/>
                <w:i w:val="0"/>
                <w:sz w:val="18"/>
              </w:rPr>
              <w:t>无量纲</w:t>
            </w:r>
          </w:p>
        </w:tc>
      </w:tr>
      <w:tr>
        <w:tc>
          <w:tcPr>
            <w:tcW w:type="dxa" w:w="2000"/>
            <w:vAlign w:val="center"/>
          </w:tcPr>
          <w:p>
            <w:pPr>
              <w:spacing w:before="20" w:after="20" w:line="240" w:lineRule="auto"/>
              <w:jc w:val="left"/>
            </w:pPr>
            <w:r>
              <w:rPr>
                <w:rFonts w:ascii="Times New Roman" w:hAnsi="Times New Roman" w:eastAsia="宋体"/>
                <w:b w:val="0"/>
                <w:i w:val="0"/>
                <w:sz w:val="18"/>
              </w:rPr>
              <w:t>AI_IT_Load(r,t) / IT_Load(r,t)</w:t>
            </w:r>
          </w:p>
        </w:tc>
        <w:tc>
          <w:tcPr>
            <w:tcW w:type="dxa" w:w="4600"/>
            <w:vAlign w:val="center"/>
          </w:tcPr>
          <w:p>
            <w:pPr>
              <w:spacing w:before="20" w:after="20" w:line="240" w:lineRule="auto"/>
              <w:jc w:val="center"/>
            </w:pPr>
            <w:r>
              <w:rPr>
                <w:rFonts w:ascii="Times New Roman" w:hAnsi="Times New Roman" w:eastAsia="宋体"/>
                <w:b w:val="0"/>
                <w:i w:val="0"/>
                <w:sz w:val="18"/>
              </w:rPr>
              <w:t>AI 任务 IT 负荷 / 总 IT 负荷</w:t>
            </w:r>
          </w:p>
        </w:tc>
        <w:tc>
          <w:tcPr>
            <w:tcW w:type="dxa" w:w="2472"/>
            <w:vAlign w:val="center"/>
          </w:tcPr>
          <w:p>
            <w:pPr>
              <w:spacing w:before="20" w:after="20" w:line="240" w:lineRule="auto"/>
              <w:jc w:val="center"/>
            </w:pPr>
            <w:r>
              <w:rPr>
                <w:rFonts w:ascii="Times New Roman" w:hAnsi="Times New Roman" w:eastAsia="宋体"/>
                <w:b w:val="0"/>
                <w:i w:val="0"/>
                <w:sz w:val="18"/>
              </w:rPr>
              <w:t>MW</w:t>
            </w:r>
          </w:p>
        </w:tc>
      </w:tr>
      <w:tr>
        <w:tc>
          <w:tcPr>
            <w:tcW w:type="dxa" w:w="2000"/>
            <w:vAlign w:val="center"/>
          </w:tcPr>
          <w:p>
            <w:pPr>
              <w:spacing w:before="20" w:after="20" w:line="240" w:lineRule="auto"/>
              <w:jc w:val="left"/>
            </w:pPr>
            <w:r>
              <w:rPr>
                <w:rFonts w:ascii="Times New Roman" w:hAnsi="Times New Roman" w:eastAsia="宋体"/>
                <w:b w:val="0"/>
                <w:i w:val="0"/>
                <w:sz w:val="18"/>
              </w:rPr>
              <w:t>Total_Load(r,t)</w:t>
            </w:r>
          </w:p>
        </w:tc>
        <w:tc>
          <w:tcPr>
            <w:tcW w:type="dxa" w:w="4600"/>
            <w:vAlign w:val="center"/>
          </w:tcPr>
          <w:p>
            <w:pPr>
              <w:spacing w:before="20" w:after="20" w:line="240" w:lineRule="auto"/>
              <w:jc w:val="center"/>
            </w:pPr>
            <w:r>
              <w:rPr>
                <w:rFonts w:ascii="Times New Roman" w:hAnsi="Times New Roman" w:eastAsia="宋体"/>
                <w:b w:val="0"/>
                <w:i w:val="0"/>
                <w:sz w:val="18"/>
              </w:rPr>
              <w:t>设施侧负荷（=IT×PUE）</w:t>
            </w:r>
          </w:p>
        </w:tc>
        <w:tc>
          <w:tcPr>
            <w:tcW w:type="dxa" w:w="2472"/>
            <w:vAlign w:val="center"/>
          </w:tcPr>
          <w:p>
            <w:pPr>
              <w:spacing w:before="20" w:after="20" w:line="240" w:lineRule="auto"/>
              <w:jc w:val="center"/>
            </w:pPr>
            <w:r>
              <w:rPr>
                <w:rFonts w:ascii="Times New Roman" w:hAnsi="Times New Roman" w:eastAsia="宋体"/>
                <w:b w:val="0"/>
                <w:i w:val="0"/>
                <w:sz w:val="18"/>
              </w:rPr>
              <w:t>MW</w:t>
            </w:r>
          </w:p>
        </w:tc>
      </w:tr>
      <w:tr>
        <w:tc>
          <w:tcPr>
            <w:tcW w:type="dxa" w:w="2000"/>
            <w:vAlign w:val="center"/>
          </w:tcPr>
          <w:p>
            <w:pPr>
              <w:spacing w:before="20" w:after="20" w:line="240" w:lineRule="auto"/>
              <w:jc w:val="left"/>
            </w:pPr>
            <w:r>
              <w:rPr>
                <w:rFonts w:ascii="Times New Roman" w:hAnsi="Times New Roman" w:eastAsia="宋体"/>
                <w:b w:val="0"/>
                <w:i w:val="0"/>
                <w:sz w:val="18"/>
              </w:rPr>
              <w:t>G_buy(r,t) / G_sell(r,t)</w:t>
            </w:r>
          </w:p>
        </w:tc>
        <w:tc>
          <w:tcPr>
            <w:tcW w:type="dxa" w:w="4600"/>
            <w:vAlign w:val="center"/>
          </w:tcPr>
          <w:p>
            <w:pPr>
              <w:spacing w:before="20" w:after="20" w:line="240" w:lineRule="auto"/>
              <w:jc w:val="center"/>
            </w:pPr>
            <w:r>
              <w:rPr>
                <w:rFonts w:ascii="Times New Roman" w:hAnsi="Times New Roman" w:eastAsia="宋体"/>
                <w:b w:val="0"/>
                <w:i w:val="0"/>
                <w:sz w:val="18"/>
              </w:rPr>
              <w:t>电网购电 / 外送功率</w:t>
            </w:r>
          </w:p>
        </w:tc>
        <w:tc>
          <w:tcPr>
            <w:tcW w:type="dxa" w:w="2472"/>
            <w:vAlign w:val="center"/>
          </w:tcPr>
          <w:p>
            <w:pPr>
              <w:spacing w:before="20" w:after="20" w:line="240" w:lineRule="auto"/>
              <w:jc w:val="center"/>
            </w:pPr>
            <w:r>
              <w:rPr>
                <w:rFonts w:ascii="Times New Roman" w:hAnsi="Times New Roman" w:eastAsia="宋体"/>
                <w:b w:val="0"/>
                <w:i w:val="0"/>
                <w:sz w:val="18"/>
              </w:rPr>
              <w:t>MW</w:t>
            </w:r>
          </w:p>
        </w:tc>
      </w:tr>
      <w:tr>
        <w:tc>
          <w:tcPr>
            <w:tcW w:type="dxa" w:w="2000"/>
            <w:vAlign w:val="center"/>
          </w:tcPr>
          <w:p>
            <w:pPr>
              <w:spacing w:before="20" w:after="20" w:line="240" w:lineRule="auto"/>
              <w:jc w:val="left"/>
            </w:pPr>
            <w:r>
              <w:rPr>
                <w:rFonts w:ascii="Times New Roman" w:hAnsi="Times New Roman" w:eastAsia="宋体"/>
                <w:b w:val="0"/>
                <w:i w:val="0"/>
                <w:sz w:val="18"/>
              </w:rPr>
              <w:t>R_use(r,t) / Curt(r,t)</w:t>
            </w:r>
          </w:p>
        </w:tc>
        <w:tc>
          <w:tcPr>
            <w:tcW w:type="dxa" w:w="4600"/>
            <w:vAlign w:val="center"/>
          </w:tcPr>
          <w:p>
            <w:pPr>
              <w:spacing w:before="20" w:after="20" w:line="240" w:lineRule="auto"/>
              <w:jc w:val="center"/>
            </w:pPr>
            <w:r>
              <w:rPr>
                <w:rFonts w:ascii="Times New Roman" w:hAnsi="Times New Roman" w:eastAsia="宋体"/>
                <w:b w:val="0"/>
                <w:i w:val="0"/>
                <w:sz w:val="18"/>
              </w:rPr>
              <w:t>新能源直接消纳 / 弃电功率</w:t>
            </w:r>
          </w:p>
        </w:tc>
        <w:tc>
          <w:tcPr>
            <w:tcW w:type="dxa" w:w="2472"/>
            <w:vAlign w:val="center"/>
          </w:tcPr>
          <w:p>
            <w:pPr>
              <w:spacing w:before="20" w:after="20" w:line="240" w:lineRule="auto"/>
              <w:jc w:val="center"/>
            </w:pPr>
            <w:r>
              <w:rPr>
                <w:rFonts w:ascii="Times New Roman" w:hAnsi="Times New Roman" w:eastAsia="宋体"/>
                <w:b w:val="0"/>
                <w:i w:val="0"/>
                <w:sz w:val="18"/>
              </w:rPr>
              <w:t>MW</w:t>
            </w:r>
          </w:p>
        </w:tc>
      </w:tr>
      <w:tr>
        <w:tc>
          <w:tcPr>
            <w:tcW w:type="dxa" w:w="2000"/>
            <w:vAlign w:val="center"/>
          </w:tcPr>
          <w:p>
            <w:pPr>
              <w:spacing w:before="20" w:after="20" w:line="240" w:lineRule="auto"/>
              <w:jc w:val="left"/>
            </w:pPr>
            <w:r>
              <w:rPr>
                <w:rFonts w:ascii="Times New Roman" w:hAnsi="Times New Roman" w:eastAsia="宋体"/>
                <w:b w:val="0"/>
                <w:i w:val="0"/>
                <w:sz w:val="18"/>
              </w:rPr>
              <w:t>R_ch(r,t) / G_ch(r,t)</w:t>
            </w:r>
          </w:p>
        </w:tc>
        <w:tc>
          <w:tcPr>
            <w:tcW w:type="dxa" w:w="4600"/>
            <w:vAlign w:val="center"/>
          </w:tcPr>
          <w:p>
            <w:pPr>
              <w:spacing w:before="20" w:after="20" w:line="240" w:lineRule="auto"/>
              <w:jc w:val="center"/>
            </w:pPr>
            <w:r>
              <w:rPr>
                <w:rFonts w:ascii="Times New Roman" w:hAnsi="Times New Roman" w:eastAsia="宋体"/>
                <w:b w:val="0"/>
                <w:i w:val="0"/>
                <w:sz w:val="18"/>
              </w:rPr>
              <w:t>新能源充电 / 电网充电功率</w:t>
            </w:r>
          </w:p>
        </w:tc>
        <w:tc>
          <w:tcPr>
            <w:tcW w:type="dxa" w:w="2472"/>
            <w:vAlign w:val="center"/>
          </w:tcPr>
          <w:p>
            <w:pPr>
              <w:spacing w:before="20" w:after="20" w:line="240" w:lineRule="auto"/>
              <w:jc w:val="center"/>
            </w:pPr>
            <w:r>
              <w:rPr>
                <w:rFonts w:ascii="Times New Roman" w:hAnsi="Times New Roman" w:eastAsia="宋体"/>
                <w:b w:val="0"/>
                <w:i w:val="0"/>
                <w:sz w:val="18"/>
              </w:rPr>
              <w:t>MW</w:t>
            </w:r>
          </w:p>
        </w:tc>
      </w:tr>
      <w:tr>
        <w:tc>
          <w:tcPr>
            <w:tcW w:type="dxa" w:w="2000"/>
            <w:vAlign w:val="center"/>
          </w:tcPr>
          <w:p>
            <w:pPr>
              <w:spacing w:before="20" w:after="20" w:line="240" w:lineRule="auto"/>
              <w:jc w:val="left"/>
            </w:pPr>
            <w:r>
              <w:rPr>
                <w:rFonts w:ascii="Times New Roman" w:hAnsi="Times New Roman" w:eastAsia="宋体"/>
                <w:b w:val="0"/>
                <w:i w:val="0"/>
                <w:sz w:val="18"/>
              </w:rPr>
              <w:t>P_ch(r,t) / P_dis(r,t)</w:t>
            </w:r>
          </w:p>
        </w:tc>
        <w:tc>
          <w:tcPr>
            <w:tcW w:type="dxa" w:w="4600"/>
            <w:vAlign w:val="center"/>
          </w:tcPr>
          <w:p>
            <w:pPr>
              <w:spacing w:before="20" w:after="20" w:line="240" w:lineRule="auto"/>
              <w:jc w:val="center"/>
            </w:pPr>
            <w:r>
              <w:rPr>
                <w:rFonts w:ascii="Times New Roman" w:hAnsi="Times New Roman" w:eastAsia="宋体"/>
                <w:b w:val="0"/>
                <w:i w:val="0"/>
                <w:sz w:val="18"/>
              </w:rPr>
              <w:t>储能充电 / 放电功率</w:t>
            </w:r>
          </w:p>
        </w:tc>
        <w:tc>
          <w:tcPr>
            <w:tcW w:type="dxa" w:w="2472"/>
            <w:vAlign w:val="center"/>
          </w:tcPr>
          <w:p>
            <w:pPr>
              <w:spacing w:before="20" w:after="20" w:line="240" w:lineRule="auto"/>
              <w:jc w:val="center"/>
            </w:pPr>
            <w:r>
              <w:rPr>
                <w:rFonts w:ascii="Times New Roman" w:hAnsi="Times New Roman" w:eastAsia="宋体"/>
                <w:b w:val="0"/>
                <w:i w:val="0"/>
                <w:sz w:val="18"/>
              </w:rPr>
              <w:t>MW</w:t>
            </w:r>
          </w:p>
        </w:tc>
      </w:tr>
      <w:tr>
        <w:tc>
          <w:tcPr>
            <w:tcW w:type="dxa" w:w="2000"/>
            <w:vAlign w:val="center"/>
          </w:tcPr>
          <w:p>
            <w:pPr>
              <w:spacing w:before="20" w:after="20" w:line="240" w:lineRule="auto"/>
              <w:jc w:val="left"/>
            </w:pPr>
            <w:r>
              <w:rPr>
                <w:rFonts w:ascii="Times New Roman" w:hAnsi="Times New Roman" w:eastAsia="宋体"/>
                <w:b w:val="0"/>
                <w:i w:val="0"/>
                <w:sz w:val="18"/>
              </w:rPr>
              <w:t>SOC(r,t)</w:t>
            </w:r>
          </w:p>
        </w:tc>
        <w:tc>
          <w:tcPr>
            <w:tcW w:type="dxa" w:w="4600"/>
            <w:vAlign w:val="center"/>
          </w:tcPr>
          <w:p>
            <w:pPr>
              <w:spacing w:before="20" w:after="20" w:line="240" w:lineRule="auto"/>
              <w:jc w:val="center"/>
            </w:pPr>
            <w:r>
              <w:rPr>
                <w:rFonts w:ascii="Times New Roman" w:hAnsi="Times New Roman" w:eastAsia="宋体"/>
                <w:b w:val="0"/>
                <w:i w:val="0"/>
                <w:sz w:val="18"/>
              </w:rPr>
              <w:t>储能时段末荷电状态</w:t>
            </w:r>
          </w:p>
        </w:tc>
        <w:tc>
          <w:tcPr>
            <w:tcW w:type="dxa" w:w="2472"/>
            <w:vAlign w:val="center"/>
          </w:tcPr>
          <w:p>
            <w:pPr>
              <w:spacing w:before="20" w:after="20" w:line="240" w:lineRule="auto"/>
              <w:jc w:val="center"/>
            </w:pPr>
            <w:r>
              <w:rPr>
                <w:rFonts w:ascii="Times New Roman" w:hAnsi="Times New Roman" w:eastAsia="宋体"/>
                <w:b w:val="0"/>
                <w:i w:val="0"/>
                <w:sz w:val="18"/>
              </w:rPr>
              <w:t>MWh</w:t>
            </w:r>
          </w:p>
        </w:tc>
      </w:tr>
      <w:tr>
        <w:tc>
          <w:tcPr>
            <w:tcW w:type="dxa" w:w="2000"/>
            <w:vAlign w:val="center"/>
          </w:tcPr>
          <w:p>
            <w:pPr>
              <w:spacing w:before="20" w:after="20" w:line="240" w:lineRule="auto"/>
              <w:jc w:val="left"/>
            </w:pPr>
            <w:r>
              <w:rPr>
                <w:rFonts w:ascii="Times New Roman" w:hAnsi="Times New Roman" w:eastAsia="宋体"/>
                <w:b w:val="0"/>
                <w:i w:val="0"/>
                <w:sz w:val="18"/>
              </w:rPr>
              <w:t>ηc / ηd</w:t>
            </w:r>
          </w:p>
        </w:tc>
        <w:tc>
          <w:tcPr>
            <w:tcW w:type="dxa" w:w="4600"/>
            <w:vAlign w:val="center"/>
          </w:tcPr>
          <w:p>
            <w:pPr>
              <w:spacing w:before="20" w:after="20" w:line="240" w:lineRule="auto"/>
              <w:jc w:val="center"/>
            </w:pPr>
            <w:r>
              <w:rPr>
                <w:rFonts w:ascii="Times New Roman" w:hAnsi="Times New Roman" w:eastAsia="宋体"/>
                <w:b w:val="0"/>
                <w:i w:val="0"/>
                <w:sz w:val="18"/>
              </w:rPr>
              <w:t>储能充 / 放电效率</w:t>
            </w:r>
          </w:p>
        </w:tc>
        <w:tc>
          <w:tcPr>
            <w:tcW w:type="dxa" w:w="2472"/>
            <w:vAlign w:val="center"/>
          </w:tcPr>
          <w:p>
            <w:pPr>
              <w:spacing w:before="20" w:after="20" w:line="240" w:lineRule="auto"/>
              <w:jc w:val="center"/>
            </w:pPr>
            <w:r>
              <w:rPr>
                <w:rFonts w:ascii="Times New Roman" w:hAnsi="Times New Roman" w:eastAsia="宋体"/>
                <w:b w:val="0"/>
                <w:i w:val="0"/>
                <w:sz w:val="18"/>
              </w:rPr>
              <w:t>无量纲</w:t>
            </w:r>
          </w:p>
        </w:tc>
      </w:tr>
      <w:tr>
        <w:tc>
          <w:tcPr>
            <w:tcW w:type="dxa" w:w="2000"/>
            <w:vAlign w:val="center"/>
          </w:tcPr>
          <w:p>
            <w:pPr>
              <w:spacing w:before="20" w:after="20" w:line="240" w:lineRule="auto"/>
              <w:jc w:val="left"/>
            </w:pPr>
            <w:r>
              <w:rPr>
                <w:rFonts w:ascii="Times New Roman" w:hAnsi="Times New Roman" w:eastAsia="宋体"/>
                <w:b w:val="0"/>
                <w:i w:val="0"/>
                <w:sz w:val="18"/>
              </w:rPr>
              <w:t>ElectricityPrice(r,t)</w:t>
            </w:r>
          </w:p>
        </w:tc>
        <w:tc>
          <w:tcPr>
            <w:tcW w:type="dxa" w:w="4600"/>
            <w:vAlign w:val="center"/>
          </w:tcPr>
          <w:p>
            <w:pPr>
              <w:spacing w:before="20" w:after="20" w:line="240" w:lineRule="auto"/>
              <w:jc w:val="center"/>
            </w:pPr>
            <w:r>
              <w:rPr>
                <w:rFonts w:ascii="Times New Roman" w:hAnsi="Times New Roman" w:eastAsia="宋体"/>
                <w:b w:val="0"/>
                <w:i w:val="0"/>
                <w:sz w:val="18"/>
              </w:rPr>
              <w:t>购电价格</w:t>
            </w:r>
          </w:p>
        </w:tc>
        <w:tc>
          <w:tcPr>
            <w:tcW w:type="dxa" w:w="2472"/>
            <w:vAlign w:val="center"/>
          </w:tcPr>
          <w:p>
            <w:pPr>
              <w:spacing w:before="20" w:after="20" w:line="240" w:lineRule="auto"/>
              <w:jc w:val="center"/>
            </w:pPr>
            <w:r>
              <w:rPr>
                <w:rFonts w:ascii="Times New Roman" w:hAnsi="Times New Roman" w:eastAsia="宋体"/>
                <w:b w:val="0"/>
                <w:i w:val="0"/>
                <w:sz w:val="18"/>
              </w:rPr>
              <w:t>元/MWh</w:t>
            </w:r>
          </w:p>
        </w:tc>
      </w:tr>
      <w:tr>
        <w:tc>
          <w:tcPr>
            <w:tcW w:type="dxa" w:w="2000"/>
            <w:vAlign w:val="center"/>
          </w:tcPr>
          <w:p>
            <w:pPr>
              <w:spacing w:before="20" w:after="20" w:line="240" w:lineRule="auto"/>
              <w:jc w:val="left"/>
            </w:pPr>
            <w:r>
              <w:rPr>
                <w:rFonts w:ascii="Times New Roman" w:hAnsi="Times New Roman" w:eastAsia="宋体"/>
                <w:b w:val="0"/>
                <w:i w:val="0"/>
                <w:sz w:val="18"/>
              </w:rPr>
              <w:t>CarbonIntensity(r,t)</w:t>
            </w:r>
          </w:p>
        </w:tc>
        <w:tc>
          <w:tcPr>
            <w:tcW w:type="dxa" w:w="4600"/>
            <w:vAlign w:val="center"/>
          </w:tcPr>
          <w:p>
            <w:pPr>
              <w:spacing w:before="20" w:after="20" w:line="240" w:lineRule="auto"/>
              <w:jc w:val="center"/>
            </w:pPr>
            <w:r>
              <w:rPr>
                <w:rFonts w:ascii="Times New Roman" w:hAnsi="Times New Roman" w:eastAsia="宋体"/>
                <w:b w:val="0"/>
                <w:i w:val="0"/>
                <w:sz w:val="18"/>
              </w:rPr>
              <w:t>电网碳强度</w:t>
            </w:r>
          </w:p>
        </w:tc>
        <w:tc>
          <w:tcPr>
            <w:tcW w:type="dxa" w:w="2472"/>
            <w:vAlign w:val="center"/>
          </w:tcPr>
          <w:p>
            <w:pPr>
              <w:spacing w:before="20" w:after="20" w:line="240" w:lineRule="auto"/>
              <w:jc w:val="center"/>
            </w:pPr>
            <w:r>
              <w:rPr>
                <w:rFonts w:ascii="Times New Roman" w:hAnsi="Times New Roman" w:eastAsia="宋体"/>
                <w:b w:val="0"/>
                <w:i w:val="0"/>
                <w:sz w:val="18"/>
              </w:rPr>
              <w:t>tCO₂/MWh</w:t>
            </w:r>
          </w:p>
        </w:tc>
      </w:tr>
      <w:tr>
        <w:tc>
          <w:tcPr>
            <w:tcW w:type="dxa" w:w="2000"/>
            <w:vAlign w:val="center"/>
          </w:tcPr>
          <w:p>
            <w:pPr>
              <w:spacing w:before="20" w:after="20" w:line="240" w:lineRule="auto"/>
              <w:jc w:val="left"/>
            </w:pPr>
            <w:r>
              <w:rPr>
                <w:rFonts w:ascii="Times New Roman" w:hAnsi="Times New Roman" w:eastAsia="宋体"/>
                <w:b w:val="0"/>
                <w:i w:val="0"/>
                <w:sz w:val="18"/>
              </w:rPr>
              <w:t>NetGridImport(r,t)</w:t>
            </w:r>
          </w:p>
        </w:tc>
        <w:tc>
          <w:tcPr>
            <w:tcW w:type="dxa" w:w="4600"/>
            <w:vAlign w:val="center"/>
          </w:tcPr>
          <w:p>
            <w:pPr>
              <w:spacing w:before="20" w:after="20" w:line="240" w:lineRule="auto"/>
              <w:jc w:val="center"/>
            </w:pPr>
            <w:r>
              <w:rPr>
                <w:rFonts w:ascii="Times New Roman" w:hAnsi="Times New Roman" w:eastAsia="宋体"/>
                <w:b w:val="0"/>
                <w:i w:val="0"/>
                <w:sz w:val="18"/>
              </w:rPr>
              <w:t>净购电功率（购电−外送）</w:t>
            </w:r>
          </w:p>
        </w:tc>
        <w:tc>
          <w:tcPr>
            <w:tcW w:type="dxa" w:w="2472"/>
            <w:vAlign w:val="center"/>
          </w:tcPr>
          <w:p>
            <w:pPr>
              <w:spacing w:before="20" w:after="20" w:line="240" w:lineRule="auto"/>
              <w:jc w:val="center"/>
            </w:pPr>
            <w:r>
              <w:rPr>
                <w:rFonts w:ascii="Times New Roman" w:hAnsi="Times New Roman" w:eastAsia="宋体"/>
                <w:b w:val="0"/>
                <w:i w:val="0"/>
                <w:sz w:val="18"/>
              </w:rPr>
              <w:t>MW</w:t>
            </w:r>
          </w:p>
        </w:tc>
      </w:tr>
    </w:tbl>
    <w:p>
      <w:pPr>
        <w:pStyle w:val="Heading1"/>
      </w:pPr>
      <w:r>
        <w:t>五、模型建立与求解</w:t>
      </w:r>
    </w:p>
    <w:p>
      <w:pPr>
        <w:pStyle w:val="Heading2"/>
      </w:pPr>
      <w:r>
        <w:t>5.1 问题一：算力需求统计、短期预测与基础算力调度</w:t>
      </w:r>
    </w:p>
    <w:p>
      <w:pPr>
        <w:pStyle w:val="Heading3"/>
      </w:pPr>
      <w:r>
        <w:t>5.1.1 数据探索与统计分析</w:t>
      </w:r>
    </w:p>
    <w:p>
      <w:pPr>
        <w:spacing w:after="0" w:line="240" w:lineRule="auto"/>
        <w:ind w:firstLine="480"/>
      </w:pPr>
      <w:r>
        <w:rPr>
          <w:rFonts w:ascii="Times New Roman" w:hAnsi="Times New Roman" w:eastAsia="宋体"/>
          <w:b w:val="0"/>
          <w:i w:val="0"/>
          <w:sz w:val="24"/>
        </w:rPr>
        <w:t>对 workload_trace.xlsx 中的 50 000 个任务按区域与类型进行统计：三类任务数量近乎均衡（各占约三分之一），来源区域以东三区与西部算力中心为主。对逐时任务到达数进行统计分析，其均值方差比约为 1.032、一阶自相关接近于 0，近似服从泊松分布；逐时 GPU 需求总量与 GPU-hour 需求的方差显著大于均值（过离散），但一阶自相关同样接近于 0，无明显趋势与周期记忆成分。上述特性表明短期预测应以近期观测信息与时变特征为主，无需引入复杂的长期记忆模型，这也为后续选择梯度提升树等监督学习模型提供了依据。</w:t>
      </w:r>
    </w:p>
    <w:p>
      <w:pPr>
        <w:spacing w:after="0" w:line="240" w:lineRule="auto"/>
        <w:ind w:firstLine="480"/>
      </w:pPr>
      <w:r>
        <w:rPr>
          <w:rFonts w:ascii="Times New Roman" w:hAnsi="Times New Roman" w:eastAsia="宋体"/>
          <w:b w:val="0"/>
          <w:i w:val="0"/>
          <w:sz w:val="24"/>
        </w:rPr>
        <w:t>进一步按区域与任务类型交叉统计可知：实时推理任务集中于东三区（占比约 78%），与“东部靠近用户侧、时延要求高”的区域定位一致；AI 训练任务则相对均衡地分布在各区域，但西三区占比更高，反映了训练任务对时延不敏感、可充分利用西部算力与绿电资源的特性。这种区域-类型耦合结构为问题二的迁移策略设计提供了直接的统计依据：迁移的“主力”应为 AI 训练与可延迟批量任务，而实时推理任务原则上保持本地执行。</w:t>
      </w:r>
    </w:p>
    <w:p>
      <w:pPr>
        <w:spacing w:after="0" w:line="240" w:lineRule="auto"/>
        <w:ind w:firstLine="480"/>
      </w:pPr>
      <w:r>
        <w:rPr>
          <w:rFonts w:ascii="Times New Roman" w:hAnsi="Times New Roman" w:eastAsia="宋体"/>
          <w:b w:val="0"/>
          <w:i w:val="0"/>
          <w:sz w:val="24"/>
        </w:rPr>
        <w:t>在统计口径上，GPU 需求按等效 GPU 单元计量，任务功率由任务类型决定（AI 训练 0.16、批量推理 0.10、实时推理 0.08 MW/GPU），区域设施负荷按“IT 负荷×PUE”折算。上述口径与附件 1 完全一致，确保后续所有模型的结果可比较、可复现。</w:t>
      </w:r>
    </w:p>
    <w:p>
      <w:pPr>
        <w:pStyle w:val="Heading3"/>
      </w:pPr>
      <w:r>
        <w:t>5.1.2 短期预测模型</w:t>
      </w:r>
    </w:p>
    <w:p>
      <w:pPr>
        <w:spacing w:after="0" w:line="240" w:lineRule="auto"/>
        <w:ind w:firstLine="480"/>
      </w:pPr>
      <w:r>
        <w:rPr>
          <w:rFonts w:ascii="Times New Roman" w:hAnsi="Times New Roman" w:eastAsia="宋体"/>
          <w:b w:val="0"/>
          <w:i w:val="0"/>
          <w:sz w:val="24"/>
        </w:rPr>
        <w:t>以逐小时 GPU 需求总量为预测对象，分别构建常数均值、AR(2) 与梯度提升树三种模型，以 10% 留出法（0–2159 小时训练、2160–2399 小时测试）验证。梯度提升树采用小时滞后特征、日内周期特征与滚动统计特征构造输入，以均方误差为损失逐轮拟合残差。三种模型的预测性能对比如表 3 所示。</w:t>
      </w:r>
    </w:p>
    <w:p>
      <w:pPr>
        <w:spacing w:before="160" w:after="60"/>
        <w:jc w:val="center"/>
      </w:pPr>
      <w:r>
        <w:rPr>
          <w:rFonts w:ascii="Times New Roman" w:hAnsi="Times New Roman" w:eastAsia="宋体"/>
          <w:b/>
          <w:i w:val="0"/>
          <w:sz w:val="21"/>
        </w:rPr>
        <w:t>表 3  三种短期预测模型性能对比</w:t>
      </w:r>
    </w:p>
    <w:tbl>
      <w:tblPr>
        <w:tblW w:type="dxa" w:w="9072"/>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firstColumn="1" w:firstRow="1" w:lastColumn="0" w:lastRow="0" w:noHBand="0" w:noVBand="1" w:val="04A0"/>
        <w:tblInd w:w="120" w:type="dxa"/>
        <w:tblCellMar>
          <w:top w:w="40" w:type="dxa"/>
          <w:start w:w="80" w:type="dxa"/>
          <w:bottom w:w="40" w:type="dxa"/>
          <w:end w:w="80" w:type="dxa"/>
        </w:tblCellMar>
      </w:tblPr>
      <w:tblGrid>
        <w:gridCol w:w="2600"/>
        <w:gridCol w:w="2157"/>
        <w:gridCol w:w="2157"/>
        <w:gridCol w:w="2158"/>
      </w:tblGrid>
      <w:tr>
        <w:trPr>
          <w:tblHeader/>
        </w:trPr>
        <w:tc>
          <w:tcPr>
            <w:tcW w:type="dxa" w:w="26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模型</w:t>
            </w:r>
          </w:p>
        </w:tc>
        <w:tc>
          <w:tcPr>
            <w:tcW w:type="dxa" w:w="2157"/>
            <w:vAlign w:val="center"/>
            <w:tcBorders>
              <w:bottom w:val="single" w:sz="6" w:space="0" w:color="000000"/>
            </w:tcBorders>
          </w:tcPr>
          <w:p>
            <w:pPr>
              <w:spacing w:before="20" w:after="20" w:line="240" w:lineRule="auto"/>
              <w:jc w:val="center"/>
            </w:pPr>
            <w:r>
              <w:rPr>
                <w:rFonts w:ascii="Times New Roman" w:hAnsi="Times New Roman" w:eastAsia="宋体"/>
                <w:b/>
                <w:i w:val="0"/>
                <w:sz w:val="18"/>
              </w:rPr>
              <w:t>MAE（等效GPU）</w:t>
            </w:r>
          </w:p>
        </w:tc>
        <w:tc>
          <w:tcPr>
            <w:tcW w:type="dxa" w:w="2157"/>
            <w:vAlign w:val="center"/>
            <w:tcBorders>
              <w:bottom w:val="single" w:sz="6" w:space="0" w:color="000000"/>
            </w:tcBorders>
          </w:tcPr>
          <w:p>
            <w:pPr>
              <w:spacing w:before="20" w:after="20" w:line="240" w:lineRule="auto"/>
              <w:jc w:val="center"/>
            </w:pPr>
            <w:r>
              <w:rPr>
                <w:rFonts w:ascii="Times New Roman" w:hAnsi="Times New Roman" w:eastAsia="宋体"/>
                <w:b/>
                <w:i w:val="0"/>
                <w:sz w:val="18"/>
              </w:rPr>
              <w:t>RMSE（等效GPU）</w:t>
            </w:r>
          </w:p>
        </w:tc>
        <w:tc>
          <w:tcPr>
            <w:tcW w:type="dxa" w:w="2158"/>
            <w:vAlign w:val="center"/>
            <w:tcBorders>
              <w:bottom w:val="single" w:sz="6" w:space="0" w:color="000000"/>
            </w:tcBorders>
          </w:tcPr>
          <w:p>
            <w:pPr>
              <w:spacing w:before="20" w:after="20" w:line="240" w:lineRule="auto"/>
              <w:jc w:val="center"/>
            </w:pPr>
            <w:r>
              <w:rPr>
                <w:rFonts w:ascii="Times New Roman" w:hAnsi="Times New Roman" w:eastAsia="宋体"/>
                <w:b/>
                <w:i w:val="0"/>
                <w:sz w:val="18"/>
              </w:rPr>
              <w:t>MAPE</w:t>
            </w:r>
          </w:p>
        </w:tc>
      </w:tr>
      <w:tr>
        <w:tc>
          <w:tcPr>
            <w:tcW w:type="dxa" w:w="2600"/>
            <w:vAlign w:val="center"/>
          </w:tcPr>
          <w:p>
            <w:pPr>
              <w:spacing w:before="20" w:after="20" w:line="240" w:lineRule="auto"/>
              <w:jc w:val="left"/>
            </w:pPr>
            <w:r>
              <w:rPr>
                <w:rFonts w:ascii="Times New Roman" w:hAnsi="Times New Roman" w:eastAsia="宋体"/>
                <w:b w:val="0"/>
                <w:i w:val="0"/>
                <w:sz w:val="18"/>
              </w:rPr>
              <w:t>常数均值</w:t>
            </w:r>
          </w:p>
        </w:tc>
        <w:tc>
          <w:tcPr>
            <w:tcW w:type="dxa" w:w="2157"/>
            <w:vAlign w:val="center"/>
          </w:tcPr>
          <w:p>
            <w:pPr>
              <w:spacing w:before="20" w:after="20" w:line="240" w:lineRule="auto"/>
              <w:jc w:val="center"/>
            </w:pPr>
            <w:r>
              <w:rPr>
                <w:rFonts w:ascii="Times New Roman" w:hAnsi="Times New Roman" w:eastAsia="宋体"/>
                <w:b w:val="0"/>
                <w:i w:val="0"/>
                <w:sz w:val="18"/>
              </w:rPr>
              <w:t>351.38</w:t>
            </w:r>
          </w:p>
        </w:tc>
        <w:tc>
          <w:tcPr>
            <w:tcW w:type="dxa" w:w="2157"/>
            <w:vAlign w:val="center"/>
          </w:tcPr>
          <w:p>
            <w:pPr>
              <w:spacing w:before="20" w:after="20" w:line="240" w:lineRule="auto"/>
              <w:jc w:val="center"/>
            </w:pPr>
            <w:r>
              <w:rPr>
                <w:rFonts w:ascii="Times New Roman" w:hAnsi="Times New Roman" w:eastAsia="宋体"/>
                <w:b w:val="0"/>
                <w:i w:val="0"/>
                <w:sz w:val="18"/>
              </w:rPr>
              <w:t>425.90</w:t>
            </w:r>
          </w:p>
        </w:tc>
        <w:tc>
          <w:tcPr>
            <w:tcW w:type="dxa" w:w="2158"/>
            <w:vAlign w:val="center"/>
          </w:tcPr>
          <w:p>
            <w:pPr>
              <w:spacing w:before="20" w:after="20" w:line="240" w:lineRule="auto"/>
              <w:jc w:val="center"/>
            </w:pPr>
            <w:r>
              <w:rPr>
                <w:rFonts w:ascii="Times New Roman" w:hAnsi="Times New Roman" w:eastAsia="宋体"/>
                <w:b w:val="0"/>
                <w:i w:val="0"/>
                <w:sz w:val="18"/>
              </w:rPr>
              <w:t>14.61%</w:t>
            </w:r>
          </w:p>
        </w:tc>
      </w:tr>
      <w:tr>
        <w:tc>
          <w:tcPr>
            <w:tcW w:type="dxa" w:w="2600"/>
            <w:vAlign w:val="center"/>
          </w:tcPr>
          <w:p>
            <w:pPr>
              <w:spacing w:before="20" w:after="20" w:line="240" w:lineRule="auto"/>
              <w:jc w:val="left"/>
            </w:pPr>
            <w:r>
              <w:rPr>
                <w:rFonts w:ascii="Times New Roman" w:hAnsi="Times New Roman" w:eastAsia="宋体"/>
                <w:b w:val="0"/>
                <w:i w:val="0"/>
                <w:sz w:val="18"/>
              </w:rPr>
              <w:t>AR(2)</w:t>
            </w:r>
          </w:p>
        </w:tc>
        <w:tc>
          <w:tcPr>
            <w:tcW w:type="dxa" w:w="2157"/>
            <w:vAlign w:val="center"/>
          </w:tcPr>
          <w:p>
            <w:pPr>
              <w:spacing w:before="20" w:after="20" w:line="240" w:lineRule="auto"/>
              <w:jc w:val="center"/>
            </w:pPr>
            <w:r>
              <w:rPr>
                <w:rFonts w:ascii="Times New Roman" w:hAnsi="Times New Roman" w:eastAsia="宋体"/>
                <w:b w:val="0"/>
                <w:i w:val="0"/>
                <w:sz w:val="18"/>
              </w:rPr>
              <w:t>350.24</w:t>
            </w:r>
          </w:p>
        </w:tc>
        <w:tc>
          <w:tcPr>
            <w:tcW w:type="dxa" w:w="2157"/>
            <w:vAlign w:val="center"/>
          </w:tcPr>
          <w:p>
            <w:pPr>
              <w:spacing w:before="20" w:after="20" w:line="240" w:lineRule="auto"/>
              <w:jc w:val="center"/>
            </w:pPr>
            <w:r>
              <w:rPr>
                <w:rFonts w:ascii="Times New Roman" w:hAnsi="Times New Roman" w:eastAsia="宋体"/>
                <w:b w:val="0"/>
                <w:i w:val="0"/>
                <w:sz w:val="18"/>
              </w:rPr>
              <w:t>424.79</w:t>
            </w:r>
          </w:p>
        </w:tc>
        <w:tc>
          <w:tcPr>
            <w:tcW w:type="dxa" w:w="2158"/>
            <w:vAlign w:val="center"/>
          </w:tcPr>
          <w:p>
            <w:pPr>
              <w:spacing w:before="20" w:after="20" w:line="240" w:lineRule="auto"/>
              <w:jc w:val="center"/>
            </w:pPr>
            <w:r>
              <w:rPr>
                <w:rFonts w:ascii="Times New Roman" w:hAnsi="Times New Roman" w:eastAsia="宋体"/>
                <w:b w:val="0"/>
                <w:i w:val="0"/>
                <w:sz w:val="18"/>
              </w:rPr>
              <w:t>14.55%</w:t>
            </w:r>
          </w:p>
        </w:tc>
      </w:tr>
      <w:tr>
        <w:tc>
          <w:tcPr>
            <w:tcW w:type="dxa" w:w="2600"/>
            <w:vAlign w:val="center"/>
          </w:tcPr>
          <w:p>
            <w:pPr>
              <w:spacing w:before="20" w:after="20" w:line="240" w:lineRule="auto"/>
              <w:jc w:val="left"/>
            </w:pPr>
            <w:r>
              <w:rPr>
                <w:rFonts w:ascii="Times New Roman" w:hAnsi="Times New Roman" w:eastAsia="宋体"/>
                <w:b w:val="0"/>
                <w:i w:val="0"/>
                <w:sz w:val="18"/>
              </w:rPr>
              <w:t>梯度提升树</w:t>
            </w:r>
          </w:p>
        </w:tc>
        <w:tc>
          <w:tcPr>
            <w:tcW w:type="dxa" w:w="2157"/>
            <w:vAlign w:val="center"/>
          </w:tcPr>
          <w:p>
            <w:pPr>
              <w:spacing w:before="20" w:after="20" w:line="240" w:lineRule="auto"/>
              <w:jc w:val="center"/>
            </w:pPr>
            <w:r>
              <w:rPr>
                <w:rFonts w:ascii="Times New Roman" w:hAnsi="Times New Roman" w:eastAsia="宋体"/>
                <w:b w:val="0"/>
                <w:i w:val="0"/>
                <w:sz w:val="18"/>
              </w:rPr>
              <w:t>230.79</w:t>
            </w:r>
          </w:p>
        </w:tc>
        <w:tc>
          <w:tcPr>
            <w:tcW w:type="dxa" w:w="2157"/>
            <w:vAlign w:val="center"/>
          </w:tcPr>
          <w:p>
            <w:pPr>
              <w:spacing w:before="20" w:after="20" w:line="240" w:lineRule="auto"/>
              <w:jc w:val="center"/>
            </w:pPr>
            <w:r>
              <w:rPr>
                <w:rFonts w:ascii="Times New Roman" w:hAnsi="Times New Roman" w:eastAsia="宋体"/>
                <w:b w:val="0"/>
                <w:i w:val="0"/>
                <w:sz w:val="18"/>
              </w:rPr>
              <w:t>284.49</w:t>
            </w:r>
          </w:p>
        </w:tc>
        <w:tc>
          <w:tcPr>
            <w:tcW w:type="dxa" w:w="2158"/>
            <w:vAlign w:val="center"/>
          </w:tcPr>
          <w:p>
            <w:pPr>
              <w:spacing w:before="20" w:after="20" w:line="240" w:lineRule="auto"/>
              <w:jc w:val="center"/>
            </w:pPr>
            <w:r>
              <w:rPr>
                <w:rFonts w:ascii="Times New Roman" w:hAnsi="Times New Roman" w:eastAsia="宋体"/>
                <w:b w:val="0"/>
                <w:i w:val="0"/>
                <w:sz w:val="18"/>
              </w:rPr>
              <w:t>9.51%</w:t>
            </w:r>
          </w:p>
        </w:tc>
      </w:tr>
    </w:tbl>
    <w:p>
      <w:pPr>
        <w:spacing w:after="0" w:line="240" w:lineRule="auto"/>
        <w:ind w:firstLine="480"/>
      </w:pPr>
      <w:r>
        <w:rPr>
          <w:rFonts w:ascii="Times New Roman" w:hAnsi="Times New Roman" w:eastAsia="宋体"/>
          <w:b w:val="0"/>
          <w:i w:val="0"/>
          <w:sz w:val="24"/>
        </w:rPr>
        <w:t>梯度提升树模型的 MAPE 为 9.51%，较常数均值与 AR(2) 模型分别下降约 34.9% 与 34.6%，预测性能最优。进一步以分位数损失训练三个分位模型（5%、50%、95%）构造 90% 预测区间，测试集上的区间覆盖率为 85.8%，在可接受范围内，可为调度决策提供不确定性边界。注：正式提交建议按赛题口径（0–2351 训练、2352–2375 验证、0–2375 重训、2376–2399 最终测试）重新核算最终测试精度。</w:t>
      </w:r>
    </w:p>
    <w:p>
      <w:pPr>
        <w:spacing w:after="0" w:line="240" w:lineRule="auto"/>
        <w:ind w:firstLine="480"/>
      </w:pPr>
      <w:r>
        <w:rPr>
          <w:rFonts w:ascii="Times New Roman" w:hAnsi="Times New Roman" w:eastAsia="宋体"/>
          <w:b w:val="0"/>
          <w:i w:val="0"/>
          <w:sz w:val="24"/>
        </w:rPr>
        <w:t>特征工程方面，梯度提升树模型以小时滞后特征（滞后 1、2、3、24、168 小时）、日内周期编码与滚动统计特征（近 24 小时均值与标准差）作为输入，并通过网格搜索确定树深度、学习率与弱学习器数量等超参数。为量化预测不确定性，额外以分位数损失训练 5%、50%、95% 三个分位模型，构造 90% 预测区间；测试集上区间覆盖率为 85.8%，略低于名义水平，但仍在调度决策可接受范围内，可为“何时何地安排弹性任务”提供风险边界。</w:t>
      </w:r>
    </w:p>
    <w:p>
      <w:pPr>
        <w:spacing w:after="0" w:line="240" w:lineRule="auto"/>
        <w:ind w:firstLine="480"/>
      </w:pPr>
      <w:r>
        <w:rPr>
          <w:rFonts w:ascii="Times New Roman" w:hAnsi="Times New Roman" w:eastAsia="宋体"/>
          <w:b w:val="0"/>
          <w:i w:val="0"/>
          <w:sz w:val="24"/>
        </w:rPr>
        <w:t>值得说明的是，预测的目标是逐小时 GPU 需求总量，而非单个任务，因此预测误差主要影响容量预留与弹性任务的时段选择，而不会改变任务本身的可行性判断；这使预测模型与基础调度模型能够解耦，先预测、再调度，结构清晰且可独立检验。</w:t>
      </w:r>
    </w:p>
    <w:p>
      <w:pPr>
        <w:pStyle w:val="Heading3"/>
      </w:pPr>
      <w:r>
        <w:t>5.1.3 基础算力调度模型</w:t>
      </w:r>
    </w:p>
    <w:p>
      <w:pPr>
        <w:spacing w:after="0" w:line="240" w:lineRule="auto"/>
        <w:ind w:firstLine="480"/>
      </w:pPr>
      <w:r>
        <w:rPr>
          <w:rFonts w:ascii="Times New Roman" w:hAnsi="Times New Roman" w:eastAsia="宋体"/>
          <w:b w:val="0"/>
          <w:i w:val="0"/>
          <w:sz w:val="24"/>
        </w:rPr>
        <w:t>基础调度模型以 GPU 容量为硬约束：实时推理任务到达即开工，批量推理与 AI 训练任务在容量允许时可延后执行，任务不可拆分或迁移。对第 2376–2399 小时实际到达的 538 个任务进行调度，结果统计如表 4 所示。全部任务按时完成，迁移率仅 2.8%，全部任务到达即开工（零延后），IT 功率峰值约为容量的 28%。这说明测试窗口内区域算力容量充足，基础调度即可满足全部约束；延后与迁移的调度弹性将留给问题二在成本、碳排与新能源消纳目标下使用。调度甘特图与区域 GPU 利用率曲线【待插入：由调度明细生成】。</w:t>
      </w:r>
    </w:p>
    <w:p>
      <w:pPr>
        <w:spacing w:before="160" w:after="60"/>
        <w:jc w:val="center"/>
      </w:pPr>
      <w:r>
        <w:rPr>
          <w:rFonts w:ascii="Times New Roman" w:hAnsi="Times New Roman" w:eastAsia="宋体"/>
          <w:b/>
          <w:i w:val="0"/>
          <w:sz w:val="21"/>
        </w:rPr>
        <w:t>表 4  最后 24 小时基础调度任务统计（2376–2399）</w:t>
      </w:r>
    </w:p>
    <w:tbl>
      <w:tblPr>
        <w:tblW w:type="dxa" w:w="9072"/>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firstColumn="1" w:firstRow="1" w:lastColumn="0" w:lastRow="0" w:noHBand="0" w:noVBand="1" w:val="04A0"/>
        <w:tblInd w:w="120" w:type="dxa"/>
        <w:tblCellMar>
          <w:top w:w="40" w:type="dxa"/>
          <w:start w:w="80" w:type="dxa"/>
          <w:bottom w:w="40" w:type="dxa"/>
          <w:end w:w="80" w:type="dxa"/>
        </w:tblCellMar>
      </w:tblPr>
      <w:tblGrid>
        <w:gridCol w:w="2100"/>
        <w:gridCol w:w="1700"/>
        <w:gridCol w:w="1500"/>
        <w:gridCol w:w="3772"/>
      </w:tblGrid>
      <w:tr>
        <w:trPr>
          <w:tblHeader/>
        </w:trPr>
        <w:tc>
          <w:tcPr>
            <w:tcW w:type="dxa" w:w="21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任务类型</w:t>
            </w:r>
          </w:p>
        </w:tc>
        <w:tc>
          <w:tcPr>
            <w:tcW w:type="dxa" w:w="17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任务数</w:t>
            </w:r>
          </w:p>
        </w:tc>
        <w:tc>
          <w:tcPr>
            <w:tcW w:type="dxa" w:w="15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占比</w:t>
            </w:r>
          </w:p>
        </w:tc>
        <w:tc>
          <w:tcPr>
            <w:tcW w:type="dxa" w:w="3772"/>
            <w:vAlign w:val="center"/>
            <w:tcBorders>
              <w:bottom w:val="single" w:sz="6" w:space="0" w:color="000000"/>
            </w:tcBorders>
          </w:tcPr>
          <w:p>
            <w:pPr>
              <w:spacing w:before="20" w:after="20" w:line="240" w:lineRule="auto"/>
              <w:jc w:val="center"/>
            </w:pPr>
            <w:r>
              <w:rPr>
                <w:rFonts w:ascii="Times New Roman" w:hAnsi="Times New Roman" w:eastAsia="宋体"/>
                <w:b/>
                <w:i w:val="0"/>
                <w:sz w:val="18"/>
              </w:rPr>
              <w:t>调度特性</w:t>
            </w:r>
          </w:p>
        </w:tc>
      </w:tr>
      <w:tr>
        <w:tc>
          <w:tcPr>
            <w:tcW w:type="dxa" w:w="2100"/>
            <w:vAlign w:val="center"/>
          </w:tcPr>
          <w:p>
            <w:pPr>
              <w:spacing w:before="20" w:after="20" w:line="240" w:lineRule="auto"/>
              <w:jc w:val="left"/>
            </w:pPr>
            <w:r>
              <w:rPr>
                <w:rFonts w:ascii="Times New Roman" w:hAnsi="Times New Roman" w:eastAsia="宋体"/>
                <w:b w:val="0"/>
                <w:i w:val="0"/>
                <w:sz w:val="18"/>
              </w:rPr>
              <w:t>AI 训练</w:t>
            </w:r>
          </w:p>
        </w:tc>
        <w:tc>
          <w:tcPr>
            <w:tcW w:type="dxa" w:w="1700"/>
            <w:vAlign w:val="center"/>
          </w:tcPr>
          <w:p>
            <w:pPr>
              <w:spacing w:before="20" w:after="20" w:line="240" w:lineRule="auto"/>
              <w:jc w:val="center"/>
            </w:pPr>
            <w:r>
              <w:rPr>
                <w:rFonts w:ascii="Times New Roman" w:hAnsi="Times New Roman" w:eastAsia="宋体"/>
                <w:b w:val="0"/>
                <w:i w:val="0"/>
                <w:sz w:val="18"/>
              </w:rPr>
              <w:t>194</w:t>
            </w:r>
          </w:p>
        </w:tc>
        <w:tc>
          <w:tcPr>
            <w:tcW w:type="dxa" w:w="1500"/>
            <w:vAlign w:val="center"/>
          </w:tcPr>
          <w:p>
            <w:pPr>
              <w:spacing w:before="20" w:after="20" w:line="240" w:lineRule="auto"/>
              <w:jc w:val="center"/>
            </w:pPr>
            <w:r>
              <w:rPr>
                <w:rFonts w:ascii="Times New Roman" w:hAnsi="Times New Roman" w:eastAsia="宋体"/>
                <w:b w:val="0"/>
                <w:i w:val="0"/>
                <w:sz w:val="18"/>
              </w:rPr>
              <w:t>36.1%</w:t>
            </w:r>
          </w:p>
        </w:tc>
        <w:tc>
          <w:tcPr>
            <w:tcW w:type="dxa" w:w="3772"/>
            <w:vAlign w:val="center"/>
          </w:tcPr>
          <w:p>
            <w:pPr>
              <w:spacing w:before="20" w:after="20" w:line="240" w:lineRule="auto"/>
              <w:jc w:val="center"/>
            </w:pPr>
            <w:r>
              <w:rPr>
                <w:rFonts w:ascii="Times New Roman" w:hAnsi="Times New Roman" w:eastAsia="宋体"/>
                <w:b w:val="0"/>
                <w:i w:val="0"/>
                <w:sz w:val="18"/>
              </w:rPr>
              <w:t>允许延后</w:t>
            </w:r>
          </w:p>
        </w:tc>
      </w:tr>
      <w:tr>
        <w:tc>
          <w:tcPr>
            <w:tcW w:type="dxa" w:w="2100"/>
            <w:vAlign w:val="center"/>
          </w:tcPr>
          <w:p>
            <w:pPr>
              <w:spacing w:before="20" w:after="20" w:line="240" w:lineRule="auto"/>
              <w:jc w:val="left"/>
            </w:pPr>
            <w:r>
              <w:rPr>
                <w:rFonts w:ascii="Times New Roman" w:hAnsi="Times New Roman" w:eastAsia="宋体"/>
                <w:b w:val="0"/>
                <w:i w:val="0"/>
                <w:sz w:val="18"/>
              </w:rPr>
              <w:t>批量推理</w:t>
            </w:r>
          </w:p>
        </w:tc>
        <w:tc>
          <w:tcPr>
            <w:tcW w:type="dxa" w:w="1700"/>
            <w:vAlign w:val="center"/>
          </w:tcPr>
          <w:p>
            <w:pPr>
              <w:spacing w:before="20" w:after="20" w:line="240" w:lineRule="auto"/>
              <w:jc w:val="center"/>
            </w:pPr>
            <w:r>
              <w:rPr>
                <w:rFonts w:ascii="Times New Roman" w:hAnsi="Times New Roman" w:eastAsia="宋体"/>
                <w:b w:val="0"/>
                <w:i w:val="0"/>
                <w:sz w:val="18"/>
              </w:rPr>
              <w:t>184</w:t>
            </w:r>
          </w:p>
        </w:tc>
        <w:tc>
          <w:tcPr>
            <w:tcW w:type="dxa" w:w="1500"/>
            <w:vAlign w:val="center"/>
          </w:tcPr>
          <w:p>
            <w:pPr>
              <w:spacing w:before="20" w:after="20" w:line="240" w:lineRule="auto"/>
              <w:jc w:val="center"/>
            </w:pPr>
            <w:r>
              <w:rPr>
                <w:rFonts w:ascii="Times New Roman" w:hAnsi="Times New Roman" w:eastAsia="宋体"/>
                <w:b w:val="0"/>
                <w:i w:val="0"/>
                <w:sz w:val="18"/>
              </w:rPr>
              <w:t>34.2%</w:t>
            </w:r>
          </w:p>
        </w:tc>
        <w:tc>
          <w:tcPr>
            <w:tcW w:type="dxa" w:w="3772"/>
            <w:vAlign w:val="center"/>
          </w:tcPr>
          <w:p>
            <w:pPr>
              <w:spacing w:before="20" w:after="20" w:line="240" w:lineRule="auto"/>
              <w:jc w:val="center"/>
            </w:pPr>
            <w:r>
              <w:rPr>
                <w:rFonts w:ascii="Times New Roman" w:hAnsi="Times New Roman" w:eastAsia="宋体"/>
                <w:b w:val="0"/>
                <w:i w:val="0"/>
                <w:sz w:val="18"/>
              </w:rPr>
              <w:t>允许延后</w:t>
            </w:r>
          </w:p>
        </w:tc>
      </w:tr>
      <w:tr>
        <w:tc>
          <w:tcPr>
            <w:tcW w:type="dxa" w:w="2100"/>
            <w:vAlign w:val="center"/>
          </w:tcPr>
          <w:p>
            <w:pPr>
              <w:spacing w:before="20" w:after="20" w:line="240" w:lineRule="auto"/>
              <w:jc w:val="left"/>
            </w:pPr>
            <w:r>
              <w:rPr>
                <w:rFonts w:ascii="Times New Roman" w:hAnsi="Times New Roman" w:eastAsia="宋体"/>
                <w:b w:val="0"/>
                <w:i w:val="0"/>
                <w:sz w:val="18"/>
              </w:rPr>
              <w:t>实时推理</w:t>
            </w:r>
          </w:p>
        </w:tc>
        <w:tc>
          <w:tcPr>
            <w:tcW w:type="dxa" w:w="1700"/>
            <w:vAlign w:val="center"/>
          </w:tcPr>
          <w:p>
            <w:pPr>
              <w:spacing w:before="20" w:after="20" w:line="240" w:lineRule="auto"/>
              <w:jc w:val="center"/>
            </w:pPr>
            <w:r>
              <w:rPr>
                <w:rFonts w:ascii="Times New Roman" w:hAnsi="Times New Roman" w:eastAsia="宋体"/>
                <w:b w:val="0"/>
                <w:i w:val="0"/>
                <w:sz w:val="18"/>
              </w:rPr>
              <w:t>160</w:t>
            </w:r>
          </w:p>
        </w:tc>
        <w:tc>
          <w:tcPr>
            <w:tcW w:type="dxa" w:w="1500"/>
            <w:vAlign w:val="center"/>
          </w:tcPr>
          <w:p>
            <w:pPr>
              <w:spacing w:before="20" w:after="20" w:line="240" w:lineRule="auto"/>
              <w:jc w:val="center"/>
            </w:pPr>
            <w:r>
              <w:rPr>
                <w:rFonts w:ascii="Times New Roman" w:hAnsi="Times New Roman" w:eastAsia="宋体"/>
                <w:b w:val="0"/>
                <w:i w:val="0"/>
                <w:sz w:val="18"/>
              </w:rPr>
              <w:t>29.7%</w:t>
            </w:r>
          </w:p>
        </w:tc>
        <w:tc>
          <w:tcPr>
            <w:tcW w:type="dxa" w:w="3772"/>
            <w:vAlign w:val="center"/>
          </w:tcPr>
          <w:p>
            <w:pPr>
              <w:spacing w:before="20" w:after="20" w:line="240" w:lineRule="auto"/>
              <w:jc w:val="center"/>
            </w:pPr>
            <w:r>
              <w:rPr>
                <w:rFonts w:ascii="Times New Roman" w:hAnsi="Times New Roman" w:eastAsia="宋体"/>
                <w:b w:val="0"/>
                <w:i w:val="0"/>
                <w:sz w:val="18"/>
              </w:rPr>
              <w:t>到达即开工</w:t>
            </w:r>
          </w:p>
        </w:tc>
      </w:tr>
      <w:tr>
        <w:tc>
          <w:tcPr>
            <w:tcW w:type="dxa" w:w="2100"/>
            <w:vAlign w:val="center"/>
          </w:tcPr>
          <w:p>
            <w:pPr>
              <w:spacing w:before="20" w:after="20" w:line="240" w:lineRule="auto"/>
              <w:jc w:val="left"/>
            </w:pPr>
            <w:r>
              <w:rPr>
                <w:rFonts w:ascii="Times New Roman" w:hAnsi="Times New Roman" w:eastAsia="宋体"/>
                <w:b w:val="0"/>
                <w:i w:val="0"/>
                <w:sz w:val="18"/>
              </w:rPr>
              <w:t>合计</w:t>
            </w:r>
          </w:p>
        </w:tc>
        <w:tc>
          <w:tcPr>
            <w:tcW w:type="dxa" w:w="1700"/>
            <w:vAlign w:val="center"/>
          </w:tcPr>
          <w:p>
            <w:pPr>
              <w:spacing w:before="20" w:after="20" w:line="240" w:lineRule="auto"/>
              <w:jc w:val="center"/>
            </w:pPr>
            <w:r>
              <w:rPr>
                <w:rFonts w:ascii="Times New Roman" w:hAnsi="Times New Roman" w:eastAsia="宋体"/>
                <w:b w:val="0"/>
                <w:i w:val="0"/>
                <w:sz w:val="18"/>
              </w:rPr>
              <w:t>538</w:t>
            </w:r>
          </w:p>
        </w:tc>
        <w:tc>
          <w:tcPr>
            <w:tcW w:type="dxa" w:w="1500"/>
            <w:vAlign w:val="center"/>
          </w:tcPr>
          <w:p>
            <w:pPr>
              <w:spacing w:before="20" w:after="20" w:line="240" w:lineRule="auto"/>
              <w:jc w:val="center"/>
            </w:pPr>
            <w:r>
              <w:rPr>
                <w:rFonts w:ascii="Times New Roman" w:hAnsi="Times New Roman" w:eastAsia="宋体"/>
                <w:b w:val="0"/>
                <w:i w:val="0"/>
                <w:sz w:val="18"/>
              </w:rPr>
              <w:t>100%</w:t>
            </w:r>
          </w:p>
        </w:tc>
        <w:tc>
          <w:tcPr>
            <w:tcW w:type="dxa" w:w="3772"/>
            <w:vAlign w:val="center"/>
          </w:tcPr>
          <w:p>
            <w:pPr>
              <w:spacing w:before="20" w:after="20" w:line="240" w:lineRule="auto"/>
              <w:jc w:val="center"/>
            </w:pPr>
            <w:r>
              <w:rPr>
                <w:rFonts w:ascii="Times New Roman" w:hAnsi="Times New Roman" w:eastAsia="宋体"/>
                <w:b w:val="0"/>
                <w:i w:val="0"/>
                <w:sz w:val="18"/>
              </w:rPr>
              <w:t>迁移率 2.8%，零延后</w:t>
            </w:r>
          </w:p>
        </w:tc>
      </w:tr>
    </w:tbl>
    <w:p>
      <w:pPr>
        <w:pStyle w:val="Heading2"/>
      </w:pPr>
      <w:r>
        <w:t>5.2 问题二：碳感知任务调度模型</w:t>
      </w:r>
    </w:p>
    <w:p>
      <w:pPr>
        <w:pStyle w:val="Heading3"/>
      </w:pPr>
      <w:r>
        <w:t>5.2.1 模型建立</w:t>
      </w:r>
    </w:p>
    <w:p>
      <w:pPr>
        <w:spacing w:after="0" w:line="240" w:lineRule="auto"/>
        <w:ind w:firstLine="480"/>
      </w:pPr>
      <w:r>
        <w:rPr>
          <w:rFonts w:ascii="Times New Roman" w:hAnsi="Times New Roman" w:eastAsia="宋体"/>
          <w:b w:val="0"/>
          <w:i w:val="0"/>
          <w:sz w:val="24"/>
        </w:rPr>
        <w:t>以任务 i 在区域 r、时段 s 开工为 0-1 决策变量 x</w:t>
      </w:r>
      <w:r>
        <w:rPr>
          <w:rFonts w:ascii="Times New Roman" w:hAnsi="Times New Roman" w:eastAsia="宋体"/>
          <w:b/>
          <w:i w:val="0"/>
          <w:sz w:val="24"/>
          <w:vertAlign w:val="subscript"/>
        </w:rPr>
        <w:t>i,r,s</w:t>
      </w:r>
      <w:r>
        <w:rPr>
          <w:rFonts w:ascii="Times New Roman" w:hAnsi="Times New Roman" w:eastAsia="宋体"/>
          <w:b w:val="0"/>
          <w:i w:val="0"/>
          <w:sz w:val="24"/>
        </w:rPr>
        <w:t>。任务功率 P</w:t>
      </w:r>
      <w:r>
        <w:rPr>
          <w:rFonts w:ascii="Times New Roman" w:hAnsi="Times New Roman" w:eastAsia="宋体"/>
          <w:b/>
          <w:i w:val="0"/>
          <w:sz w:val="24"/>
          <w:vertAlign w:val="subscript"/>
        </w:rPr>
        <w:t>i</w:t>
      </w:r>
      <w:r>
        <w:rPr>
          <w:rFonts w:ascii="Times New Roman" w:hAnsi="Times New Roman" w:eastAsia="宋体"/>
          <w:b w:val="0"/>
          <w:i w:val="0"/>
          <w:sz w:val="24"/>
        </w:rPr>
        <w:t>=g</w:t>
      </w:r>
      <w:r>
        <w:rPr>
          <w:rFonts w:ascii="Times New Roman" w:hAnsi="Times New Roman" w:eastAsia="宋体"/>
          <w:b/>
          <w:i w:val="0"/>
          <w:sz w:val="24"/>
          <w:vertAlign w:val="subscript"/>
        </w:rPr>
        <w:t>i</w:t>
      </w:r>
      <w:r>
        <w:rPr>
          <w:rFonts w:ascii="Times New Roman" w:hAnsi="Times New Roman" w:eastAsia="宋体"/>
          <w:b w:val="0"/>
          <w:i w:val="0"/>
          <w:sz w:val="24"/>
        </w:rPr>
        <w:t>×p</w:t>
      </w:r>
      <w:r>
        <w:rPr>
          <w:rFonts w:ascii="Times New Roman" w:hAnsi="Times New Roman" w:eastAsia="宋体"/>
          <w:b/>
          <w:i w:val="0"/>
          <w:sz w:val="24"/>
          <w:vertAlign w:val="subscript"/>
        </w:rPr>
        <w:t>i</w:t>
      </w:r>
      <w:r>
        <w:rPr>
          <w:rFonts w:ascii="Times New Roman" w:hAnsi="Times New Roman" w:eastAsia="宋体"/>
          <w:b w:val="0"/>
          <w:i w:val="0"/>
          <w:sz w:val="24"/>
        </w:rPr>
        <w:t>，其中单位 GPU 平均功率按任务类型取 AI 训练 0.16、批量推理 0.10、实时推理 0.08 MW/GPU；任务在时段 t 的重叠系数 h</w:t>
      </w:r>
      <w:r>
        <w:rPr>
          <w:rFonts w:ascii="Times New Roman" w:hAnsi="Times New Roman" w:eastAsia="宋体"/>
          <w:b/>
          <w:i w:val="0"/>
          <w:sz w:val="24"/>
          <w:vertAlign w:val="subscript"/>
        </w:rPr>
        <w:t>i,t</w:t>
      </w:r>
      <w:r>
        <w:rPr>
          <w:rFonts w:ascii="Times New Roman" w:hAnsi="Times New Roman" w:eastAsia="宋体"/>
          <w:b w:val="0"/>
          <w:i w:val="0"/>
          <w:sz w:val="24"/>
        </w:rPr>
        <w:t>=max(0, min(t+1, s</w:t>
      </w:r>
      <w:r>
        <w:rPr>
          <w:rFonts w:ascii="Times New Roman" w:hAnsi="Times New Roman" w:eastAsia="宋体"/>
          <w:b/>
          <w:i w:val="0"/>
          <w:sz w:val="24"/>
          <w:vertAlign w:val="subscript"/>
        </w:rPr>
        <w:t>i</w:t>
      </w:r>
      <w:r>
        <w:rPr>
          <w:rFonts w:ascii="Times New Roman" w:hAnsi="Times New Roman" w:eastAsia="宋体"/>
          <w:b w:val="0"/>
          <w:i w:val="0"/>
          <w:sz w:val="24"/>
        </w:rPr>
        <w:t>+d</w:t>
      </w:r>
      <w:r>
        <w:rPr>
          <w:rFonts w:ascii="Times New Roman" w:hAnsi="Times New Roman" w:eastAsia="宋体"/>
          <w:b/>
          <w:i w:val="0"/>
          <w:sz w:val="24"/>
          <w:vertAlign w:val="subscript"/>
        </w:rPr>
        <w:t>i</w:t>
      </w:r>
      <w:r>
        <w:rPr>
          <w:rFonts w:ascii="Times New Roman" w:hAnsi="Times New Roman" w:eastAsia="宋体"/>
          <w:b w:val="0"/>
          <w:i w:val="0"/>
          <w:sz w:val="24"/>
        </w:rPr>
        <w:t>)−max(t, s</w:t>
      </w:r>
      <w:r>
        <w:rPr>
          <w:rFonts w:ascii="Times New Roman" w:hAnsi="Times New Roman" w:eastAsia="宋体"/>
          <w:b/>
          <w:i w:val="0"/>
          <w:sz w:val="24"/>
          <w:vertAlign w:val="subscript"/>
        </w:rPr>
        <w:t>i</w:t>
      </w:r>
      <w:r>
        <w:rPr>
          <w:rFonts w:ascii="Times New Roman" w:hAnsi="Times New Roman" w:eastAsia="宋体"/>
          <w:b w:val="0"/>
          <w:i w:val="0"/>
          <w:sz w:val="24"/>
        </w:rPr>
        <w:t>))。约束包括：区域可行性（仅可调度至满足时延要求的区域）、时间可行性（实时任务到达即开工、弹性任务满足完成时限）、GPU 容量约束、IT/设施功率约束与任务唯一性约束：</w:t>
      </w:r>
    </w:p>
    <w:p>
      <w:pPr>
        <w:tabs>
          <w:tab w:pos="4535" w:val="center"/>
          <w:tab w:pos="9071" w:val="right"/>
        </w:tabs>
        <w:spacing w:line="240" w:lineRule="auto" w:before="80" w:after="80"/>
      </w:pPr>
      <w:r>
        <w:rPr>
          <w:rFonts w:ascii="Times New Roman" w:hAnsi="Times New Roman" w:eastAsia="宋体"/>
          <w:b w:val="0"/>
          <w:i w:val="0"/>
          <w:sz w:val="24"/>
        </w:rPr>
        <w:tab/>
      </w:r>
      <w:r>
        <w:rPr>
          <w:rFonts w:ascii="Times New Roman" w:hAnsi="Times New Roman" w:eastAsia="宋体"/>
          <w:b w:val="0"/>
          <w:i w:val="0"/>
          <w:sz w:val="24"/>
        </w:rPr>
        <w:t>Σ</w:t>
      </w:r>
      <w:r>
        <w:rPr>
          <w:rFonts w:ascii="Times New Roman" w:hAnsi="Times New Roman" w:eastAsia="宋体"/>
          <w:b/>
          <w:i w:val="0"/>
          <w:sz w:val="24"/>
          <w:vertAlign w:val="subscript"/>
        </w:rPr>
        <w:t>i</w:t>
      </w:r>
      <w:r>
        <w:rPr>
          <w:rFonts w:ascii="Times New Roman" w:hAnsi="Times New Roman" w:eastAsia="宋体"/>
          <w:b w:val="0"/>
          <w:i w:val="0"/>
          <w:sz w:val="24"/>
        </w:rPr>
        <w:t xml:space="preserve"> Σ</w:t>
      </w:r>
      <w:r>
        <w:rPr>
          <w:rFonts w:ascii="Times New Roman" w:hAnsi="Times New Roman" w:eastAsia="宋体"/>
          <w:b/>
          <w:i w:val="0"/>
          <w:sz w:val="24"/>
          <w:vertAlign w:val="subscript"/>
        </w:rPr>
        <w:t>s</w:t>
      </w:r>
      <w:r>
        <w:rPr>
          <w:rFonts w:ascii="Times New Roman" w:hAnsi="Times New Roman" w:eastAsia="宋体"/>
          <w:b w:val="0"/>
          <w:i w:val="0"/>
          <w:sz w:val="24"/>
        </w:rPr>
        <w:t xml:space="preserve"> g</w:t>
      </w:r>
      <w:r>
        <w:rPr>
          <w:rFonts w:ascii="Times New Roman" w:hAnsi="Times New Roman" w:eastAsia="宋体"/>
          <w:b/>
          <w:i w:val="0"/>
          <w:sz w:val="24"/>
          <w:vertAlign w:val="subscript"/>
        </w:rPr>
        <w:t>i</w:t>
      </w:r>
      <w:r>
        <w:rPr>
          <w:rFonts w:ascii="Times New Roman" w:hAnsi="Times New Roman" w:eastAsia="宋体"/>
          <w:b w:val="0"/>
          <w:i w:val="0"/>
          <w:sz w:val="24"/>
        </w:rPr>
        <w:t>·h</w:t>
      </w:r>
      <w:r>
        <w:rPr>
          <w:rFonts w:ascii="Times New Roman" w:hAnsi="Times New Roman" w:eastAsia="宋体"/>
          <w:b/>
          <w:i w:val="0"/>
          <w:sz w:val="24"/>
          <w:vertAlign w:val="subscript"/>
        </w:rPr>
        <w:t>i,t</w:t>
      </w:r>
      <w:r>
        <w:rPr>
          <w:rFonts w:ascii="Times New Roman" w:hAnsi="Times New Roman" w:eastAsia="宋体"/>
          <w:b w:val="0"/>
          <w:i w:val="0"/>
          <w:sz w:val="24"/>
        </w:rPr>
        <w:t>·x</w:t>
      </w:r>
      <w:r>
        <w:rPr>
          <w:rFonts w:ascii="Times New Roman" w:hAnsi="Times New Roman" w:eastAsia="宋体"/>
          <w:b/>
          <w:i w:val="0"/>
          <w:sz w:val="24"/>
          <w:vertAlign w:val="subscript"/>
        </w:rPr>
        <w:t>i,r,s</w:t>
      </w:r>
      <w:r>
        <w:rPr>
          <w:rFonts w:ascii="Times New Roman" w:hAnsi="Times New Roman" w:eastAsia="宋体"/>
          <w:b w:val="0"/>
          <w:i w:val="0"/>
          <w:sz w:val="24"/>
        </w:rPr>
        <w:t xml:space="preserve"> ≤ Available_GPU(r)</w:t>
      </w:r>
      <w:r>
        <w:rPr>
          <w:rFonts w:ascii="Times New Roman" w:hAnsi="Times New Roman" w:eastAsia="宋体"/>
          <w:b w:val="0"/>
          <w:i w:val="0"/>
          <w:sz w:val="24"/>
        </w:rPr>
        <w:tab/>
        <w:t>(1)</w:t>
      </w:r>
    </w:p>
    <w:p>
      <w:pPr>
        <w:tabs>
          <w:tab w:pos="4535" w:val="center"/>
          <w:tab w:pos="9071" w:val="right"/>
        </w:tabs>
        <w:spacing w:line="240" w:lineRule="auto" w:before="80" w:after="80"/>
      </w:pPr>
      <w:r>
        <w:rPr>
          <w:rFonts w:ascii="Times New Roman" w:hAnsi="Times New Roman" w:eastAsia="宋体"/>
          <w:b w:val="0"/>
          <w:i w:val="0"/>
          <w:sz w:val="24"/>
        </w:rPr>
        <w:tab/>
      </w:r>
      <w:r>
        <w:rPr>
          <w:rFonts w:ascii="Times New Roman" w:hAnsi="Times New Roman" w:eastAsia="宋体"/>
          <w:b w:val="0"/>
          <w:i w:val="0"/>
          <w:sz w:val="24"/>
        </w:rPr>
        <w:t>IT_Load(r,t) = NonAI_IT_Load(r,t) + Σ</w:t>
      </w:r>
      <w:r>
        <w:rPr>
          <w:rFonts w:ascii="Times New Roman" w:hAnsi="Times New Roman" w:eastAsia="宋体"/>
          <w:b/>
          <w:i w:val="0"/>
          <w:sz w:val="24"/>
          <w:vertAlign w:val="subscript"/>
        </w:rPr>
        <w:t>i</w:t>
      </w:r>
      <w:r>
        <w:rPr>
          <w:rFonts w:ascii="Times New Roman" w:hAnsi="Times New Roman" w:eastAsia="宋体"/>
          <w:b w:val="0"/>
          <w:i w:val="0"/>
          <w:sz w:val="24"/>
        </w:rPr>
        <w:t xml:space="preserve"> Σ</w:t>
      </w:r>
      <w:r>
        <w:rPr>
          <w:rFonts w:ascii="Times New Roman" w:hAnsi="Times New Roman" w:eastAsia="宋体"/>
          <w:b/>
          <w:i w:val="0"/>
          <w:sz w:val="24"/>
          <w:vertAlign w:val="subscript"/>
        </w:rPr>
        <w:t>s</w:t>
      </w:r>
      <w:r>
        <w:rPr>
          <w:rFonts w:ascii="Times New Roman" w:hAnsi="Times New Roman" w:eastAsia="宋体"/>
          <w:b w:val="0"/>
          <w:i w:val="0"/>
          <w:sz w:val="24"/>
        </w:rPr>
        <w:t xml:space="preserve"> P</w:t>
      </w:r>
      <w:r>
        <w:rPr>
          <w:rFonts w:ascii="Times New Roman" w:hAnsi="Times New Roman" w:eastAsia="宋体"/>
          <w:b/>
          <w:i w:val="0"/>
          <w:sz w:val="24"/>
          <w:vertAlign w:val="subscript"/>
        </w:rPr>
        <w:t>i</w:t>
      </w:r>
      <w:r>
        <w:rPr>
          <w:rFonts w:ascii="Times New Roman" w:hAnsi="Times New Roman" w:eastAsia="宋体"/>
          <w:b w:val="0"/>
          <w:i w:val="0"/>
          <w:sz w:val="24"/>
        </w:rPr>
        <w:t>·h</w:t>
      </w:r>
      <w:r>
        <w:rPr>
          <w:rFonts w:ascii="Times New Roman" w:hAnsi="Times New Roman" w:eastAsia="宋体"/>
          <w:b/>
          <w:i w:val="0"/>
          <w:sz w:val="24"/>
          <w:vertAlign w:val="subscript"/>
        </w:rPr>
        <w:t>i,t</w:t>
      </w:r>
      <w:r>
        <w:rPr>
          <w:rFonts w:ascii="Times New Roman" w:hAnsi="Times New Roman" w:eastAsia="宋体"/>
          <w:b w:val="0"/>
          <w:i w:val="0"/>
          <w:sz w:val="24"/>
        </w:rPr>
        <w:t>·x</w:t>
      </w:r>
      <w:r>
        <w:rPr>
          <w:rFonts w:ascii="Times New Roman" w:hAnsi="Times New Roman" w:eastAsia="宋体"/>
          <w:b/>
          <w:i w:val="0"/>
          <w:sz w:val="24"/>
          <w:vertAlign w:val="subscript"/>
        </w:rPr>
        <w:t>i,r,s</w:t>
      </w:r>
      <w:r>
        <w:rPr>
          <w:rFonts w:ascii="Times New Roman" w:hAnsi="Times New Roman" w:eastAsia="宋体"/>
          <w:b w:val="0"/>
          <w:i w:val="0"/>
          <w:sz w:val="24"/>
        </w:rPr>
        <w:t xml:space="preserve"> ≤ Max_IT_Power_MW(r)</w:t>
      </w:r>
      <w:r>
        <w:rPr>
          <w:rFonts w:ascii="Times New Roman" w:hAnsi="Times New Roman" w:eastAsia="宋体"/>
          <w:b w:val="0"/>
          <w:i w:val="0"/>
          <w:sz w:val="24"/>
        </w:rPr>
        <w:tab/>
        <w:t>(2)</w:t>
      </w:r>
    </w:p>
    <w:p>
      <w:pPr>
        <w:tabs>
          <w:tab w:pos="4535" w:val="center"/>
          <w:tab w:pos="9071" w:val="right"/>
        </w:tabs>
        <w:spacing w:line="240" w:lineRule="auto" w:before="80" w:after="80"/>
      </w:pPr>
      <w:r>
        <w:rPr>
          <w:rFonts w:ascii="Times New Roman" w:hAnsi="Times New Roman" w:eastAsia="宋体"/>
          <w:b w:val="0"/>
          <w:i w:val="0"/>
          <w:sz w:val="24"/>
        </w:rPr>
        <w:tab/>
      </w:r>
      <w:r>
        <w:rPr>
          <w:rFonts w:ascii="Times New Roman" w:hAnsi="Times New Roman" w:eastAsia="宋体"/>
          <w:b w:val="0"/>
          <w:i w:val="0"/>
          <w:sz w:val="24"/>
        </w:rPr>
        <w:t>Total_Load(r,t) = IT_Load(r,t) × PUE(r) ≤ Max_Facility_Power_MW(r)</w:t>
      </w:r>
      <w:r>
        <w:rPr>
          <w:rFonts w:ascii="Times New Roman" w:hAnsi="Times New Roman" w:eastAsia="宋体"/>
          <w:b w:val="0"/>
          <w:i w:val="0"/>
          <w:sz w:val="24"/>
        </w:rPr>
        <w:tab/>
        <w:t>(3)</w:t>
      </w:r>
    </w:p>
    <w:p>
      <w:pPr>
        <w:spacing w:after="0" w:line="240" w:lineRule="auto"/>
        <w:ind w:firstLine="480"/>
      </w:pPr>
      <w:r>
        <w:rPr>
          <w:rFonts w:ascii="Times New Roman" w:hAnsi="Times New Roman" w:eastAsia="宋体"/>
          <w:b w:val="0"/>
          <w:i w:val="0"/>
          <w:sz w:val="24"/>
        </w:rPr>
        <w:t>将运行成本、碳排放、网络时延与新能源利用率四个目标通过加权求和转化为综合评分：</w:t>
      </w:r>
    </w:p>
    <w:p>
      <w:pPr>
        <w:tabs>
          <w:tab w:pos="4535" w:val="center"/>
          <w:tab w:pos="9071" w:val="right"/>
        </w:tabs>
        <w:spacing w:line="240" w:lineRule="auto" w:before="80" w:after="80"/>
      </w:pPr>
      <w:r>
        <w:rPr>
          <w:rFonts w:ascii="Times New Roman" w:hAnsi="Times New Roman" w:eastAsia="宋体"/>
          <w:b w:val="0"/>
          <w:i w:val="0"/>
          <w:sz w:val="24"/>
        </w:rPr>
        <w:tab/>
      </w:r>
      <w:r>
        <w:rPr>
          <w:rFonts w:ascii="Times New Roman" w:hAnsi="Times New Roman" w:eastAsia="宋体"/>
          <w:b/>
          <w:i w:val="0"/>
          <w:sz w:val="24"/>
        </w:rPr>
        <w:t>Score(i,r,s) = α·Cost(i,r,s) + β·Carbon(i,r,s) + γ·Latency(i,r) − δ·RenewableBenefit(i,r,s) + μ·Congestion(i,r,s)</w:t>
      </w:r>
      <w:r>
        <w:rPr>
          <w:rFonts w:ascii="Times New Roman" w:hAnsi="Times New Roman" w:eastAsia="宋体"/>
          <w:b w:val="0"/>
          <w:i w:val="0"/>
          <w:sz w:val="24"/>
        </w:rPr>
        <w:tab/>
        <w:t>(4)</w:t>
      </w:r>
    </w:p>
    <w:p>
      <w:pPr>
        <w:spacing w:after="0" w:line="240" w:lineRule="auto"/>
        <w:ind w:firstLine="480"/>
      </w:pPr>
      <w:r>
        <w:rPr>
          <w:rFonts w:ascii="Times New Roman" w:hAnsi="Times New Roman" w:eastAsia="宋体"/>
          <w:b w:val="0"/>
          <w:i w:val="0"/>
          <w:sz w:val="24"/>
        </w:rPr>
        <w:t>其中新增购电成本与碳排放按执行时段内“新增设施负荷扣除新能源直接消纳后的购电”乘以电价/碳强度累加，新能源消纳收益取直接消纳量，拥塞惩罚取 GPU 与功率利用率的超阈值部分。新能源项取负号表示消纳越多评分越优。</w:t>
      </w:r>
    </w:p>
    <w:p>
      <w:pPr>
        <w:spacing w:after="0" w:line="240" w:lineRule="auto"/>
        <w:ind w:firstLine="480"/>
      </w:pPr>
      <w:r>
        <w:rPr>
          <w:rFonts w:ascii="Times New Roman" w:hAnsi="Times New Roman" w:eastAsia="宋体"/>
          <w:b w:val="0"/>
          <w:i w:val="0"/>
          <w:sz w:val="24"/>
        </w:rPr>
        <w:t>调度规则的优先级设计为：实时推理任务到达即开工且不可迁移，优先占用来源区域容量；批量推理与 AI 训练任务按最晚完成时刻排序，在容量允许时延后执行，必要时可跨区域就近转移（迁移率 2.8%）。所有任务开工前均进行 GPU 容量与 IT/设施功率双重校验，确保调度方案严格可行。</w:t>
      </w:r>
    </w:p>
    <w:p>
      <w:pPr>
        <w:spacing w:after="0" w:line="240" w:lineRule="auto"/>
        <w:ind w:firstLine="480"/>
      </w:pPr>
      <w:r>
        <w:rPr>
          <w:rFonts w:ascii="Times New Roman" w:hAnsi="Times New Roman" w:eastAsia="宋体"/>
          <w:b w:val="0"/>
          <w:i w:val="0"/>
          <w:sz w:val="24"/>
        </w:rPr>
        <w:t>结果解读上，“零延后”与“迁移率仅 2.8%”共同表明：最后 24 小时窗口内区域算力容量整体充裕，实时任务与弹性任务均可在到达时段内直接安排；IT 功率峰值约为容量的 28%，说明系统留有大量调度弹性，这正是问题二引入跨区域迁移与碳感知后能够显著改善成本与碳排的容量基础。</w:t>
      </w:r>
    </w:p>
    <w:p>
      <w:pPr>
        <w:spacing w:after="0" w:line="240" w:lineRule="auto"/>
        <w:ind w:firstLine="480"/>
      </w:pPr>
      <w:r>
        <w:rPr>
          <w:rFonts w:ascii="Times New Roman" w:hAnsi="Times New Roman" w:eastAsia="宋体"/>
          <w:b w:val="0"/>
          <w:i w:val="0"/>
          <w:sz w:val="24"/>
        </w:rPr>
        <w:t>目标分量的计算口径为：新增设施负荷 ΔLoad(r,t)=P</w:t>
      </w:r>
      <w:r>
        <w:rPr>
          <w:rFonts w:ascii="Times New Roman" w:hAnsi="Times New Roman" w:eastAsia="宋体"/>
          <w:b/>
          <w:i w:val="0"/>
          <w:sz w:val="24"/>
          <w:vertAlign w:val="subscript"/>
        </w:rPr>
        <w:t>i</w:t>
      </w:r>
      <w:r>
        <w:rPr>
          <w:rFonts w:ascii="Times New Roman" w:hAnsi="Times New Roman" w:eastAsia="宋体"/>
          <w:b w:val="0"/>
          <w:i w:val="0"/>
          <w:sz w:val="24"/>
        </w:rPr>
        <w:t>·h</w:t>
      </w:r>
      <w:r>
        <w:rPr>
          <w:rFonts w:ascii="Times New Roman" w:hAnsi="Times New Roman" w:eastAsia="宋体"/>
          <w:b/>
          <w:i w:val="0"/>
          <w:sz w:val="24"/>
          <w:vertAlign w:val="subscript"/>
        </w:rPr>
        <w:t>i,t</w:t>
      </w:r>
      <w:r>
        <w:rPr>
          <w:rFonts w:ascii="Times New Roman" w:hAnsi="Times New Roman" w:eastAsia="宋体"/>
          <w:b w:val="0"/>
          <w:i w:val="0"/>
          <w:sz w:val="24"/>
        </w:rPr>
        <w:t>·PUE(r)；若时段存在新能源富余，则先按可用新能源直接消纳，剩余部分才形成电网购电；新增成本与碳排分别按购电电量乘以逐时电价与碳强度累加，新能源消纳收益取直接消纳量。该口径保证了任务调度层面的边际成本与碳排估计与附件统一公式一致，为问题四引入边际供应栈奠定了基础。</w:t>
      </w:r>
    </w:p>
    <w:p>
      <w:pPr>
        <w:spacing w:after="0" w:line="240" w:lineRule="auto"/>
        <w:ind w:firstLine="480"/>
      </w:pPr>
      <w:r>
        <w:rPr>
          <w:rFonts w:ascii="Times New Roman" w:hAnsi="Times New Roman" w:eastAsia="宋体"/>
          <w:b w:val="0"/>
          <w:i w:val="0"/>
          <w:sz w:val="24"/>
        </w:rPr>
        <w:t>求解环境方面，全部计算基于 Python 3.10 实现，依赖 pandas、numpy、scipy 与 scikit-learn；问题二 8 组策略的全时域求解在 8 线程并行下约 3–5 分钟完成，结果写入任务级调度表与区域逐时指标表，可直接用于绘制甘特图与负荷曲线。</w:t>
      </w:r>
    </w:p>
    <w:p>
      <w:pPr>
        <w:pStyle w:val="Heading3"/>
      </w:pPr>
      <w:r>
        <w:t>5.2.2 求解算法：滚动窗口与多策略 Pareto</w:t>
      </w:r>
    </w:p>
    <w:p>
      <w:pPr>
        <w:spacing w:after="0" w:line="240" w:lineRule="auto"/>
        <w:ind w:firstLine="480"/>
      </w:pPr>
      <w:r>
        <w:rPr>
          <w:rFonts w:ascii="Times New Roman" w:hAnsi="Times New Roman" w:eastAsia="宋体"/>
          <w:b w:val="0"/>
          <w:i w:val="0"/>
          <w:sz w:val="24"/>
        </w:rPr>
        <w:t>为降低大规模组合优化的求解难度，采用滚动时域调度：将主时域按 6 小时窗口切分，向前看 24 小时，当前窗口内任务按到达时刻与最晚完成时刻排序，逐一生成候选方案并选择综合评分最小且满足硬约束的方案，求解后固定结果进入下一窗口。在此基础上设置 8 组权重策略（综合权衡、成本优先、低碳优先、新能源优先、时延优先、低碳＋新能源、成本＋碳、负载均衡），对每组权重运行滚动调度，再以 Pareto 非支配关系筛选折中方案。</w:t>
      </w:r>
    </w:p>
    <w:p>
      <w:pPr>
        <w:spacing w:after="0" w:line="240" w:lineRule="auto"/>
        <w:ind w:firstLine="480"/>
      </w:pPr>
      <w:r>
        <w:rPr>
          <w:rFonts w:ascii="Times New Roman" w:hAnsi="Times New Roman" w:eastAsia="宋体"/>
          <w:b w:val="0"/>
          <w:i w:val="0"/>
          <w:sz w:val="24"/>
        </w:rPr>
        <w:t>算法实现上，预处理阶段计算每个任务的时长、功率与允许开工区间，并构造满足时延约束的可行区域集；滚动求解阶段按窗口顺序处理任务，对每个任务枚举不超过 24 个候选方案（区域-开工时间组合），计算综合评分后选择最优可行方案；窗口结束时更新 GPU 占用与逐时电力负荷，再进入下一窗口。由于每个窗口内任务数有限且候选方案受限，单次滚动求解的复杂度可控，全时域 50 000 个任务可在数分钟内完成求解，具备实际应用价值。</w:t>
      </w:r>
    </w:p>
    <w:p>
      <w:pPr>
        <w:spacing w:after="0" w:line="240" w:lineRule="auto"/>
        <w:ind w:firstLine="480"/>
      </w:pPr>
      <w:r>
        <w:rPr>
          <w:rFonts w:ascii="Times New Roman" w:hAnsi="Times New Roman" w:eastAsia="宋体"/>
          <w:b w:val="0"/>
          <w:i w:val="0"/>
          <w:sz w:val="24"/>
        </w:rPr>
        <w:t>多策略权重设计上，8 组策略分别突出成本、碳排、时延、新能源消纳与负载均衡等不同偏好，并通过权重组合覆盖“成本＋碳”“低碳＋新能源”等协同情形；对每组策略独立求解后再进行 Pareto 非支配筛选，既避免了单一权重的主观性，又能在同一数据条件下系统刻画目标间的冲突结构，为决策者提供直观的折中选择依据。</w:t>
      </w:r>
    </w:p>
    <w:p>
      <w:pPr>
        <w:pStyle w:val="Heading3"/>
      </w:pPr>
      <w:r>
        <w:t>5.2.3 结果分析</w:t>
      </w:r>
    </w:p>
    <w:p>
      <w:pPr>
        <w:spacing w:after="0" w:line="240" w:lineRule="auto"/>
        <w:ind w:firstLine="480"/>
      </w:pPr>
      <w:r>
        <w:rPr>
          <w:rFonts w:ascii="Times New Roman" w:hAnsi="Times New Roman" w:eastAsia="宋体"/>
          <w:b w:val="0"/>
          <w:i w:val="0"/>
          <w:sz w:val="24"/>
        </w:rPr>
        <w:t>八种策略均实现 50 000/50 000 个任务的完整调度，约束违规数为 0，按时完成率 100%，结果如表 5 所示。</w:t>
      </w:r>
    </w:p>
    <w:p>
      <w:pPr>
        <w:spacing w:before="160" w:after="60"/>
        <w:jc w:val="center"/>
      </w:pPr>
      <w:r>
        <w:rPr>
          <w:rFonts w:ascii="Times New Roman" w:hAnsi="Times New Roman" w:eastAsia="宋体"/>
          <w:b/>
          <w:i w:val="0"/>
          <w:sz w:val="21"/>
        </w:rPr>
        <w:t>表 5  八种策略调度结果对比（全时域 0–2399 小时）</w:t>
      </w:r>
    </w:p>
    <w:tbl>
      <w:tblPr>
        <w:tblW w:type="dxa" w:w="9072"/>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firstColumn="1" w:firstRow="1" w:lastColumn="0" w:lastRow="0" w:noHBand="0" w:noVBand="1" w:val="04A0"/>
        <w:tblInd w:w="120" w:type="dxa"/>
        <w:tblCellMar>
          <w:top w:w="40" w:type="dxa"/>
          <w:start w:w="80" w:type="dxa"/>
          <w:bottom w:w="40" w:type="dxa"/>
          <w:end w:w="80" w:type="dxa"/>
        </w:tblCellMar>
      </w:tblPr>
      <w:tblGrid>
        <w:gridCol w:w="2200"/>
        <w:gridCol w:w="1300"/>
        <w:gridCol w:w="1250"/>
        <w:gridCol w:w="1150"/>
        <w:gridCol w:w="1250"/>
        <w:gridCol w:w="1300"/>
        <w:gridCol w:w="622"/>
      </w:tblGrid>
      <w:tr>
        <w:trPr>
          <w:tblHeader/>
        </w:trPr>
        <w:tc>
          <w:tcPr>
            <w:tcW w:type="dxa" w:w="22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策略</w:t>
            </w:r>
          </w:p>
        </w:tc>
        <w:tc>
          <w:tcPr>
            <w:tcW w:type="dxa" w:w="13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净运行成本</w:t>
              <w:br/>
              <w:t>（万元）</w:t>
            </w:r>
          </w:p>
        </w:tc>
        <w:tc>
          <w:tcPr>
            <w:tcW w:type="dxa" w:w="1250"/>
            <w:vAlign w:val="center"/>
            <w:tcBorders>
              <w:bottom w:val="single" w:sz="6" w:space="0" w:color="000000"/>
            </w:tcBorders>
          </w:tcPr>
          <w:p>
            <w:pPr>
              <w:spacing w:before="20" w:after="20" w:line="240" w:lineRule="auto"/>
              <w:jc w:val="center"/>
            </w:pPr>
            <w:r>
              <w:rPr>
                <w:rFonts w:ascii="Times New Roman" w:hAnsi="Times New Roman" w:eastAsia="宋体"/>
                <w:b/>
                <w:i w:val="0"/>
                <w:sz w:val="18"/>
              </w:rPr>
              <w:t>碳排放</w:t>
              <w:br/>
              <w:t>（tCO₂）</w:t>
            </w:r>
          </w:p>
        </w:tc>
        <w:tc>
          <w:tcPr>
            <w:tcW w:type="dxa" w:w="1150"/>
            <w:vAlign w:val="center"/>
            <w:tcBorders>
              <w:bottom w:val="single" w:sz="6" w:space="0" w:color="000000"/>
            </w:tcBorders>
          </w:tcPr>
          <w:p>
            <w:pPr>
              <w:spacing w:before="20" w:after="20" w:line="240" w:lineRule="auto"/>
              <w:jc w:val="center"/>
            </w:pPr>
            <w:r>
              <w:rPr>
                <w:rFonts w:ascii="Times New Roman" w:hAnsi="Times New Roman" w:eastAsia="宋体"/>
                <w:b/>
                <w:i w:val="0"/>
                <w:sz w:val="18"/>
              </w:rPr>
              <w:t>新能源</w:t>
              <w:br/>
              <w:t>利用率</w:t>
            </w:r>
          </w:p>
        </w:tc>
        <w:tc>
          <w:tcPr>
            <w:tcW w:type="dxa" w:w="1250"/>
            <w:vAlign w:val="center"/>
            <w:tcBorders>
              <w:bottom w:val="single" w:sz="6" w:space="0" w:color="000000"/>
            </w:tcBorders>
          </w:tcPr>
          <w:p>
            <w:pPr>
              <w:spacing w:before="20" w:after="20" w:line="240" w:lineRule="auto"/>
              <w:jc w:val="center"/>
            </w:pPr>
            <w:r>
              <w:rPr>
                <w:rFonts w:ascii="Times New Roman" w:hAnsi="Times New Roman" w:eastAsia="宋体"/>
                <w:b/>
                <w:i w:val="0"/>
                <w:sz w:val="18"/>
              </w:rPr>
              <w:t>平均时延</w:t>
              <w:br/>
              <w:t>（ms）</w:t>
            </w:r>
          </w:p>
        </w:tc>
        <w:tc>
          <w:tcPr>
            <w:tcW w:type="dxa" w:w="13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峰值净购电</w:t>
              <w:br/>
              <w:t>（MW）</w:t>
            </w:r>
          </w:p>
        </w:tc>
        <w:tc>
          <w:tcPr>
            <w:tcW w:type="dxa" w:w="622"/>
            <w:vAlign w:val="center"/>
            <w:tcBorders>
              <w:bottom w:val="single" w:sz="6" w:space="0" w:color="000000"/>
            </w:tcBorders>
          </w:tcPr>
          <w:p>
            <w:pPr>
              <w:spacing w:before="20" w:after="20" w:line="240" w:lineRule="auto"/>
              <w:jc w:val="center"/>
            </w:pPr>
            <w:r>
              <w:rPr>
                <w:rFonts w:ascii="Times New Roman" w:hAnsi="Times New Roman" w:eastAsia="宋体"/>
                <w:b/>
                <w:i w:val="0"/>
                <w:sz w:val="18"/>
              </w:rPr>
              <w:t>迁移比例</w:t>
            </w:r>
          </w:p>
        </w:tc>
      </w:tr>
      <w:tr>
        <w:tc>
          <w:tcPr>
            <w:tcW w:type="dxa" w:w="2200"/>
            <w:vAlign w:val="center"/>
          </w:tcPr>
          <w:p>
            <w:pPr>
              <w:spacing w:before="20" w:after="20" w:line="240" w:lineRule="auto"/>
              <w:jc w:val="left"/>
            </w:pPr>
            <w:r>
              <w:rPr>
                <w:rFonts w:ascii="Times New Roman" w:hAnsi="Times New Roman" w:eastAsia="宋体"/>
                <w:b w:val="0"/>
                <w:i w:val="0"/>
                <w:sz w:val="18"/>
              </w:rPr>
              <w:t>综合权衡 balanced</w:t>
            </w:r>
          </w:p>
        </w:tc>
        <w:tc>
          <w:tcPr>
            <w:tcW w:type="dxa" w:w="1300"/>
            <w:vAlign w:val="center"/>
          </w:tcPr>
          <w:p>
            <w:pPr>
              <w:spacing w:before="20" w:after="20" w:line="240" w:lineRule="auto"/>
              <w:jc w:val="center"/>
            </w:pPr>
            <w:r>
              <w:rPr>
                <w:rFonts w:ascii="Times New Roman" w:hAnsi="Times New Roman" w:eastAsia="宋体"/>
                <w:b w:val="0"/>
                <w:i w:val="0"/>
                <w:sz w:val="18"/>
              </w:rPr>
              <w:t>-43 873</w:t>
            </w:r>
          </w:p>
        </w:tc>
        <w:tc>
          <w:tcPr>
            <w:tcW w:type="dxa" w:w="1250"/>
            <w:vAlign w:val="center"/>
          </w:tcPr>
          <w:p>
            <w:pPr>
              <w:spacing w:before="20" w:after="20" w:line="240" w:lineRule="auto"/>
              <w:jc w:val="center"/>
            </w:pPr>
            <w:r>
              <w:rPr>
                <w:rFonts w:ascii="Times New Roman" w:hAnsi="Times New Roman" w:eastAsia="宋体"/>
                <w:b w:val="0"/>
                <w:i w:val="0"/>
                <w:sz w:val="18"/>
              </w:rPr>
              <w:t>160.7</w:t>
            </w:r>
          </w:p>
        </w:tc>
        <w:tc>
          <w:tcPr>
            <w:tcW w:type="dxa" w:w="1150"/>
            <w:vAlign w:val="center"/>
          </w:tcPr>
          <w:p>
            <w:pPr>
              <w:spacing w:before="20" w:after="20" w:line="240" w:lineRule="auto"/>
              <w:jc w:val="center"/>
            </w:pPr>
            <w:r>
              <w:rPr>
                <w:rFonts w:ascii="Times New Roman" w:hAnsi="Times New Roman" w:eastAsia="宋体"/>
                <w:b w:val="0"/>
                <w:i w:val="0"/>
                <w:sz w:val="18"/>
              </w:rPr>
              <w:t>68.8%</w:t>
            </w:r>
          </w:p>
        </w:tc>
        <w:tc>
          <w:tcPr>
            <w:tcW w:type="dxa" w:w="1250"/>
            <w:vAlign w:val="center"/>
          </w:tcPr>
          <w:p>
            <w:pPr>
              <w:spacing w:before="20" w:after="20" w:line="240" w:lineRule="auto"/>
              <w:jc w:val="center"/>
            </w:pPr>
            <w:r>
              <w:rPr>
                <w:rFonts w:ascii="Times New Roman" w:hAnsi="Times New Roman" w:eastAsia="宋体"/>
                <w:b w:val="0"/>
                <w:i w:val="0"/>
                <w:sz w:val="18"/>
              </w:rPr>
              <w:t>14.35</w:t>
            </w:r>
          </w:p>
        </w:tc>
        <w:tc>
          <w:tcPr>
            <w:tcW w:type="dxa" w:w="1300"/>
            <w:vAlign w:val="center"/>
          </w:tcPr>
          <w:p>
            <w:pPr>
              <w:spacing w:before="20" w:after="20" w:line="240" w:lineRule="auto"/>
              <w:jc w:val="center"/>
            </w:pPr>
            <w:r>
              <w:rPr>
                <w:rFonts w:ascii="Times New Roman" w:hAnsi="Times New Roman" w:eastAsia="宋体"/>
                <w:b w:val="0"/>
                <w:i w:val="0"/>
                <w:sz w:val="18"/>
              </w:rPr>
              <w:t>171.2</w:t>
            </w:r>
          </w:p>
        </w:tc>
        <w:tc>
          <w:tcPr>
            <w:tcW w:type="dxa" w:w="622"/>
            <w:vAlign w:val="center"/>
          </w:tcPr>
          <w:p>
            <w:pPr>
              <w:spacing w:before="20" w:after="20" w:line="240" w:lineRule="auto"/>
              <w:jc w:val="center"/>
            </w:pPr>
            <w:r>
              <w:rPr>
                <w:rFonts w:ascii="Times New Roman" w:hAnsi="Times New Roman" w:eastAsia="宋体"/>
                <w:b w:val="0"/>
                <w:i w:val="0"/>
                <w:sz w:val="18"/>
              </w:rPr>
              <w:t>23.8%</w:t>
            </w:r>
          </w:p>
        </w:tc>
      </w:tr>
      <w:tr>
        <w:tc>
          <w:tcPr>
            <w:tcW w:type="dxa" w:w="2200"/>
            <w:vAlign w:val="center"/>
          </w:tcPr>
          <w:p>
            <w:pPr>
              <w:spacing w:before="20" w:after="20" w:line="240" w:lineRule="auto"/>
              <w:jc w:val="left"/>
            </w:pPr>
            <w:r>
              <w:rPr>
                <w:rFonts w:ascii="Times New Roman" w:hAnsi="Times New Roman" w:eastAsia="宋体"/>
                <w:b w:val="0"/>
                <w:i w:val="0"/>
                <w:sz w:val="18"/>
              </w:rPr>
              <w:t>成本优先 cost_first</w:t>
            </w:r>
          </w:p>
        </w:tc>
        <w:tc>
          <w:tcPr>
            <w:tcW w:type="dxa" w:w="1300"/>
            <w:vAlign w:val="center"/>
          </w:tcPr>
          <w:p>
            <w:pPr>
              <w:spacing w:before="20" w:after="20" w:line="240" w:lineRule="auto"/>
              <w:jc w:val="center"/>
            </w:pPr>
            <w:r>
              <w:rPr>
                <w:rFonts w:ascii="Times New Roman" w:hAnsi="Times New Roman" w:eastAsia="宋体"/>
                <w:b w:val="0"/>
                <w:i w:val="0"/>
                <w:sz w:val="18"/>
              </w:rPr>
              <w:t>-43 842</w:t>
            </w:r>
          </w:p>
        </w:tc>
        <w:tc>
          <w:tcPr>
            <w:tcW w:type="dxa" w:w="1250"/>
            <w:vAlign w:val="center"/>
          </w:tcPr>
          <w:p>
            <w:pPr>
              <w:spacing w:before="20" w:after="20" w:line="240" w:lineRule="auto"/>
              <w:jc w:val="center"/>
            </w:pPr>
            <w:r>
              <w:rPr>
                <w:rFonts w:ascii="Times New Roman" w:hAnsi="Times New Roman" w:eastAsia="宋体"/>
                <w:b w:val="0"/>
                <w:i w:val="0"/>
                <w:sz w:val="18"/>
              </w:rPr>
              <w:t>158.8</w:t>
            </w:r>
          </w:p>
        </w:tc>
        <w:tc>
          <w:tcPr>
            <w:tcW w:type="dxa" w:w="1150"/>
            <w:vAlign w:val="center"/>
          </w:tcPr>
          <w:p>
            <w:pPr>
              <w:spacing w:before="20" w:after="20" w:line="240" w:lineRule="auto"/>
              <w:jc w:val="center"/>
            </w:pPr>
            <w:r>
              <w:rPr>
                <w:rFonts w:ascii="Times New Roman" w:hAnsi="Times New Roman" w:eastAsia="宋体"/>
                <w:b w:val="0"/>
                <w:i w:val="0"/>
                <w:sz w:val="18"/>
              </w:rPr>
              <w:t>68.8%</w:t>
            </w:r>
          </w:p>
        </w:tc>
        <w:tc>
          <w:tcPr>
            <w:tcW w:type="dxa" w:w="1250"/>
            <w:vAlign w:val="center"/>
          </w:tcPr>
          <w:p>
            <w:pPr>
              <w:spacing w:before="20" w:after="20" w:line="240" w:lineRule="auto"/>
              <w:jc w:val="center"/>
            </w:pPr>
            <w:r>
              <w:rPr>
                <w:rFonts w:ascii="Times New Roman" w:hAnsi="Times New Roman" w:eastAsia="宋体"/>
                <w:b w:val="0"/>
                <w:i w:val="0"/>
                <w:sz w:val="18"/>
              </w:rPr>
              <w:t>12.04</w:t>
            </w:r>
          </w:p>
        </w:tc>
        <w:tc>
          <w:tcPr>
            <w:tcW w:type="dxa" w:w="1300"/>
            <w:vAlign w:val="center"/>
          </w:tcPr>
          <w:p>
            <w:pPr>
              <w:spacing w:before="20" w:after="20" w:line="240" w:lineRule="auto"/>
              <w:jc w:val="center"/>
            </w:pPr>
            <w:r>
              <w:rPr>
                <w:rFonts w:ascii="Times New Roman" w:hAnsi="Times New Roman" w:eastAsia="宋体"/>
                <w:b w:val="0"/>
                <w:i w:val="0"/>
                <w:sz w:val="18"/>
              </w:rPr>
              <w:t>197.5</w:t>
            </w:r>
          </w:p>
        </w:tc>
        <w:tc>
          <w:tcPr>
            <w:tcW w:type="dxa" w:w="622"/>
            <w:vAlign w:val="center"/>
          </w:tcPr>
          <w:p>
            <w:pPr>
              <w:spacing w:before="20" w:after="20" w:line="240" w:lineRule="auto"/>
              <w:jc w:val="center"/>
            </w:pPr>
            <w:r>
              <w:rPr>
                <w:rFonts w:ascii="Times New Roman" w:hAnsi="Times New Roman" w:eastAsia="宋体"/>
                <w:b w:val="0"/>
                <w:i w:val="0"/>
                <w:sz w:val="18"/>
              </w:rPr>
              <w:t>22.2%</w:t>
            </w:r>
          </w:p>
        </w:tc>
      </w:tr>
      <w:tr>
        <w:tc>
          <w:tcPr>
            <w:tcW w:type="dxa" w:w="2200"/>
            <w:vAlign w:val="center"/>
          </w:tcPr>
          <w:p>
            <w:pPr>
              <w:spacing w:before="20" w:after="20" w:line="240" w:lineRule="auto"/>
              <w:jc w:val="left"/>
            </w:pPr>
            <w:r>
              <w:rPr>
                <w:rFonts w:ascii="Times New Roman" w:hAnsi="Times New Roman" w:eastAsia="宋体"/>
                <w:b w:val="0"/>
                <w:i w:val="0"/>
                <w:sz w:val="18"/>
              </w:rPr>
              <w:t>低碳优先 carbon_first</w:t>
            </w:r>
          </w:p>
        </w:tc>
        <w:tc>
          <w:tcPr>
            <w:tcW w:type="dxa" w:w="1300"/>
            <w:vAlign w:val="center"/>
          </w:tcPr>
          <w:p>
            <w:pPr>
              <w:spacing w:before="20" w:after="20" w:line="240" w:lineRule="auto"/>
              <w:jc w:val="center"/>
            </w:pPr>
            <w:r>
              <w:rPr>
                <w:rFonts w:ascii="Times New Roman" w:hAnsi="Times New Roman" w:eastAsia="宋体"/>
                <w:b w:val="0"/>
                <w:i w:val="0"/>
                <w:sz w:val="18"/>
              </w:rPr>
              <w:t>-43 889</w:t>
            </w:r>
          </w:p>
        </w:tc>
        <w:tc>
          <w:tcPr>
            <w:tcW w:type="dxa" w:w="1250"/>
            <w:vAlign w:val="center"/>
          </w:tcPr>
          <w:p>
            <w:pPr>
              <w:spacing w:before="20" w:after="20" w:line="240" w:lineRule="auto"/>
              <w:jc w:val="center"/>
            </w:pPr>
            <w:r>
              <w:rPr>
                <w:rFonts w:ascii="Times New Roman" w:hAnsi="Times New Roman" w:eastAsia="宋体"/>
                <w:b w:val="0"/>
                <w:i w:val="0"/>
                <w:sz w:val="18"/>
              </w:rPr>
              <w:t>160.7</w:t>
            </w:r>
          </w:p>
        </w:tc>
        <w:tc>
          <w:tcPr>
            <w:tcW w:type="dxa" w:w="1150"/>
            <w:vAlign w:val="center"/>
          </w:tcPr>
          <w:p>
            <w:pPr>
              <w:spacing w:before="20" w:after="20" w:line="240" w:lineRule="auto"/>
              <w:jc w:val="center"/>
            </w:pPr>
            <w:r>
              <w:rPr>
                <w:rFonts w:ascii="Times New Roman" w:hAnsi="Times New Roman" w:eastAsia="宋体"/>
                <w:b w:val="0"/>
                <w:i w:val="0"/>
                <w:sz w:val="18"/>
              </w:rPr>
              <w:t>68.9%</w:t>
            </w:r>
          </w:p>
        </w:tc>
        <w:tc>
          <w:tcPr>
            <w:tcW w:type="dxa" w:w="1250"/>
            <w:vAlign w:val="center"/>
          </w:tcPr>
          <w:p>
            <w:pPr>
              <w:spacing w:before="20" w:after="20" w:line="240" w:lineRule="auto"/>
              <w:jc w:val="center"/>
            </w:pPr>
            <w:r>
              <w:rPr>
                <w:rFonts w:ascii="Times New Roman" w:hAnsi="Times New Roman" w:eastAsia="宋体"/>
                <w:b w:val="0"/>
                <w:i w:val="0"/>
                <w:sz w:val="18"/>
              </w:rPr>
              <w:t>16.38</w:t>
            </w:r>
          </w:p>
        </w:tc>
        <w:tc>
          <w:tcPr>
            <w:tcW w:type="dxa" w:w="1300"/>
            <w:vAlign w:val="center"/>
          </w:tcPr>
          <w:p>
            <w:pPr>
              <w:spacing w:before="20" w:after="20" w:line="240" w:lineRule="auto"/>
              <w:jc w:val="center"/>
            </w:pPr>
            <w:r>
              <w:rPr>
                <w:rFonts w:ascii="Times New Roman" w:hAnsi="Times New Roman" w:eastAsia="宋体"/>
                <w:b w:val="0"/>
                <w:i w:val="0"/>
                <w:sz w:val="18"/>
              </w:rPr>
              <w:t>160.6</w:t>
            </w:r>
          </w:p>
        </w:tc>
        <w:tc>
          <w:tcPr>
            <w:tcW w:type="dxa" w:w="622"/>
            <w:vAlign w:val="center"/>
          </w:tcPr>
          <w:p>
            <w:pPr>
              <w:spacing w:before="20" w:after="20" w:line="240" w:lineRule="auto"/>
              <w:jc w:val="center"/>
            </w:pPr>
            <w:r>
              <w:rPr>
                <w:rFonts w:ascii="Times New Roman" w:hAnsi="Times New Roman" w:eastAsia="宋体"/>
                <w:b w:val="0"/>
                <w:i w:val="0"/>
                <w:sz w:val="18"/>
              </w:rPr>
              <w:t>31.9%</w:t>
            </w:r>
          </w:p>
        </w:tc>
      </w:tr>
      <w:tr>
        <w:tc>
          <w:tcPr>
            <w:tcW w:type="dxa" w:w="2200"/>
            <w:vAlign w:val="center"/>
          </w:tcPr>
          <w:p>
            <w:pPr>
              <w:spacing w:before="20" w:after="20" w:line="240" w:lineRule="auto"/>
              <w:jc w:val="left"/>
            </w:pPr>
            <w:r>
              <w:rPr>
                <w:rFonts w:ascii="Times New Roman" w:hAnsi="Times New Roman" w:eastAsia="宋体"/>
                <w:b w:val="0"/>
                <w:i w:val="0"/>
                <w:sz w:val="18"/>
              </w:rPr>
              <w:t>新能源优先 renewable_first</w:t>
            </w:r>
          </w:p>
        </w:tc>
        <w:tc>
          <w:tcPr>
            <w:tcW w:type="dxa" w:w="1300"/>
            <w:vAlign w:val="center"/>
          </w:tcPr>
          <w:p>
            <w:pPr>
              <w:spacing w:before="20" w:after="20" w:line="240" w:lineRule="auto"/>
              <w:jc w:val="center"/>
            </w:pPr>
            <w:r>
              <w:rPr>
                <w:rFonts w:ascii="Times New Roman" w:hAnsi="Times New Roman" w:eastAsia="宋体"/>
                <w:b w:val="0"/>
                <w:i w:val="0"/>
                <w:sz w:val="18"/>
              </w:rPr>
              <w:t>-43 655</w:t>
            </w:r>
          </w:p>
        </w:tc>
        <w:tc>
          <w:tcPr>
            <w:tcW w:type="dxa" w:w="1250"/>
            <w:vAlign w:val="center"/>
          </w:tcPr>
          <w:p>
            <w:pPr>
              <w:spacing w:before="20" w:after="20" w:line="240" w:lineRule="auto"/>
              <w:jc w:val="center"/>
            </w:pPr>
            <w:r>
              <w:rPr>
                <w:rFonts w:ascii="Times New Roman" w:hAnsi="Times New Roman" w:eastAsia="宋体"/>
                <w:b w:val="0"/>
                <w:i w:val="0"/>
                <w:sz w:val="18"/>
              </w:rPr>
              <w:t>163.3</w:t>
            </w:r>
          </w:p>
        </w:tc>
        <w:tc>
          <w:tcPr>
            <w:tcW w:type="dxa" w:w="1150"/>
            <w:vAlign w:val="center"/>
          </w:tcPr>
          <w:p>
            <w:pPr>
              <w:spacing w:before="20" w:after="20" w:line="240" w:lineRule="auto"/>
              <w:jc w:val="center"/>
            </w:pPr>
            <w:r>
              <w:rPr>
                <w:rFonts w:ascii="Times New Roman" w:hAnsi="Times New Roman" w:eastAsia="宋体"/>
                <w:b w:val="0"/>
                <w:i w:val="0"/>
                <w:sz w:val="18"/>
              </w:rPr>
              <w:t>68.8%</w:t>
            </w:r>
          </w:p>
        </w:tc>
        <w:tc>
          <w:tcPr>
            <w:tcW w:type="dxa" w:w="1250"/>
            <w:vAlign w:val="center"/>
          </w:tcPr>
          <w:p>
            <w:pPr>
              <w:spacing w:before="20" w:after="20" w:line="240" w:lineRule="auto"/>
              <w:jc w:val="center"/>
            </w:pPr>
            <w:r>
              <w:rPr>
                <w:rFonts w:ascii="Times New Roman" w:hAnsi="Times New Roman" w:eastAsia="宋体"/>
                <w:b w:val="0"/>
                <w:i w:val="0"/>
                <w:sz w:val="18"/>
              </w:rPr>
              <w:t>25.33</w:t>
            </w:r>
          </w:p>
        </w:tc>
        <w:tc>
          <w:tcPr>
            <w:tcW w:type="dxa" w:w="1300"/>
            <w:vAlign w:val="center"/>
          </w:tcPr>
          <w:p>
            <w:pPr>
              <w:spacing w:before="20" w:after="20" w:line="240" w:lineRule="auto"/>
              <w:jc w:val="center"/>
            </w:pPr>
            <w:r>
              <w:rPr>
                <w:rFonts w:ascii="Times New Roman" w:hAnsi="Times New Roman" w:eastAsia="宋体"/>
                <w:b w:val="0"/>
                <w:i w:val="0"/>
                <w:sz w:val="18"/>
              </w:rPr>
              <w:t>153.4</w:t>
            </w:r>
          </w:p>
        </w:tc>
        <w:tc>
          <w:tcPr>
            <w:tcW w:type="dxa" w:w="622"/>
            <w:vAlign w:val="center"/>
          </w:tcPr>
          <w:p>
            <w:pPr>
              <w:spacing w:before="20" w:after="20" w:line="240" w:lineRule="auto"/>
              <w:jc w:val="center"/>
            </w:pPr>
            <w:r>
              <w:rPr>
                <w:rFonts w:ascii="Times New Roman" w:hAnsi="Times New Roman" w:eastAsia="宋体"/>
                <w:b w:val="0"/>
                <w:i w:val="0"/>
                <w:sz w:val="18"/>
              </w:rPr>
              <w:t>54.3%</w:t>
            </w:r>
          </w:p>
        </w:tc>
      </w:tr>
      <w:tr>
        <w:tc>
          <w:tcPr>
            <w:tcW w:type="dxa" w:w="2200"/>
            <w:vAlign w:val="center"/>
          </w:tcPr>
          <w:p>
            <w:pPr>
              <w:spacing w:before="20" w:after="20" w:line="240" w:lineRule="auto"/>
              <w:jc w:val="left"/>
            </w:pPr>
            <w:r>
              <w:rPr>
                <w:rFonts w:ascii="Times New Roman" w:hAnsi="Times New Roman" w:eastAsia="宋体"/>
                <w:b w:val="0"/>
                <w:i w:val="0"/>
                <w:sz w:val="18"/>
              </w:rPr>
              <w:t>时延优先 latency_first</w:t>
            </w:r>
          </w:p>
        </w:tc>
        <w:tc>
          <w:tcPr>
            <w:tcW w:type="dxa" w:w="1300"/>
            <w:vAlign w:val="center"/>
          </w:tcPr>
          <w:p>
            <w:pPr>
              <w:spacing w:before="20" w:after="20" w:line="240" w:lineRule="auto"/>
              <w:jc w:val="center"/>
            </w:pPr>
            <w:r>
              <w:rPr>
                <w:rFonts w:ascii="Times New Roman" w:hAnsi="Times New Roman" w:eastAsia="宋体"/>
                <w:b w:val="0"/>
                <w:i w:val="0"/>
                <w:sz w:val="18"/>
              </w:rPr>
              <w:t>-41 687</w:t>
            </w:r>
          </w:p>
        </w:tc>
        <w:tc>
          <w:tcPr>
            <w:tcW w:type="dxa" w:w="1250"/>
            <w:vAlign w:val="center"/>
          </w:tcPr>
          <w:p>
            <w:pPr>
              <w:spacing w:before="20" w:after="20" w:line="240" w:lineRule="auto"/>
              <w:jc w:val="center"/>
            </w:pPr>
            <w:r>
              <w:rPr>
                <w:rFonts w:ascii="Times New Roman" w:hAnsi="Times New Roman" w:eastAsia="宋体"/>
                <w:b w:val="0"/>
                <w:i w:val="0"/>
                <w:sz w:val="18"/>
              </w:rPr>
              <w:t>149.7</w:t>
            </w:r>
          </w:p>
        </w:tc>
        <w:tc>
          <w:tcPr>
            <w:tcW w:type="dxa" w:w="1150"/>
            <w:vAlign w:val="center"/>
          </w:tcPr>
          <w:p>
            <w:pPr>
              <w:spacing w:before="20" w:after="20" w:line="240" w:lineRule="auto"/>
              <w:jc w:val="center"/>
            </w:pPr>
            <w:r>
              <w:rPr>
                <w:rFonts w:ascii="Times New Roman" w:hAnsi="Times New Roman" w:eastAsia="宋体"/>
                <w:b w:val="0"/>
                <w:i w:val="0"/>
                <w:sz w:val="18"/>
              </w:rPr>
              <w:t>67.9%</w:t>
            </w:r>
          </w:p>
        </w:tc>
        <w:tc>
          <w:tcPr>
            <w:tcW w:type="dxa" w:w="1250"/>
            <w:vAlign w:val="center"/>
          </w:tcPr>
          <w:p>
            <w:pPr>
              <w:spacing w:before="20" w:after="20" w:line="240" w:lineRule="auto"/>
              <w:jc w:val="center"/>
            </w:pPr>
            <w:r>
              <w:rPr>
                <w:rFonts w:ascii="Times New Roman" w:hAnsi="Times New Roman" w:eastAsia="宋体"/>
                <w:b w:val="0"/>
                <w:i w:val="0"/>
                <w:sz w:val="18"/>
              </w:rPr>
              <w:t>5.06</w:t>
            </w:r>
          </w:p>
        </w:tc>
        <w:tc>
          <w:tcPr>
            <w:tcW w:type="dxa" w:w="1300"/>
            <w:vAlign w:val="center"/>
          </w:tcPr>
          <w:p>
            <w:pPr>
              <w:spacing w:before="20" w:after="20" w:line="240" w:lineRule="auto"/>
              <w:jc w:val="center"/>
            </w:pPr>
            <w:r>
              <w:rPr>
                <w:rFonts w:ascii="Times New Roman" w:hAnsi="Times New Roman" w:eastAsia="宋体"/>
                <w:b w:val="0"/>
                <w:i w:val="0"/>
                <w:sz w:val="18"/>
              </w:rPr>
              <w:t>188.9</w:t>
            </w:r>
          </w:p>
        </w:tc>
        <w:tc>
          <w:tcPr>
            <w:tcW w:type="dxa" w:w="622"/>
            <w:vAlign w:val="center"/>
          </w:tcPr>
          <w:p>
            <w:pPr>
              <w:spacing w:before="20" w:after="20" w:line="240" w:lineRule="auto"/>
              <w:jc w:val="center"/>
            </w:pPr>
            <w:r>
              <w:rPr>
                <w:rFonts w:ascii="Times New Roman" w:hAnsi="Times New Roman" w:eastAsia="宋体"/>
                <w:b w:val="0"/>
                <w:i w:val="0"/>
                <w:sz w:val="18"/>
              </w:rPr>
              <w:t>0.2%</w:t>
            </w:r>
          </w:p>
        </w:tc>
      </w:tr>
      <w:tr>
        <w:tc>
          <w:tcPr>
            <w:tcW w:type="dxa" w:w="2200"/>
            <w:vAlign w:val="center"/>
          </w:tcPr>
          <w:p>
            <w:pPr>
              <w:spacing w:before="20" w:after="20" w:line="240" w:lineRule="auto"/>
              <w:jc w:val="left"/>
            </w:pPr>
            <w:r>
              <w:rPr>
                <w:rFonts w:ascii="Times New Roman" w:hAnsi="Times New Roman" w:eastAsia="宋体"/>
                <w:b w:val="0"/>
                <w:i w:val="0"/>
                <w:sz w:val="18"/>
              </w:rPr>
              <w:t>低碳＋新能源 carbon_renewable</w:t>
            </w:r>
          </w:p>
        </w:tc>
        <w:tc>
          <w:tcPr>
            <w:tcW w:type="dxa" w:w="1300"/>
            <w:vAlign w:val="center"/>
          </w:tcPr>
          <w:p>
            <w:pPr>
              <w:spacing w:before="20" w:after="20" w:line="240" w:lineRule="auto"/>
              <w:jc w:val="center"/>
            </w:pPr>
            <w:r>
              <w:rPr>
                <w:rFonts w:ascii="Times New Roman" w:hAnsi="Times New Roman" w:eastAsia="宋体"/>
                <w:b w:val="0"/>
                <w:i w:val="0"/>
                <w:sz w:val="18"/>
              </w:rPr>
              <w:t>-43 702</w:t>
            </w:r>
          </w:p>
        </w:tc>
        <w:tc>
          <w:tcPr>
            <w:tcW w:type="dxa" w:w="1250"/>
            <w:vAlign w:val="center"/>
          </w:tcPr>
          <w:p>
            <w:pPr>
              <w:spacing w:before="20" w:after="20" w:line="240" w:lineRule="auto"/>
              <w:jc w:val="center"/>
            </w:pPr>
            <w:r>
              <w:rPr>
                <w:rFonts w:ascii="Times New Roman" w:hAnsi="Times New Roman" w:eastAsia="宋体"/>
                <w:b w:val="0"/>
                <w:i w:val="0"/>
                <w:sz w:val="18"/>
              </w:rPr>
              <w:t>129.6</w:t>
            </w:r>
          </w:p>
        </w:tc>
        <w:tc>
          <w:tcPr>
            <w:tcW w:type="dxa" w:w="1150"/>
            <w:vAlign w:val="center"/>
          </w:tcPr>
          <w:p>
            <w:pPr>
              <w:spacing w:before="20" w:after="20" w:line="240" w:lineRule="auto"/>
              <w:jc w:val="center"/>
            </w:pPr>
            <w:r>
              <w:rPr>
                <w:rFonts w:ascii="Times New Roman" w:hAnsi="Times New Roman" w:eastAsia="宋体"/>
                <w:b w:val="0"/>
                <w:i w:val="0"/>
                <w:sz w:val="18"/>
              </w:rPr>
              <w:t>68.8%</w:t>
            </w:r>
          </w:p>
        </w:tc>
        <w:tc>
          <w:tcPr>
            <w:tcW w:type="dxa" w:w="1250"/>
            <w:vAlign w:val="center"/>
          </w:tcPr>
          <w:p>
            <w:pPr>
              <w:spacing w:before="20" w:after="20" w:line="240" w:lineRule="auto"/>
              <w:jc w:val="center"/>
            </w:pPr>
            <w:r>
              <w:rPr>
                <w:rFonts w:ascii="Times New Roman" w:hAnsi="Times New Roman" w:eastAsia="宋体"/>
                <w:b w:val="0"/>
                <w:i w:val="0"/>
                <w:sz w:val="18"/>
              </w:rPr>
              <w:t>22.58</w:t>
            </w:r>
          </w:p>
        </w:tc>
        <w:tc>
          <w:tcPr>
            <w:tcW w:type="dxa" w:w="1300"/>
            <w:vAlign w:val="center"/>
          </w:tcPr>
          <w:p>
            <w:pPr>
              <w:spacing w:before="20" w:after="20" w:line="240" w:lineRule="auto"/>
              <w:jc w:val="center"/>
            </w:pPr>
            <w:r>
              <w:rPr>
                <w:rFonts w:ascii="Times New Roman" w:hAnsi="Times New Roman" w:eastAsia="宋体"/>
                <w:b w:val="0"/>
                <w:i w:val="0"/>
                <w:sz w:val="18"/>
              </w:rPr>
              <w:t>107.6</w:t>
            </w:r>
          </w:p>
        </w:tc>
        <w:tc>
          <w:tcPr>
            <w:tcW w:type="dxa" w:w="622"/>
            <w:vAlign w:val="center"/>
          </w:tcPr>
          <w:p>
            <w:pPr>
              <w:spacing w:before="20" w:after="20" w:line="240" w:lineRule="auto"/>
              <w:jc w:val="center"/>
            </w:pPr>
            <w:r>
              <w:rPr>
                <w:rFonts w:ascii="Times New Roman" w:hAnsi="Times New Roman" w:eastAsia="宋体"/>
                <w:b w:val="0"/>
                <w:i w:val="0"/>
                <w:sz w:val="18"/>
              </w:rPr>
              <w:t>45.3%</w:t>
            </w:r>
          </w:p>
        </w:tc>
      </w:tr>
      <w:tr>
        <w:tc>
          <w:tcPr>
            <w:tcW w:type="dxa" w:w="2200"/>
            <w:vAlign w:val="center"/>
          </w:tcPr>
          <w:p>
            <w:pPr>
              <w:spacing w:before="20" w:after="20" w:line="240" w:lineRule="auto"/>
              <w:jc w:val="left"/>
            </w:pPr>
            <w:r>
              <w:rPr>
                <w:rFonts w:ascii="Times New Roman" w:hAnsi="Times New Roman" w:eastAsia="宋体"/>
                <w:b w:val="0"/>
                <w:i w:val="0"/>
                <w:sz w:val="18"/>
              </w:rPr>
              <w:t>成本＋碳 cost_carbon</w:t>
            </w:r>
          </w:p>
        </w:tc>
        <w:tc>
          <w:tcPr>
            <w:tcW w:type="dxa" w:w="1300"/>
            <w:vAlign w:val="center"/>
          </w:tcPr>
          <w:p>
            <w:pPr>
              <w:spacing w:before="20" w:after="20" w:line="240" w:lineRule="auto"/>
              <w:jc w:val="center"/>
            </w:pPr>
            <w:r>
              <w:rPr>
                <w:rFonts w:ascii="Times New Roman" w:hAnsi="Times New Roman" w:eastAsia="宋体"/>
                <w:b w:val="0"/>
                <w:i w:val="0"/>
                <w:sz w:val="18"/>
              </w:rPr>
              <w:t>-43 902</w:t>
            </w:r>
          </w:p>
        </w:tc>
        <w:tc>
          <w:tcPr>
            <w:tcW w:type="dxa" w:w="1250"/>
            <w:vAlign w:val="center"/>
          </w:tcPr>
          <w:p>
            <w:pPr>
              <w:spacing w:before="20" w:after="20" w:line="240" w:lineRule="auto"/>
              <w:jc w:val="center"/>
            </w:pPr>
            <w:r>
              <w:rPr>
                <w:rFonts w:ascii="Times New Roman" w:hAnsi="Times New Roman" w:eastAsia="宋体"/>
                <w:b w:val="0"/>
                <w:i w:val="0"/>
                <w:sz w:val="18"/>
              </w:rPr>
              <w:t>148.8</w:t>
            </w:r>
          </w:p>
        </w:tc>
        <w:tc>
          <w:tcPr>
            <w:tcW w:type="dxa" w:w="1150"/>
            <w:vAlign w:val="center"/>
          </w:tcPr>
          <w:p>
            <w:pPr>
              <w:spacing w:before="20" w:after="20" w:line="240" w:lineRule="auto"/>
              <w:jc w:val="center"/>
            </w:pPr>
            <w:r>
              <w:rPr>
                <w:rFonts w:ascii="Times New Roman" w:hAnsi="Times New Roman" w:eastAsia="宋体"/>
                <w:b w:val="0"/>
                <w:i w:val="0"/>
                <w:sz w:val="18"/>
              </w:rPr>
              <w:t>68.8%</w:t>
            </w:r>
          </w:p>
        </w:tc>
        <w:tc>
          <w:tcPr>
            <w:tcW w:type="dxa" w:w="1250"/>
            <w:vAlign w:val="center"/>
          </w:tcPr>
          <w:p>
            <w:pPr>
              <w:spacing w:before="20" w:after="20" w:line="240" w:lineRule="auto"/>
              <w:jc w:val="center"/>
            </w:pPr>
            <w:r>
              <w:rPr>
                <w:rFonts w:ascii="Times New Roman" w:hAnsi="Times New Roman" w:eastAsia="宋体"/>
                <w:b w:val="0"/>
                <w:i w:val="0"/>
                <w:sz w:val="18"/>
              </w:rPr>
              <w:t>15.81</w:t>
            </w:r>
          </w:p>
        </w:tc>
        <w:tc>
          <w:tcPr>
            <w:tcW w:type="dxa" w:w="1300"/>
            <w:vAlign w:val="center"/>
          </w:tcPr>
          <w:p>
            <w:pPr>
              <w:spacing w:before="20" w:after="20" w:line="240" w:lineRule="auto"/>
              <w:jc w:val="center"/>
            </w:pPr>
            <w:r>
              <w:rPr>
                <w:rFonts w:ascii="Times New Roman" w:hAnsi="Times New Roman" w:eastAsia="宋体"/>
                <w:b w:val="0"/>
                <w:i w:val="0"/>
                <w:sz w:val="18"/>
              </w:rPr>
              <w:t>150.3</w:t>
            </w:r>
          </w:p>
        </w:tc>
        <w:tc>
          <w:tcPr>
            <w:tcW w:type="dxa" w:w="622"/>
            <w:vAlign w:val="center"/>
          </w:tcPr>
          <w:p>
            <w:pPr>
              <w:spacing w:before="20" w:after="20" w:line="240" w:lineRule="auto"/>
              <w:jc w:val="center"/>
            </w:pPr>
            <w:r>
              <w:rPr>
                <w:rFonts w:ascii="Times New Roman" w:hAnsi="Times New Roman" w:eastAsia="宋体"/>
                <w:b w:val="0"/>
                <w:i w:val="0"/>
                <w:sz w:val="18"/>
              </w:rPr>
              <w:t>30.7%</w:t>
            </w:r>
          </w:p>
        </w:tc>
      </w:tr>
      <w:tr>
        <w:tc>
          <w:tcPr>
            <w:tcW w:type="dxa" w:w="2200"/>
            <w:vAlign w:val="center"/>
          </w:tcPr>
          <w:p>
            <w:pPr>
              <w:spacing w:before="20" w:after="20" w:line="240" w:lineRule="auto"/>
              <w:jc w:val="left"/>
            </w:pPr>
            <w:r>
              <w:rPr>
                <w:rFonts w:ascii="Times New Roman" w:hAnsi="Times New Roman" w:eastAsia="宋体"/>
                <w:b w:val="0"/>
                <w:i w:val="0"/>
                <w:sz w:val="18"/>
              </w:rPr>
              <w:t>负载均衡 load_balanced</w:t>
            </w:r>
          </w:p>
        </w:tc>
        <w:tc>
          <w:tcPr>
            <w:tcW w:type="dxa" w:w="1300"/>
            <w:vAlign w:val="center"/>
          </w:tcPr>
          <w:p>
            <w:pPr>
              <w:spacing w:before="20" w:after="20" w:line="240" w:lineRule="auto"/>
              <w:jc w:val="center"/>
            </w:pPr>
            <w:r>
              <w:rPr>
                <w:rFonts w:ascii="Times New Roman" w:hAnsi="Times New Roman" w:eastAsia="宋体"/>
                <w:b w:val="0"/>
                <w:i w:val="0"/>
                <w:sz w:val="18"/>
              </w:rPr>
              <w:t>-43 636</w:t>
            </w:r>
          </w:p>
        </w:tc>
        <w:tc>
          <w:tcPr>
            <w:tcW w:type="dxa" w:w="1250"/>
            <w:vAlign w:val="center"/>
          </w:tcPr>
          <w:p>
            <w:pPr>
              <w:spacing w:before="20" w:after="20" w:line="240" w:lineRule="auto"/>
              <w:jc w:val="center"/>
            </w:pPr>
            <w:r>
              <w:rPr>
                <w:rFonts w:ascii="Times New Roman" w:hAnsi="Times New Roman" w:eastAsia="宋体"/>
                <w:b w:val="0"/>
                <w:i w:val="0"/>
                <w:sz w:val="18"/>
              </w:rPr>
              <w:t>144.3</w:t>
            </w:r>
          </w:p>
        </w:tc>
        <w:tc>
          <w:tcPr>
            <w:tcW w:type="dxa" w:w="1150"/>
            <w:vAlign w:val="center"/>
          </w:tcPr>
          <w:p>
            <w:pPr>
              <w:spacing w:before="20" w:after="20" w:line="240" w:lineRule="auto"/>
              <w:jc w:val="center"/>
            </w:pPr>
            <w:r>
              <w:rPr>
                <w:rFonts w:ascii="Times New Roman" w:hAnsi="Times New Roman" w:eastAsia="宋体"/>
                <w:b w:val="0"/>
                <w:i w:val="0"/>
                <w:sz w:val="18"/>
              </w:rPr>
              <w:t>68.7%</w:t>
            </w:r>
          </w:p>
        </w:tc>
        <w:tc>
          <w:tcPr>
            <w:tcW w:type="dxa" w:w="1250"/>
            <w:vAlign w:val="center"/>
          </w:tcPr>
          <w:p>
            <w:pPr>
              <w:spacing w:before="20" w:after="20" w:line="240" w:lineRule="auto"/>
              <w:jc w:val="center"/>
            </w:pPr>
            <w:r>
              <w:rPr>
                <w:rFonts w:ascii="Times New Roman" w:hAnsi="Times New Roman" w:eastAsia="宋体"/>
                <w:b w:val="0"/>
                <w:i w:val="0"/>
                <w:sz w:val="18"/>
              </w:rPr>
              <w:t>20.38</w:t>
            </w:r>
          </w:p>
        </w:tc>
        <w:tc>
          <w:tcPr>
            <w:tcW w:type="dxa" w:w="1300"/>
            <w:vAlign w:val="center"/>
          </w:tcPr>
          <w:p>
            <w:pPr>
              <w:spacing w:before="20" w:after="20" w:line="240" w:lineRule="auto"/>
              <w:jc w:val="center"/>
            </w:pPr>
            <w:r>
              <w:rPr>
                <w:rFonts w:ascii="Times New Roman" w:hAnsi="Times New Roman" w:eastAsia="宋体"/>
                <w:b w:val="0"/>
                <w:i w:val="0"/>
                <w:sz w:val="18"/>
              </w:rPr>
              <w:t>153.9</w:t>
            </w:r>
          </w:p>
        </w:tc>
        <w:tc>
          <w:tcPr>
            <w:tcW w:type="dxa" w:w="622"/>
            <w:vAlign w:val="center"/>
          </w:tcPr>
          <w:p>
            <w:pPr>
              <w:spacing w:before="20" w:after="20" w:line="240" w:lineRule="auto"/>
              <w:jc w:val="center"/>
            </w:pPr>
            <w:r>
              <w:rPr>
                <w:rFonts w:ascii="Times New Roman" w:hAnsi="Times New Roman" w:eastAsia="宋体"/>
                <w:b w:val="0"/>
                <w:i w:val="0"/>
                <w:sz w:val="18"/>
              </w:rPr>
              <w:t>41.8%</w:t>
            </w:r>
          </w:p>
        </w:tc>
      </w:tr>
    </w:tbl>
    <w:p>
      <w:pPr>
        <w:spacing w:after="0" w:line="240" w:lineRule="auto"/>
        <w:ind w:firstLine="480"/>
      </w:pPr>
      <w:r>
        <w:rPr>
          <w:rFonts w:ascii="Times New Roman" w:hAnsi="Times New Roman" w:eastAsia="宋体"/>
          <w:b w:val="0"/>
          <w:i w:val="0"/>
          <w:sz w:val="24"/>
        </w:rPr>
        <w:t>注：净运行成本＝购电成本−新能源外送收益，负值源于 D/E/F 区域富余新能源外送收益。以综合权衡策略为例，与附件基线对比见表 6：新能源利用率由 32.8% 提升至 68.8%，弃电下降 53.6%，系统峰值净购电下降 91.0%；碳排放大幅下降源于调度使电网购电趋近于 0（口径：碳排=购电×碳强度）。</w:t>
      </w:r>
    </w:p>
    <w:p>
      <w:pPr>
        <w:spacing w:before="160" w:after="60"/>
        <w:jc w:val="center"/>
      </w:pPr>
      <w:r>
        <w:rPr>
          <w:rFonts w:ascii="Times New Roman" w:hAnsi="Times New Roman" w:eastAsia="宋体"/>
          <w:b/>
          <w:i w:val="0"/>
          <w:sz w:val="21"/>
        </w:rPr>
        <w:t>表 6  balanced 策略与附件基线对比（全时域）</w:t>
      </w:r>
    </w:p>
    <w:tbl>
      <w:tblPr>
        <w:tblW w:type="dxa" w:w="9072"/>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firstColumn="1" w:firstRow="1" w:lastColumn="0" w:lastRow="0" w:noHBand="0" w:noVBand="1" w:val="04A0"/>
        <w:tblInd w:w="120" w:type="dxa"/>
        <w:tblCellMar>
          <w:top w:w="40" w:type="dxa"/>
          <w:start w:w="80" w:type="dxa"/>
          <w:bottom w:w="40" w:type="dxa"/>
          <w:end w:w="80" w:type="dxa"/>
        </w:tblCellMar>
      </w:tblPr>
      <w:tblGrid>
        <w:gridCol w:w="2300"/>
        <w:gridCol w:w="2257"/>
        <w:gridCol w:w="2257"/>
        <w:gridCol w:w="2258"/>
      </w:tblGrid>
      <w:tr>
        <w:trPr>
          <w:tblHeader/>
        </w:trPr>
        <w:tc>
          <w:tcPr>
            <w:tcW w:type="dxa" w:w="23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指标</w:t>
            </w:r>
          </w:p>
        </w:tc>
        <w:tc>
          <w:tcPr>
            <w:tcW w:type="dxa" w:w="2257"/>
            <w:vAlign w:val="center"/>
            <w:tcBorders>
              <w:bottom w:val="single" w:sz="6" w:space="0" w:color="000000"/>
            </w:tcBorders>
          </w:tcPr>
          <w:p>
            <w:pPr>
              <w:spacing w:before="20" w:after="20" w:line="240" w:lineRule="auto"/>
              <w:jc w:val="center"/>
            </w:pPr>
            <w:r>
              <w:rPr>
                <w:rFonts w:ascii="Times New Roman" w:hAnsi="Times New Roman" w:eastAsia="宋体"/>
                <w:b/>
                <w:i w:val="0"/>
                <w:sz w:val="18"/>
              </w:rPr>
              <w:t>附件基线</w:t>
            </w:r>
          </w:p>
        </w:tc>
        <w:tc>
          <w:tcPr>
            <w:tcW w:type="dxa" w:w="2257"/>
            <w:vAlign w:val="center"/>
            <w:tcBorders>
              <w:bottom w:val="single" w:sz="6" w:space="0" w:color="000000"/>
            </w:tcBorders>
          </w:tcPr>
          <w:p>
            <w:pPr>
              <w:spacing w:before="20" w:after="20" w:line="240" w:lineRule="auto"/>
              <w:jc w:val="center"/>
            </w:pPr>
            <w:r>
              <w:rPr>
                <w:rFonts w:ascii="Times New Roman" w:hAnsi="Times New Roman" w:eastAsia="宋体"/>
                <w:b/>
                <w:i w:val="0"/>
                <w:sz w:val="18"/>
              </w:rPr>
              <w:t>balanced 策略</w:t>
            </w:r>
          </w:p>
        </w:tc>
        <w:tc>
          <w:tcPr>
            <w:tcW w:type="dxa" w:w="2258"/>
            <w:vAlign w:val="center"/>
            <w:tcBorders>
              <w:bottom w:val="single" w:sz="6" w:space="0" w:color="000000"/>
            </w:tcBorders>
          </w:tcPr>
          <w:p>
            <w:pPr>
              <w:spacing w:before="20" w:after="20" w:line="240" w:lineRule="auto"/>
              <w:jc w:val="center"/>
            </w:pPr>
            <w:r>
              <w:rPr>
                <w:rFonts w:ascii="Times New Roman" w:hAnsi="Times New Roman" w:eastAsia="宋体"/>
                <w:b/>
                <w:i w:val="0"/>
                <w:sz w:val="18"/>
              </w:rPr>
              <w:t>变化幅度</w:t>
            </w:r>
          </w:p>
        </w:tc>
      </w:tr>
      <w:tr>
        <w:tc>
          <w:tcPr>
            <w:tcW w:type="dxa" w:w="2300"/>
            <w:vAlign w:val="center"/>
          </w:tcPr>
          <w:p>
            <w:pPr>
              <w:spacing w:before="20" w:after="20" w:line="240" w:lineRule="auto"/>
              <w:jc w:val="left"/>
            </w:pPr>
            <w:r>
              <w:rPr>
                <w:rFonts w:ascii="Times New Roman" w:hAnsi="Times New Roman" w:eastAsia="宋体"/>
                <w:b w:val="0"/>
                <w:i w:val="0"/>
                <w:sz w:val="18"/>
              </w:rPr>
              <w:t>净运行成本（元）</w:t>
            </w:r>
          </w:p>
        </w:tc>
        <w:tc>
          <w:tcPr>
            <w:tcW w:type="dxa" w:w="2257"/>
            <w:vAlign w:val="center"/>
          </w:tcPr>
          <w:p>
            <w:pPr>
              <w:spacing w:before="20" w:after="20" w:line="240" w:lineRule="auto"/>
              <w:jc w:val="center"/>
            </w:pPr>
            <w:r>
              <w:rPr>
                <w:rFonts w:ascii="Times New Roman" w:hAnsi="Times New Roman" w:eastAsia="宋体"/>
                <w:b w:val="0"/>
                <w:i w:val="0"/>
                <w:sz w:val="18"/>
              </w:rPr>
              <w:t>1 801 786 873</w:t>
            </w:r>
          </w:p>
        </w:tc>
        <w:tc>
          <w:tcPr>
            <w:tcW w:type="dxa" w:w="2257"/>
            <w:vAlign w:val="center"/>
          </w:tcPr>
          <w:p>
            <w:pPr>
              <w:spacing w:before="20" w:after="20" w:line="240" w:lineRule="auto"/>
              <w:jc w:val="center"/>
            </w:pPr>
            <w:r>
              <w:rPr>
                <w:rFonts w:ascii="Times New Roman" w:hAnsi="Times New Roman" w:eastAsia="宋体"/>
                <w:b w:val="0"/>
                <w:i w:val="0"/>
                <w:sz w:val="18"/>
              </w:rPr>
              <w:t>-438 731 037</w:t>
            </w:r>
          </w:p>
        </w:tc>
        <w:tc>
          <w:tcPr>
            <w:tcW w:type="dxa" w:w="2258"/>
            <w:vAlign w:val="center"/>
          </w:tcPr>
          <w:p>
            <w:pPr>
              <w:spacing w:before="20" w:after="20" w:line="240" w:lineRule="auto"/>
              <w:jc w:val="center"/>
            </w:pPr>
            <w:r>
              <w:rPr>
                <w:rFonts w:ascii="Times New Roman" w:hAnsi="Times New Roman" w:eastAsia="宋体"/>
                <w:b w:val="0"/>
                <w:i w:val="0"/>
                <w:sz w:val="18"/>
              </w:rPr>
              <w:t>由正转负（外送收益所致）</w:t>
            </w:r>
          </w:p>
        </w:tc>
      </w:tr>
      <w:tr>
        <w:tc>
          <w:tcPr>
            <w:tcW w:type="dxa" w:w="2300"/>
            <w:vAlign w:val="center"/>
          </w:tcPr>
          <w:p>
            <w:pPr>
              <w:spacing w:before="20" w:after="20" w:line="240" w:lineRule="auto"/>
              <w:jc w:val="left"/>
            </w:pPr>
            <w:r>
              <w:rPr>
                <w:rFonts w:ascii="Times New Roman" w:hAnsi="Times New Roman" w:eastAsia="宋体"/>
                <w:b w:val="0"/>
                <w:i w:val="0"/>
                <w:sz w:val="18"/>
              </w:rPr>
              <w:t>碳排放（tCO₂）</w:t>
            </w:r>
          </w:p>
        </w:tc>
        <w:tc>
          <w:tcPr>
            <w:tcW w:type="dxa" w:w="2257"/>
            <w:vAlign w:val="center"/>
          </w:tcPr>
          <w:p>
            <w:pPr>
              <w:spacing w:before="20" w:after="20" w:line="240" w:lineRule="auto"/>
              <w:jc w:val="center"/>
            </w:pPr>
            <w:r>
              <w:rPr>
                <w:rFonts w:ascii="Times New Roman" w:hAnsi="Times New Roman" w:eastAsia="宋体"/>
                <w:b w:val="0"/>
                <w:i w:val="0"/>
                <w:sz w:val="18"/>
              </w:rPr>
              <w:t>2 045 367</w:t>
            </w:r>
          </w:p>
        </w:tc>
        <w:tc>
          <w:tcPr>
            <w:tcW w:type="dxa" w:w="2257"/>
            <w:vAlign w:val="center"/>
          </w:tcPr>
          <w:p>
            <w:pPr>
              <w:spacing w:before="20" w:after="20" w:line="240" w:lineRule="auto"/>
              <w:jc w:val="center"/>
            </w:pPr>
            <w:r>
              <w:rPr>
                <w:rFonts w:ascii="Times New Roman" w:hAnsi="Times New Roman" w:eastAsia="宋体"/>
                <w:b w:val="0"/>
                <w:i w:val="0"/>
                <w:sz w:val="18"/>
              </w:rPr>
              <w:t>160.7</w:t>
            </w:r>
          </w:p>
        </w:tc>
        <w:tc>
          <w:tcPr>
            <w:tcW w:type="dxa" w:w="2258"/>
            <w:vAlign w:val="center"/>
          </w:tcPr>
          <w:p>
            <w:pPr>
              <w:spacing w:before="20" w:after="20" w:line="240" w:lineRule="auto"/>
              <w:jc w:val="center"/>
            </w:pPr>
            <w:r>
              <w:rPr>
                <w:rFonts w:ascii="Times New Roman" w:hAnsi="Times New Roman" w:eastAsia="宋体"/>
                <w:b w:val="0"/>
                <w:i w:val="0"/>
                <w:sz w:val="18"/>
              </w:rPr>
              <w:t>-99.99%</w:t>
            </w:r>
          </w:p>
        </w:tc>
      </w:tr>
      <w:tr>
        <w:tc>
          <w:tcPr>
            <w:tcW w:type="dxa" w:w="2300"/>
            <w:vAlign w:val="center"/>
          </w:tcPr>
          <w:p>
            <w:pPr>
              <w:spacing w:before="20" w:after="20" w:line="240" w:lineRule="auto"/>
              <w:jc w:val="left"/>
            </w:pPr>
            <w:r>
              <w:rPr>
                <w:rFonts w:ascii="Times New Roman" w:hAnsi="Times New Roman" w:eastAsia="宋体"/>
                <w:b w:val="0"/>
                <w:i w:val="0"/>
                <w:sz w:val="18"/>
              </w:rPr>
              <w:t>新能源利用率</w:t>
            </w:r>
          </w:p>
        </w:tc>
        <w:tc>
          <w:tcPr>
            <w:tcW w:type="dxa" w:w="2257"/>
            <w:vAlign w:val="center"/>
          </w:tcPr>
          <w:p>
            <w:pPr>
              <w:spacing w:before="20" w:after="20" w:line="240" w:lineRule="auto"/>
              <w:jc w:val="center"/>
            </w:pPr>
            <w:r>
              <w:rPr>
                <w:rFonts w:ascii="Times New Roman" w:hAnsi="Times New Roman" w:eastAsia="宋体"/>
                <w:b w:val="0"/>
                <w:i w:val="0"/>
                <w:sz w:val="18"/>
              </w:rPr>
              <w:t>32.8%</w:t>
            </w:r>
          </w:p>
        </w:tc>
        <w:tc>
          <w:tcPr>
            <w:tcW w:type="dxa" w:w="2257"/>
            <w:vAlign w:val="center"/>
          </w:tcPr>
          <w:p>
            <w:pPr>
              <w:spacing w:before="20" w:after="20" w:line="240" w:lineRule="auto"/>
              <w:jc w:val="center"/>
            </w:pPr>
            <w:r>
              <w:rPr>
                <w:rFonts w:ascii="Times New Roman" w:hAnsi="Times New Roman" w:eastAsia="宋体"/>
                <w:b w:val="0"/>
                <w:i w:val="0"/>
                <w:sz w:val="18"/>
              </w:rPr>
              <w:t>68.8%</w:t>
            </w:r>
          </w:p>
        </w:tc>
        <w:tc>
          <w:tcPr>
            <w:tcW w:type="dxa" w:w="2258"/>
            <w:vAlign w:val="center"/>
          </w:tcPr>
          <w:p>
            <w:pPr>
              <w:spacing w:before="20" w:after="20" w:line="240" w:lineRule="auto"/>
              <w:jc w:val="center"/>
            </w:pPr>
            <w:r>
              <w:rPr>
                <w:rFonts w:ascii="Times New Roman" w:hAnsi="Times New Roman" w:eastAsia="宋体"/>
                <w:b w:val="0"/>
                <w:i w:val="0"/>
                <w:sz w:val="18"/>
              </w:rPr>
              <w:t>+109.6%</w:t>
            </w:r>
          </w:p>
        </w:tc>
      </w:tr>
      <w:tr>
        <w:tc>
          <w:tcPr>
            <w:tcW w:type="dxa" w:w="2300"/>
            <w:vAlign w:val="center"/>
          </w:tcPr>
          <w:p>
            <w:pPr>
              <w:spacing w:before="20" w:after="20" w:line="240" w:lineRule="auto"/>
              <w:jc w:val="left"/>
            </w:pPr>
            <w:r>
              <w:rPr>
                <w:rFonts w:ascii="Times New Roman" w:hAnsi="Times New Roman" w:eastAsia="宋体"/>
                <w:b w:val="0"/>
                <w:i w:val="0"/>
                <w:sz w:val="18"/>
              </w:rPr>
              <w:t>弃电总量（MWh）</w:t>
            </w:r>
          </w:p>
        </w:tc>
        <w:tc>
          <w:tcPr>
            <w:tcW w:type="dxa" w:w="2257"/>
            <w:vAlign w:val="center"/>
          </w:tcPr>
          <w:p>
            <w:pPr>
              <w:spacing w:before="20" w:after="20" w:line="240" w:lineRule="auto"/>
              <w:jc w:val="center"/>
            </w:pPr>
            <w:r>
              <w:rPr>
                <w:rFonts w:ascii="Times New Roman" w:hAnsi="Times New Roman" w:eastAsia="宋体"/>
                <w:b w:val="0"/>
                <w:i w:val="0"/>
                <w:sz w:val="18"/>
              </w:rPr>
              <w:t>7 752 928</w:t>
            </w:r>
          </w:p>
        </w:tc>
        <w:tc>
          <w:tcPr>
            <w:tcW w:type="dxa" w:w="2257"/>
            <w:vAlign w:val="center"/>
          </w:tcPr>
          <w:p>
            <w:pPr>
              <w:spacing w:before="20" w:after="20" w:line="240" w:lineRule="auto"/>
              <w:jc w:val="center"/>
            </w:pPr>
            <w:r>
              <w:rPr>
                <w:rFonts w:ascii="Times New Roman" w:hAnsi="Times New Roman" w:eastAsia="宋体"/>
                <w:b w:val="0"/>
                <w:i w:val="0"/>
                <w:sz w:val="18"/>
              </w:rPr>
              <w:t>3 596 690</w:t>
            </w:r>
          </w:p>
        </w:tc>
        <w:tc>
          <w:tcPr>
            <w:tcW w:type="dxa" w:w="2258"/>
            <w:vAlign w:val="center"/>
          </w:tcPr>
          <w:p>
            <w:pPr>
              <w:spacing w:before="20" w:after="20" w:line="240" w:lineRule="auto"/>
              <w:jc w:val="center"/>
            </w:pPr>
            <w:r>
              <w:rPr>
                <w:rFonts w:ascii="Times New Roman" w:hAnsi="Times New Roman" w:eastAsia="宋体"/>
                <w:b w:val="0"/>
                <w:i w:val="0"/>
                <w:sz w:val="18"/>
              </w:rPr>
              <w:t>-53.6%</w:t>
            </w:r>
          </w:p>
        </w:tc>
      </w:tr>
      <w:tr>
        <w:tc>
          <w:tcPr>
            <w:tcW w:type="dxa" w:w="2300"/>
            <w:vAlign w:val="center"/>
          </w:tcPr>
          <w:p>
            <w:pPr>
              <w:spacing w:before="20" w:after="20" w:line="240" w:lineRule="auto"/>
              <w:jc w:val="left"/>
            </w:pPr>
            <w:r>
              <w:rPr>
                <w:rFonts w:ascii="Times New Roman" w:hAnsi="Times New Roman" w:eastAsia="宋体"/>
                <w:b w:val="0"/>
                <w:i w:val="0"/>
                <w:sz w:val="18"/>
              </w:rPr>
              <w:t>系统峰值净购电（MW）</w:t>
            </w:r>
          </w:p>
        </w:tc>
        <w:tc>
          <w:tcPr>
            <w:tcW w:type="dxa" w:w="2257"/>
            <w:vAlign w:val="center"/>
          </w:tcPr>
          <w:p>
            <w:pPr>
              <w:spacing w:before="20" w:after="20" w:line="240" w:lineRule="auto"/>
              <w:jc w:val="center"/>
            </w:pPr>
            <w:r>
              <w:rPr>
                <w:rFonts w:ascii="Times New Roman" w:hAnsi="Times New Roman" w:eastAsia="宋体"/>
                <w:b w:val="0"/>
                <w:i w:val="0"/>
                <w:sz w:val="18"/>
              </w:rPr>
              <w:t>1 907.6</w:t>
            </w:r>
          </w:p>
        </w:tc>
        <w:tc>
          <w:tcPr>
            <w:tcW w:type="dxa" w:w="2257"/>
            <w:vAlign w:val="center"/>
          </w:tcPr>
          <w:p>
            <w:pPr>
              <w:spacing w:before="20" w:after="20" w:line="240" w:lineRule="auto"/>
              <w:jc w:val="center"/>
            </w:pPr>
            <w:r>
              <w:rPr>
                <w:rFonts w:ascii="Times New Roman" w:hAnsi="Times New Roman" w:eastAsia="宋体"/>
                <w:b w:val="0"/>
                <w:i w:val="0"/>
                <w:sz w:val="18"/>
              </w:rPr>
              <w:t>171.2</w:t>
            </w:r>
          </w:p>
        </w:tc>
        <w:tc>
          <w:tcPr>
            <w:tcW w:type="dxa" w:w="2258"/>
            <w:vAlign w:val="center"/>
          </w:tcPr>
          <w:p>
            <w:pPr>
              <w:spacing w:before="20" w:after="20" w:line="240" w:lineRule="auto"/>
              <w:jc w:val="center"/>
            </w:pPr>
            <w:r>
              <w:rPr>
                <w:rFonts w:ascii="Times New Roman" w:hAnsi="Times New Roman" w:eastAsia="宋体"/>
                <w:b w:val="0"/>
                <w:i w:val="0"/>
                <w:sz w:val="18"/>
              </w:rPr>
              <w:t>-91.0%</w:t>
            </w:r>
          </w:p>
        </w:tc>
      </w:tr>
    </w:tbl>
    <w:p>
      <w:pPr>
        <w:spacing w:after="0" w:line="240" w:lineRule="auto"/>
        <w:ind w:firstLine="480"/>
      </w:pPr>
      <w:r>
        <w:rPr>
          <w:rFonts w:ascii="Times New Roman" w:hAnsi="Times New Roman" w:eastAsia="宋体"/>
          <w:b w:val="0"/>
          <w:i w:val="0"/>
          <w:sz w:val="24"/>
        </w:rPr>
        <w:t>八种策略两两进行 Pareto 支配检验后均未被支配，共同构成 Pareto 前沿（图 1）：时延优先策略平均时延仅 5.06 ms、迁移比例仅 0.2%，服务质量最优，但净运行成本最高、新能源利用率相对较低；低碳＋新能源策略碳排放与峰值净购电最低（129.6 tCO₂、107.6 MW），但平均时延升至 22.58 ms；负载均衡策略西部承接比例最高（50.9%）。不同目标间存在显著冲突，需按决策偏好选择折中方案。任务迁移分析表明，AI 训练任务因对时延不敏感是跨区域迁移的主要对象（如负载均衡策略中 66.2% 的训练任务迁往西部），而实时推理任务的平均时延在全部策略中均保持在 5–7 ms。</w:t>
      </w:r>
    </w:p>
    <w:p>
      <w:pPr>
        <w:spacing w:before="120"/>
        <w:jc w:val="center"/>
      </w:pPr>
      <w:r>
        <w:drawing>
          <wp:inline xmlns:a="http://schemas.openxmlformats.org/drawingml/2006/main" xmlns:pic="http://schemas.openxmlformats.org/drawingml/2006/picture">
            <wp:extent cx="4500000" cy="3461538"/>
            <wp:docPr id="1" name="Picture 1" descr="问题二八种策略Pareto前沿散点图" title="问题二八种策略Pareto前沿散点图"/>
            <wp:cNvGraphicFramePr>
              <a:graphicFrameLocks noChangeAspect="1"/>
            </wp:cNvGraphicFramePr>
            <a:graphic>
              <a:graphicData uri="http://schemas.openxmlformats.org/drawingml/2006/picture">
                <pic:pic>
                  <pic:nvPicPr>
                    <pic:cNvPr id="0" name="pareto_scatter.png"/>
                    <pic:cNvPicPr/>
                  </pic:nvPicPr>
                  <pic:blipFill>
                    <a:blip r:embed="rId9"/>
                    <a:stretch>
                      <a:fillRect/>
                    </a:stretch>
                  </pic:blipFill>
                  <pic:spPr>
                    <a:xfrm>
                      <a:off x="0" y="0"/>
                      <a:ext cx="4500000" cy="3461538"/>
                    </a:xfrm>
                    <a:prstGeom prst="rect"/>
                  </pic:spPr>
                </pic:pic>
              </a:graphicData>
            </a:graphic>
          </wp:inline>
        </w:drawing>
      </w:r>
    </w:p>
    <w:p>
      <w:pPr>
        <w:spacing w:after="200"/>
        <w:jc w:val="center"/>
      </w:pPr>
      <w:r>
        <w:rPr>
          <w:rFonts w:ascii="Times New Roman" w:hAnsi="Times New Roman" w:eastAsia="宋体"/>
          <w:b/>
          <w:i w:val="0"/>
          <w:sz w:val="21"/>
        </w:rPr>
        <w:t>图 1  问题二八种策略 Pareto 前沿散点图</w:t>
      </w:r>
    </w:p>
    <w:p>
      <w:pPr>
        <w:spacing w:before="120"/>
        <w:jc w:val="center"/>
      </w:pPr>
      <w:r>
        <w:drawing>
          <wp:inline xmlns:a="http://schemas.openxmlformats.org/drawingml/2006/main" xmlns:pic="http://schemas.openxmlformats.org/drawingml/2006/picture">
            <wp:extent cx="4500000" cy="2892857"/>
            <wp:docPr id="2" name="Picture 2" descr="问题二优化结果与附件基线对比" title="问题二优化结果与附件基线对比"/>
            <wp:cNvGraphicFramePr>
              <a:graphicFrameLocks noChangeAspect="1"/>
            </wp:cNvGraphicFramePr>
            <a:graphic>
              <a:graphicData uri="http://schemas.openxmlformats.org/drawingml/2006/picture">
                <pic:pic>
                  <pic:nvPicPr>
                    <pic:cNvPr id="0" name="baseline_comparison.png"/>
                    <pic:cNvPicPr/>
                  </pic:nvPicPr>
                  <pic:blipFill>
                    <a:blip r:embed="rId10"/>
                    <a:stretch>
                      <a:fillRect/>
                    </a:stretch>
                  </pic:blipFill>
                  <pic:spPr>
                    <a:xfrm>
                      <a:off x="0" y="0"/>
                      <a:ext cx="4500000" cy="2892857"/>
                    </a:xfrm>
                    <a:prstGeom prst="rect"/>
                  </pic:spPr>
                </pic:pic>
              </a:graphicData>
            </a:graphic>
          </wp:inline>
        </w:drawing>
      </w:r>
    </w:p>
    <w:p>
      <w:pPr>
        <w:spacing w:after="200"/>
        <w:jc w:val="center"/>
      </w:pPr>
      <w:r>
        <w:rPr>
          <w:rFonts w:ascii="Times New Roman" w:hAnsi="Times New Roman" w:eastAsia="宋体"/>
          <w:b/>
          <w:i w:val="0"/>
          <w:sz w:val="21"/>
        </w:rPr>
        <w:t>图 2  问题二优化结果与附件基线对比</w:t>
      </w:r>
    </w:p>
    <w:p>
      <w:pPr>
        <w:spacing w:after="0" w:line="240" w:lineRule="auto"/>
        <w:ind w:firstLine="480"/>
      </w:pPr>
      <w:r>
        <w:rPr>
          <w:rFonts w:ascii="Times New Roman" w:hAnsi="Times New Roman" w:eastAsia="宋体"/>
          <w:b w:val="0"/>
          <w:i w:val="0"/>
          <w:sz w:val="24"/>
        </w:rPr>
        <w:t>迁移行为分析表明，不同策略的迁移幅度差异显著：新能源优先策略迁移比例高达 54.3%，以牺牲时延换取新能源消纳；时延优先策略仅迁移 83 个任务（0.2%）。AI 训练任务因对时延不敏感，是跨区域迁移的主要对象（如负载均衡策略中 66.2% 的训练任务迁往西部），而实时推理任务的平均时延在全部策略中均保持在 5–7 ms，严格满足其时延约束。此外，第 2376–2399 小时实际到达的 538 个任务在各策略下均实现完整调度，以综合权衡策略为例，该窗口碳排放 83.7 tCO₂、新能源利用率 69.8%、平均时延 18.08 ms，调度明细可作为问题一甘特图与区域 GPU 利用率曲线的基础数据。</w:t>
      </w:r>
    </w:p>
    <w:p>
      <w:pPr>
        <w:spacing w:after="0" w:line="240" w:lineRule="auto"/>
        <w:ind w:firstLine="480"/>
      </w:pPr>
      <w:r>
        <w:rPr>
          <w:rFonts w:ascii="Times New Roman" w:hAnsi="Times New Roman" w:eastAsia="宋体"/>
          <w:b w:val="0"/>
          <w:i w:val="0"/>
          <w:sz w:val="24"/>
        </w:rPr>
        <w:t>综上，问题二验证了“跨区域迁移＋碳感知评分＋多策略 Pareto”框架的有效性：在完全满足 GPU、功率、时延与时限约束的前提下，系统能够实现接近零购电的低碳经济运行，同时通过 Pareto 前沿为不同偏好的决策者提供多组折中方案。</w:t>
      </w:r>
    </w:p>
    <w:p>
      <w:pPr>
        <w:spacing w:before="160" w:after="60"/>
        <w:jc w:val="center"/>
      </w:pPr>
      <w:r>
        <w:rPr>
          <w:rFonts w:ascii="Times New Roman" w:hAnsi="Times New Roman" w:eastAsia="宋体"/>
          <w:b/>
          <w:i w:val="0"/>
          <w:sz w:val="21"/>
        </w:rPr>
        <w:t>表 7  最后 24 小时（2376–2399）关键策略结果</w:t>
      </w:r>
    </w:p>
    <w:tbl>
      <w:tblPr>
        <w:tblW w:type="dxa" w:w="9072"/>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firstColumn="1" w:firstRow="1" w:lastColumn="0" w:lastRow="0" w:noHBand="0" w:noVBand="1" w:val="04A0"/>
        <w:tblInd w:w="120" w:type="dxa"/>
        <w:tblCellMar>
          <w:top w:w="40" w:type="dxa"/>
          <w:start w:w="80" w:type="dxa"/>
          <w:bottom w:w="40" w:type="dxa"/>
          <w:end w:w="80" w:type="dxa"/>
        </w:tblCellMar>
      </w:tblPr>
      <w:tblGrid>
        <w:gridCol w:w="2700"/>
        <w:gridCol w:w="3186"/>
        <w:gridCol w:w="3186"/>
      </w:tblGrid>
      <w:tr>
        <w:trPr>
          <w:tblHeader/>
        </w:trPr>
        <w:tc>
          <w:tcPr>
            <w:tcW w:type="dxa" w:w="27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指标</w:t>
            </w:r>
          </w:p>
        </w:tc>
        <w:tc>
          <w:tcPr>
            <w:tcW w:type="dxa" w:w="3186"/>
            <w:vAlign w:val="center"/>
            <w:tcBorders>
              <w:bottom w:val="single" w:sz="6" w:space="0" w:color="000000"/>
            </w:tcBorders>
          </w:tcPr>
          <w:p>
            <w:pPr>
              <w:spacing w:before="20" w:after="20" w:line="240" w:lineRule="auto"/>
              <w:jc w:val="center"/>
            </w:pPr>
            <w:r>
              <w:rPr>
                <w:rFonts w:ascii="Times New Roman" w:hAnsi="Times New Roman" w:eastAsia="宋体"/>
                <w:b/>
                <w:i w:val="0"/>
                <w:sz w:val="18"/>
              </w:rPr>
              <w:t>balanced 策略（最后24h）</w:t>
            </w:r>
          </w:p>
        </w:tc>
        <w:tc>
          <w:tcPr>
            <w:tcW w:type="dxa" w:w="3186"/>
            <w:vAlign w:val="center"/>
            <w:tcBorders>
              <w:bottom w:val="single" w:sz="6" w:space="0" w:color="000000"/>
            </w:tcBorders>
          </w:tcPr>
          <w:p>
            <w:pPr>
              <w:spacing w:before="20" w:after="20" w:line="240" w:lineRule="auto"/>
              <w:jc w:val="center"/>
            </w:pPr>
            <w:r>
              <w:rPr>
                <w:rFonts w:ascii="Times New Roman" w:hAnsi="Times New Roman" w:eastAsia="宋体"/>
                <w:b/>
                <w:i w:val="0"/>
                <w:sz w:val="18"/>
              </w:rPr>
              <w:t>carbon_renewable 策略（最后24h）</w:t>
            </w:r>
          </w:p>
        </w:tc>
      </w:tr>
      <w:tr>
        <w:tc>
          <w:tcPr>
            <w:tcW w:type="dxa" w:w="2700"/>
            <w:vAlign w:val="center"/>
          </w:tcPr>
          <w:p>
            <w:pPr>
              <w:spacing w:before="20" w:after="20" w:line="240" w:lineRule="auto"/>
              <w:jc w:val="left"/>
            </w:pPr>
            <w:r>
              <w:rPr>
                <w:rFonts w:ascii="Times New Roman" w:hAnsi="Times New Roman" w:eastAsia="宋体"/>
                <w:b w:val="0"/>
                <w:i w:val="0"/>
                <w:sz w:val="18"/>
              </w:rPr>
              <w:t>任务数（全部调度）</w:t>
            </w:r>
          </w:p>
        </w:tc>
        <w:tc>
          <w:tcPr>
            <w:tcW w:type="dxa" w:w="3186"/>
            <w:vAlign w:val="center"/>
          </w:tcPr>
          <w:p>
            <w:pPr>
              <w:spacing w:before="20" w:after="20" w:line="240" w:lineRule="auto"/>
              <w:jc w:val="center"/>
            </w:pPr>
            <w:r>
              <w:rPr>
                <w:rFonts w:ascii="Times New Roman" w:hAnsi="Times New Roman" w:eastAsia="宋体"/>
                <w:b w:val="0"/>
                <w:i w:val="0"/>
                <w:sz w:val="18"/>
              </w:rPr>
              <w:t>538</w:t>
            </w:r>
          </w:p>
        </w:tc>
        <w:tc>
          <w:tcPr>
            <w:tcW w:type="dxa" w:w="3186"/>
            <w:vAlign w:val="center"/>
          </w:tcPr>
          <w:p>
            <w:pPr>
              <w:spacing w:before="20" w:after="20" w:line="240" w:lineRule="auto"/>
              <w:jc w:val="center"/>
            </w:pPr>
            <w:r>
              <w:rPr>
                <w:rFonts w:ascii="Times New Roman" w:hAnsi="Times New Roman" w:eastAsia="宋体"/>
                <w:b w:val="0"/>
                <w:i w:val="0"/>
                <w:sz w:val="18"/>
              </w:rPr>
              <w:t>538</w:t>
            </w:r>
          </w:p>
        </w:tc>
      </w:tr>
      <w:tr>
        <w:tc>
          <w:tcPr>
            <w:tcW w:type="dxa" w:w="2700"/>
            <w:vAlign w:val="center"/>
          </w:tcPr>
          <w:p>
            <w:pPr>
              <w:spacing w:before="20" w:after="20" w:line="240" w:lineRule="auto"/>
              <w:jc w:val="left"/>
            </w:pPr>
            <w:r>
              <w:rPr>
                <w:rFonts w:ascii="Times New Roman" w:hAnsi="Times New Roman" w:eastAsia="宋体"/>
                <w:b w:val="0"/>
                <w:i w:val="0"/>
                <w:sz w:val="18"/>
              </w:rPr>
              <w:t>净运行成本（万元）</w:t>
            </w:r>
          </w:p>
        </w:tc>
        <w:tc>
          <w:tcPr>
            <w:tcW w:type="dxa" w:w="3186"/>
            <w:vAlign w:val="center"/>
          </w:tcPr>
          <w:p>
            <w:pPr>
              <w:spacing w:before="20" w:after="20" w:line="240" w:lineRule="auto"/>
              <w:jc w:val="center"/>
            </w:pPr>
            <w:r>
              <w:rPr>
                <w:rFonts w:ascii="Times New Roman" w:hAnsi="Times New Roman" w:eastAsia="宋体"/>
                <w:b w:val="0"/>
                <w:i w:val="0"/>
                <w:sz w:val="18"/>
              </w:rPr>
              <w:t>-453.1</w:t>
            </w:r>
          </w:p>
        </w:tc>
        <w:tc>
          <w:tcPr>
            <w:tcW w:type="dxa" w:w="3186"/>
            <w:vAlign w:val="center"/>
          </w:tcPr>
          <w:p>
            <w:pPr>
              <w:spacing w:before="20" w:after="20" w:line="240" w:lineRule="auto"/>
              <w:jc w:val="center"/>
            </w:pPr>
            <w:r>
              <w:rPr>
                <w:rFonts w:ascii="Times New Roman" w:hAnsi="Times New Roman" w:eastAsia="宋体"/>
                <w:b w:val="0"/>
                <w:i w:val="0"/>
                <w:sz w:val="18"/>
              </w:rPr>
              <w:t>-451.6</w:t>
            </w:r>
          </w:p>
        </w:tc>
      </w:tr>
      <w:tr>
        <w:tc>
          <w:tcPr>
            <w:tcW w:type="dxa" w:w="2700"/>
            <w:vAlign w:val="center"/>
          </w:tcPr>
          <w:p>
            <w:pPr>
              <w:spacing w:before="20" w:after="20" w:line="240" w:lineRule="auto"/>
              <w:jc w:val="left"/>
            </w:pPr>
            <w:r>
              <w:rPr>
                <w:rFonts w:ascii="Times New Roman" w:hAnsi="Times New Roman" w:eastAsia="宋体"/>
                <w:b w:val="0"/>
                <w:i w:val="0"/>
                <w:sz w:val="18"/>
              </w:rPr>
              <w:t>碳排放（tCO₂）</w:t>
            </w:r>
          </w:p>
        </w:tc>
        <w:tc>
          <w:tcPr>
            <w:tcW w:type="dxa" w:w="3186"/>
            <w:vAlign w:val="center"/>
          </w:tcPr>
          <w:p>
            <w:pPr>
              <w:spacing w:before="20" w:after="20" w:line="240" w:lineRule="auto"/>
              <w:jc w:val="center"/>
            </w:pPr>
            <w:r>
              <w:rPr>
                <w:rFonts w:ascii="Times New Roman" w:hAnsi="Times New Roman" w:eastAsia="宋体"/>
                <w:b w:val="0"/>
                <w:i w:val="0"/>
                <w:sz w:val="18"/>
              </w:rPr>
              <w:t>83.7</w:t>
            </w:r>
          </w:p>
        </w:tc>
        <w:tc>
          <w:tcPr>
            <w:tcW w:type="dxa" w:w="3186"/>
            <w:vAlign w:val="center"/>
          </w:tcPr>
          <w:p>
            <w:pPr>
              <w:spacing w:before="20" w:after="20" w:line="240" w:lineRule="auto"/>
              <w:jc w:val="center"/>
            </w:pPr>
            <w:r>
              <w:rPr>
                <w:rFonts w:ascii="Times New Roman" w:hAnsi="Times New Roman" w:eastAsia="宋体"/>
                <w:b w:val="0"/>
                <w:i w:val="0"/>
                <w:sz w:val="18"/>
              </w:rPr>
              <w:t>62.5</w:t>
            </w:r>
          </w:p>
        </w:tc>
      </w:tr>
      <w:tr>
        <w:tc>
          <w:tcPr>
            <w:tcW w:type="dxa" w:w="2700"/>
            <w:vAlign w:val="center"/>
          </w:tcPr>
          <w:p>
            <w:pPr>
              <w:spacing w:before="20" w:after="20" w:line="240" w:lineRule="auto"/>
              <w:jc w:val="left"/>
            </w:pPr>
            <w:r>
              <w:rPr>
                <w:rFonts w:ascii="Times New Roman" w:hAnsi="Times New Roman" w:eastAsia="宋体"/>
                <w:b w:val="0"/>
                <w:i w:val="0"/>
                <w:sz w:val="18"/>
              </w:rPr>
              <w:t>新能源利用率</w:t>
            </w:r>
          </w:p>
        </w:tc>
        <w:tc>
          <w:tcPr>
            <w:tcW w:type="dxa" w:w="3186"/>
            <w:vAlign w:val="center"/>
          </w:tcPr>
          <w:p>
            <w:pPr>
              <w:spacing w:before="20" w:after="20" w:line="240" w:lineRule="auto"/>
              <w:jc w:val="center"/>
            </w:pPr>
            <w:r>
              <w:rPr>
                <w:rFonts w:ascii="Times New Roman" w:hAnsi="Times New Roman" w:eastAsia="宋体"/>
                <w:b w:val="0"/>
                <w:i w:val="0"/>
                <w:sz w:val="18"/>
              </w:rPr>
              <w:t>69.8%</w:t>
            </w:r>
          </w:p>
        </w:tc>
        <w:tc>
          <w:tcPr>
            <w:tcW w:type="dxa" w:w="3186"/>
            <w:vAlign w:val="center"/>
          </w:tcPr>
          <w:p>
            <w:pPr>
              <w:spacing w:before="20" w:after="20" w:line="240" w:lineRule="auto"/>
              <w:jc w:val="center"/>
            </w:pPr>
            <w:r>
              <w:rPr>
                <w:rFonts w:ascii="Times New Roman" w:hAnsi="Times New Roman" w:eastAsia="宋体"/>
                <w:b w:val="0"/>
                <w:i w:val="0"/>
                <w:sz w:val="18"/>
              </w:rPr>
              <w:t>69.8%</w:t>
            </w:r>
          </w:p>
        </w:tc>
      </w:tr>
      <w:tr>
        <w:tc>
          <w:tcPr>
            <w:tcW w:type="dxa" w:w="2700"/>
            <w:vAlign w:val="center"/>
          </w:tcPr>
          <w:p>
            <w:pPr>
              <w:spacing w:before="20" w:after="20" w:line="240" w:lineRule="auto"/>
              <w:jc w:val="left"/>
            </w:pPr>
            <w:r>
              <w:rPr>
                <w:rFonts w:ascii="Times New Roman" w:hAnsi="Times New Roman" w:eastAsia="宋体"/>
                <w:b w:val="0"/>
                <w:i w:val="0"/>
                <w:sz w:val="18"/>
              </w:rPr>
              <w:t>平均时延（ms）</w:t>
            </w:r>
          </w:p>
        </w:tc>
        <w:tc>
          <w:tcPr>
            <w:tcW w:type="dxa" w:w="3186"/>
            <w:vAlign w:val="center"/>
          </w:tcPr>
          <w:p>
            <w:pPr>
              <w:spacing w:before="20" w:after="20" w:line="240" w:lineRule="auto"/>
              <w:jc w:val="center"/>
            </w:pPr>
            <w:r>
              <w:rPr>
                <w:rFonts w:ascii="Times New Roman" w:hAnsi="Times New Roman" w:eastAsia="宋体"/>
                <w:b w:val="0"/>
                <w:i w:val="0"/>
                <w:sz w:val="18"/>
              </w:rPr>
              <w:t>18.08</w:t>
            </w:r>
          </w:p>
        </w:tc>
        <w:tc>
          <w:tcPr>
            <w:tcW w:type="dxa" w:w="3186"/>
            <w:vAlign w:val="center"/>
          </w:tcPr>
          <w:p>
            <w:pPr>
              <w:spacing w:before="20" w:after="20" w:line="240" w:lineRule="auto"/>
              <w:jc w:val="center"/>
            </w:pPr>
            <w:r>
              <w:rPr>
                <w:rFonts w:ascii="Times New Roman" w:hAnsi="Times New Roman" w:eastAsia="宋体"/>
                <w:b w:val="0"/>
                <w:i w:val="0"/>
                <w:sz w:val="18"/>
              </w:rPr>
              <w:t>25.84</w:t>
            </w:r>
          </w:p>
        </w:tc>
      </w:tr>
      <w:tr>
        <w:tc>
          <w:tcPr>
            <w:tcW w:type="dxa" w:w="2700"/>
            <w:vAlign w:val="center"/>
          </w:tcPr>
          <w:p>
            <w:pPr>
              <w:spacing w:before="20" w:after="20" w:line="240" w:lineRule="auto"/>
              <w:jc w:val="left"/>
            </w:pPr>
            <w:r>
              <w:rPr>
                <w:rFonts w:ascii="Times New Roman" w:hAnsi="Times New Roman" w:eastAsia="宋体"/>
                <w:b w:val="0"/>
                <w:i w:val="0"/>
                <w:sz w:val="18"/>
              </w:rPr>
              <w:t>峰值净购电（MW）</w:t>
            </w:r>
          </w:p>
        </w:tc>
        <w:tc>
          <w:tcPr>
            <w:tcW w:type="dxa" w:w="3186"/>
            <w:vAlign w:val="center"/>
          </w:tcPr>
          <w:p>
            <w:pPr>
              <w:spacing w:before="20" w:after="20" w:line="240" w:lineRule="auto"/>
              <w:jc w:val="center"/>
            </w:pPr>
            <w:r>
              <w:rPr>
                <w:rFonts w:ascii="Times New Roman" w:hAnsi="Times New Roman" w:eastAsia="宋体"/>
                <w:b w:val="0"/>
                <w:i w:val="0"/>
                <w:sz w:val="18"/>
              </w:rPr>
              <w:t>138.8</w:t>
            </w:r>
          </w:p>
        </w:tc>
        <w:tc>
          <w:tcPr>
            <w:tcW w:type="dxa" w:w="3186"/>
            <w:vAlign w:val="center"/>
          </w:tcPr>
          <w:p>
            <w:pPr>
              <w:spacing w:before="20" w:after="20" w:line="240" w:lineRule="auto"/>
              <w:jc w:val="center"/>
            </w:pPr>
            <w:r>
              <w:rPr>
                <w:rFonts w:ascii="Times New Roman" w:hAnsi="Times New Roman" w:eastAsia="宋体"/>
                <w:b w:val="0"/>
                <w:i w:val="0"/>
                <w:sz w:val="18"/>
              </w:rPr>
              <w:t>141.9</w:t>
            </w:r>
          </w:p>
        </w:tc>
      </w:tr>
    </w:tbl>
    <w:p>
      <w:pPr>
        <w:spacing w:after="0" w:line="240" w:lineRule="auto"/>
        <w:ind w:firstLine="480"/>
      </w:pPr>
      <w:r>
        <w:rPr>
          <w:rFonts w:ascii="Times New Roman" w:hAnsi="Times New Roman" w:eastAsia="宋体"/>
          <w:b w:val="0"/>
          <w:i w:val="0"/>
          <w:sz w:val="24"/>
        </w:rPr>
        <w:t>最后 24 小时窗口内，各策略均实现 538 个任务的完整调度。以综合权衡策略为例，该窗口碳排放 83.7 tCO₂、新能源利用率 69.8%、平均时延 18.08 ms；低碳＋新能源策略碳排放进一步降至 62.5 tCO₂，但平均时延升至 25.84 ms，体现了末端时段低碳与时延之间的权衡。任务级调度明细可用于绘制调度甘特图与区域 GPU 利用率曲线，直接支撑问题一的展示要求。</w:t>
      </w:r>
    </w:p>
    <w:p>
      <w:pPr>
        <w:pStyle w:val="Heading2"/>
      </w:pPr>
      <w:r>
        <w:t>5.3 问题三：储能协同优化模型</w:t>
      </w:r>
    </w:p>
    <w:p>
      <w:pPr>
        <w:pStyle w:val="Heading3"/>
      </w:pPr>
      <w:r>
        <w:t>5.3.1 模型建立</w:t>
      </w:r>
    </w:p>
    <w:p>
      <w:pPr>
        <w:spacing w:after="0" w:line="240" w:lineRule="auto"/>
        <w:ind w:firstLine="480"/>
      </w:pPr>
      <w:r>
        <w:rPr>
          <w:rFonts w:ascii="Times New Roman" w:hAnsi="Times New Roman" w:eastAsia="宋体"/>
          <w:b w:val="0"/>
          <w:i w:val="0"/>
          <w:sz w:val="24"/>
        </w:rPr>
        <w:t>问题三给定 IT 负荷为 Baseline_AI_IT_Load 与 NonAI_IT_Load 之和，设施负荷按 PUE 折算，负荷为外生参数。六区域相互独立，每个区域构建带 0-1 充放互斥变量的混合整数线性规划模型，决策变量包括电网购电、外送、新能源直接消纳、新能源/电网充电、储能放电、弃电与 SOC。核心约束包括新能源分配平衡、功率平衡、SOC 递推、SOC 上下限与终态约束、储能功率与充放互斥约束、购售电边界约束：</w:t>
      </w:r>
    </w:p>
    <w:p>
      <w:pPr>
        <w:tabs>
          <w:tab w:pos="4535" w:val="center"/>
          <w:tab w:pos="9071" w:val="right"/>
        </w:tabs>
        <w:spacing w:line="240" w:lineRule="auto" w:before="80" w:after="80"/>
      </w:pPr>
      <w:r>
        <w:rPr>
          <w:rFonts w:ascii="Times New Roman" w:hAnsi="Times New Roman" w:eastAsia="宋体"/>
          <w:b w:val="0"/>
          <w:i w:val="0"/>
          <w:sz w:val="24"/>
        </w:rPr>
        <w:tab/>
      </w:r>
      <w:r>
        <w:rPr>
          <w:rFonts w:ascii="Times New Roman" w:hAnsi="Times New Roman" w:eastAsia="宋体"/>
          <w:b w:val="0"/>
          <w:i w:val="0"/>
          <w:sz w:val="24"/>
        </w:rPr>
        <w:t>d</w:t>
      </w:r>
      <w:r>
        <w:rPr>
          <w:rFonts w:ascii="Times New Roman" w:hAnsi="Times New Roman" w:eastAsia="宋体"/>
          <w:b/>
          <w:i w:val="0"/>
          <w:sz w:val="24"/>
          <w:vertAlign w:val="subscript"/>
        </w:rPr>
        <w:t>r,t</w:t>
      </w:r>
      <w:r>
        <w:rPr>
          <w:rFonts w:ascii="Times New Roman" w:hAnsi="Times New Roman" w:eastAsia="宋体"/>
          <w:b w:val="0"/>
          <w:i w:val="0"/>
          <w:sz w:val="24"/>
        </w:rPr>
        <w:t xml:space="preserve"> + rc</w:t>
      </w:r>
      <w:r>
        <w:rPr>
          <w:rFonts w:ascii="Times New Roman" w:hAnsi="Times New Roman" w:eastAsia="宋体"/>
          <w:b/>
          <w:i w:val="0"/>
          <w:sz w:val="24"/>
          <w:vertAlign w:val="subscript"/>
        </w:rPr>
        <w:t>r,t</w:t>
      </w:r>
      <w:r>
        <w:rPr>
          <w:rFonts w:ascii="Times New Roman" w:hAnsi="Times New Roman" w:eastAsia="宋体"/>
          <w:b w:val="0"/>
          <w:i w:val="0"/>
          <w:sz w:val="24"/>
        </w:rPr>
        <w:t xml:space="preserve"> + gs</w:t>
      </w:r>
      <w:r>
        <w:rPr>
          <w:rFonts w:ascii="Times New Roman" w:hAnsi="Times New Roman" w:eastAsia="宋体"/>
          <w:b/>
          <w:i w:val="0"/>
          <w:sz w:val="24"/>
          <w:vertAlign w:val="subscript"/>
        </w:rPr>
        <w:t>r,t</w:t>
      </w:r>
      <w:r>
        <w:rPr>
          <w:rFonts w:ascii="Times New Roman" w:hAnsi="Times New Roman" w:eastAsia="宋体"/>
          <w:b w:val="0"/>
          <w:i w:val="0"/>
          <w:sz w:val="24"/>
        </w:rPr>
        <w:t xml:space="preserve"> + c</w:t>
      </w:r>
      <w:r>
        <w:rPr>
          <w:rFonts w:ascii="Times New Roman" w:hAnsi="Times New Roman" w:eastAsia="宋体"/>
          <w:b/>
          <w:i w:val="0"/>
          <w:sz w:val="24"/>
          <w:vertAlign w:val="subscript"/>
        </w:rPr>
        <w:t>r,t</w:t>
      </w:r>
      <w:r>
        <w:rPr>
          <w:rFonts w:ascii="Times New Roman" w:hAnsi="Times New Roman" w:eastAsia="宋体"/>
          <w:b w:val="0"/>
          <w:i w:val="0"/>
          <w:sz w:val="24"/>
        </w:rPr>
        <w:t xml:space="preserve"> = R</w:t>
      </w:r>
      <w:r>
        <w:rPr>
          <w:rFonts w:ascii="Times New Roman" w:hAnsi="Times New Roman" w:eastAsia="宋体"/>
          <w:b/>
          <w:i w:val="0"/>
          <w:sz w:val="24"/>
          <w:vertAlign w:val="subscript"/>
        </w:rPr>
        <w:t>r,t</w:t>
      </w:r>
      <w:r>
        <w:rPr>
          <w:rFonts w:ascii="Times New Roman" w:hAnsi="Times New Roman" w:eastAsia="宋体"/>
          <w:b w:val="0"/>
          <w:i w:val="0"/>
          <w:sz w:val="24"/>
        </w:rPr>
        <w:t>，  gp</w:t>
      </w:r>
      <w:r>
        <w:rPr>
          <w:rFonts w:ascii="Times New Roman" w:hAnsi="Times New Roman" w:eastAsia="宋体"/>
          <w:b/>
          <w:i w:val="0"/>
          <w:sz w:val="24"/>
          <w:vertAlign w:val="subscript"/>
        </w:rPr>
        <w:t>r,t</w:t>
      </w:r>
      <w:r>
        <w:rPr>
          <w:rFonts w:ascii="Times New Roman" w:hAnsi="Times New Roman" w:eastAsia="宋体"/>
          <w:b w:val="0"/>
          <w:i w:val="0"/>
          <w:sz w:val="24"/>
        </w:rPr>
        <w:t xml:space="preserve"> + d</w:t>
      </w:r>
      <w:r>
        <w:rPr>
          <w:rFonts w:ascii="Times New Roman" w:hAnsi="Times New Roman" w:eastAsia="宋体"/>
          <w:b/>
          <w:i w:val="0"/>
          <w:sz w:val="24"/>
          <w:vertAlign w:val="subscript"/>
        </w:rPr>
        <w:t>r,t</w:t>
      </w:r>
      <w:r>
        <w:rPr>
          <w:rFonts w:ascii="Times New Roman" w:hAnsi="Times New Roman" w:eastAsia="宋体"/>
          <w:b w:val="0"/>
          <w:i w:val="0"/>
          <w:sz w:val="24"/>
        </w:rPr>
        <w:t xml:space="preserve"> + p</w:t>
      </w:r>
      <w:r>
        <w:rPr>
          <w:rFonts w:ascii="Times New Roman" w:hAnsi="Times New Roman" w:eastAsia="宋体"/>
          <w:b/>
          <w:i w:val="0"/>
          <w:sz w:val="24"/>
          <w:vertAlign w:val="subscript"/>
        </w:rPr>
        <w:t>r,t</w:t>
      </w:r>
      <w:r>
        <w:rPr>
          <w:rFonts w:ascii="Times New Roman" w:hAnsi="Times New Roman" w:eastAsia="宋体"/>
          <w:b w:val="0"/>
          <w:i w:val="0"/>
          <w:sz w:val="24"/>
        </w:rPr>
        <w:t xml:space="preserve"> = L</w:t>
      </w:r>
      <w:r>
        <w:rPr>
          <w:rFonts w:ascii="Times New Roman" w:hAnsi="Times New Roman" w:eastAsia="宋体"/>
          <w:b/>
          <w:i w:val="0"/>
          <w:sz w:val="24"/>
          <w:vertAlign w:val="subscript"/>
        </w:rPr>
        <w:t>r,t</w:t>
      </w:r>
      <w:r>
        <w:rPr>
          <w:rFonts w:ascii="Times New Roman" w:hAnsi="Times New Roman" w:eastAsia="宋体"/>
          <w:b w:val="0"/>
          <w:i w:val="0"/>
          <w:sz w:val="24"/>
        </w:rPr>
        <w:t xml:space="preserve"> + gc</w:t>
      </w:r>
      <w:r>
        <w:rPr>
          <w:rFonts w:ascii="Times New Roman" w:hAnsi="Times New Roman" w:eastAsia="宋体"/>
          <w:b/>
          <w:i w:val="0"/>
          <w:sz w:val="24"/>
          <w:vertAlign w:val="subscript"/>
        </w:rPr>
        <w:t>r,t</w:t>
      </w:r>
      <w:r>
        <w:rPr>
          <w:rFonts w:ascii="Times New Roman" w:hAnsi="Times New Roman" w:eastAsia="宋体"/>
          <w:b w:val="0"/>
          <w:i w:val="0"/>
          <w:sz w:val="24"/>
        </w:rPr>
        <w:tab/>
        <w:t>(5)</w:t>
      </w:r>
    </w:p>
    <w:p>
      <w:pPr>
        <w:tabs>
          <w:tab w:pos="4535" w:val="center"/>
          <w:tab w:pos="9071" w:val="right"/>
        </w:tabs>
        <w:spacing w:line="240" w:lineRule="auto" w:before="80" w:after="80"/>
      </w:pPr>
      <w:r>
        <w:rPr>
          <w:rFonts w:ascii="Times New Roman" w:hAnsi="Times New Roman" w:eastAsia="宋体"/>
          <w:b w:val="0"/>
          <w:i w:val="0"/>
          <w:sz w:val="24"/>
        </w:rPr>
        <w:tab/>
      </w:r>
      <w:r>
        <w:rPr>
          <w:rFonts w:ascii="Times New Roman" w:hAnsi="Times New Roman" w:eastAsia="宋体"/>
          <w:b w:val="0"/>
          <w:i w:val="0"/>
          <w:sz w:val="24"/>
        </w:rPr>
        <w:t>S</w:t>
      </w:r>
      <w:r>
        <w:rPr>
          <w:rFonts w:ascii="Times New Roman" w:hAnsi="Times New Roman" w:eastAsia="宋体"/>
          <w:b/>
          <w:i w:val="0"/>
          <w:sz w:val="24"/>
          <w:vertAlign w:val="subscript"/>
        </w:rPr>
        <w:t>r,t</w:t>
      </w:r>
      <w:r>
        <w:rPr>
          <w:rFonts w:ascii="Times New Roman" w:hAnsi="Times New Roman" w:eastAsia="宋体"/>
          <w:b w:val="0"/>
          <w:i w:val="0"/>
          <w:sz w:val="24"/>
        </w:rPr>
        <w:t xml:space="preserve"> = S</w:t>
      </w:r>
      <w:r>
        <w:rPr>
          <w:rFonts w:ascii="Times New Roman" w:hAnsi="Times New Roman" w:eastAsia="宋体"/>
          <w:b/>
          <w:i w:val="0"/>
          <w:sz w:val="24"/>
          <w:vertAlign w:val="subscript"/>
        </w:rPr>
        <w:t>r,t−1</w:t>
      </w:r>
      <w:r>
        <w:rPr>
          <w:rFonts w:ascii="Times New Roman" w:hAnsi="Times New Roman" w:eastAsia="宋体"/>
          <w:b w:val="0"/>
          <w:i w:val="0"/>
          <w:sz w:val="24"/>
        </w:rPr>
        <w:t xml:space="preserve"> + η</w:t>
      </w:r>
      <w:r>
        <w:rPr>
          <w:rFonts w:ascii="Times New Roman" w:hAnsi="Times New Roman" w:eastAsia="宋体"/>
          <w:b/>
          <w:i w:val="0"/>
          <w:sz w:val="24"/>
          <w:vertAlign w:val="subscript"/>
        </w:rPr>
        <w:t>c</w:t>
      </w:r>
      <w:r>
        <w:rPr>
          <w:rFonts w:ascii="Times New Roman" w:hAnsi="Times New Roman" w:eastAsia="宋体"/>
          <w:b w:val="0"/>
          <w:i w:val="0"/>
          <w:sz w:val="24"/>
        </w:rPr>
        <w:t>·(rc</w:t>
      </w:r>
      <w:r>
        <w:rPr>
          <w:rFonts w:ascii="Times New Roman" w:hAnsi="Times New Roman" w:eastAsia="宋体"/>
          <w:b/>
          <w:i w:val="0"/>
          <w:sz w:val="24"/>
          <w:vertAlign w:val="subscript"/>
        </w:rPr>
        <w:t>r,t</w:t>
      </w:r>
      <w:r>
        <w:rPr>
          <w:rFonts w:ascii="Times New Roman" w:hAnsi="Times New Roman" w:eastAsia="宋体"/>
          <w:b w:val="0"/>
          <w:i w:val="0"/>
          <w:sz w:val="24"/>
        </w:rPr>
        <w:t>+gc</w:t>
      </w:r>
      <w:r>
        <w:rPr>
          <w:rFonts w:ascii="Times New Roman" w:hAnsi="Times New Roman" w:eastAsia="宋体"/>
          <w:b/>
          <w:i w:val="0"/>
          <w:sz w:val="24"/>
          <w:vertAlign w:val="subscript"/>
        </w:rPr>
        <w:t>r,t</w:t>
      </w:r>
      <w:r>
        <w:rPr>
          <w:rFonts w:ascii="Times New Roman" w:hAnsi="Times New Roman" w:eastAsia="宋体"/>
          <w:b w:val="0"/>
          <w:i w:val="0"/>
          <w:sz w:val="24"/>
        </w:rPr>
        <w:t>) − p</w:t>
      </w:r>
      <w:r>
        <w:rPr>
          <w:rFonts w:ascii="Times New Roman" w:hAnsi="Times New Roman" w:eastAsia="宋体"/>
          <w:b/>
          <w:i w:val="0"/>
          <w:sz w:val="24"/>
          <w:vertAlign w:val="subscript"/>
        </w:rPr>
        <w:t>r,t</w:t>
      </w:r>
      <w:r>
        <w:rPr>
          <w:rFonts w:ascii="Times New Roman" w:hAnsi="Times New Roman" w:eastAsia="宋体"/>
          <w:b w:val="0"/>
          <w:i w:val="0"/>
          <w:sz w:val="24"/>
        </w:rPr>
        <w:t>/η</w:t>
      </w:r>
      <w:r>
        <w:rPr>
          <w:rFonts w:ascii="Times New Roman" w:hAnsi="Times New Roman" w:eastAsia="宋体"/>
          <w:b/>
          <w:i w:val="0"/>
          <w:sz w:val="24"/>
          <w:vertAlign w:val="subscript"/>
        </w:rPr>
        <w:t>d</w:t>
      </w:r>
      <w:r>
        <w:rPr>
          <w:rFonts w:ascii="Times New Roman" w:hAnsi="Times New Roman" w:eastAsia="宋体"/>
          <w:b w:val="0"/>
          <w:i w:val="0"/>
          <w:sz w:val="24"/>
        </w:rPr>
        <w:t>，  S</w:t>
      </w:r>
      <w:r>
        <w:rPr>
          <w:rFonts w:ascii="Times New Roman" w:hAnsi="Times New Roman" w:eastAsia="宋体"/>
          <w:b/>
          <w:i w:val="0"/>
          <w:sz w:val="24"/>
          <w:vertAlign w:val="subscript"/>
        </w:rPr>
        <w:t>r,2406</w:t>
      </w:r>
      <w:r>
        <w:rPr>
          <w:rFonts w:ascii="Times New Roman" w:hAnsi="Times New Roman" w:eastAsia="宋体"/>
          <w:b w:val="0"/>
          <w:i w:val="0"/>
          <w:sz w:val="24"/>
        </w:rPr>
        <w:t xml:space="preserve"> ≥ S</w:t>
      </w:r>
      <w:r>
        <w:rPr>
          <w:rFonts w:ascii="Times New Roman" w:hAnsi="Times New Roman" w:eastAsia="宋体"/>
          <w:b/>
          <w:i w:val="0"/>
          <w:sz w:val="24"/>
          <w:vertAlign w:val="subscript"/>
        </w:rPr>
        <w:t>0</w:t>
      </w:r>
      <w:r>
        <w:rPr>
          <w:rFonts w:ascii="Times New Roman" w:hAnsi="Times New Roman" w:eastAsia="宋体"/>
          <w:b w:val="0"/>
          <w:i w:val="0"/>
          <w:sz w:val="24"/>
        </w:rPr>
        <w:tab/>
        <w:t>(6)</w:t>
      </w:r>
    </w:p>
    <w:p>
      <w:pPr>
        <w:spacing w:after="0" w:line="240" w:lineRule="auto"/>
        <w:ind w:firstLine="480"/>
      </w:pPr>
      <w:r>
        <w:rPr>
          <w:rFonts w:ascii="Times New Roman" w:hAnsi="Times New Roman" w:eastAsia="宋体"/>
          <w:b w:val="0"/>
          <w:i w:val="0"/>
          <w:sz w:val="24"/>
        </w:rPr>
        <w:t>目标函数包括运行成本 f1、碳排放 f2、区域峰值净购电 f3 与净购电波动 f4（平均绝对偏差）。采用逐目标字典序（在保持主目标最优前提下以成本为二级目标）与基线归一化加权两种方式生成多组策略，由 HiGHS 求解器精确求解；六区域可并行计算，每个 MILP 含约 2.4 万个变量与 2 407 个 0-1 变量。</w:t>
      </w:r>
    </w:p>
    <w:p>
      <w:pPr>
        <w:spacing w:after="0" w:line="240" w:lineRule="auto"/>
        <w:ind w:firstLine="480"/>
      </w:pPr>
      <w:r>
        <w:rPr>
          <w:rFonts w:ascii="Times New Roman" w:hAnsi="Times New Roman" w:eastAsia="宋体"/>
          <w:b w:val="0"/>
          <w:i w:val="0"/>
          <w:sz w:val="24"/>
        </w:rPr>
        <w:t>约束的物理意义方面：新能源分配平衡刻画了“可用新能源在直接消纳、储能充电、外送与弃电之间的分配”；功率平衡刻画了“购电＋新能源直接消纳＋储能放电”对“负荷＋电网充电”的实时满足；SOC 递推与终态约束保证了储能的能量守恒与末端不亏空；充放互斥约束通过 0-1 变量避免了物理上不可能的同时充放电。多目标处理采用两种互补方式：逐目标字典序在保持主目标最优的前提下以成本为二级目标，避免最优解不唯一导致策略随意；加权归一化以基线指标为基准，避免目标最优值为 0 时归一化失效。</w:t>
      </w:r>
    </w:p>
    <w:p>
      <w:pPr>
        <w:spacing w:after="0" w:line="240" w:lineRule="auto"/>
        <w:ind w:firstLine="480"/>
      </w:pPr>
      <w:r>
        <w:rPr>
          <w:rFonts w:ascii="Times New Roman" w:hAnsi="Times New Roman" w:eastAsia="宋体"/>
          <w:b w:val="0"/>
          <w:i w:val="0"/>
          <w:sz w:val="24"/>
        </w:rPr>
        <w:t>求解规模上，六区域相互独立、可并行求解，每个区域的 MILP 含约 2.4 万个变量、2.4 万个约束与 2 407 个 0-1 变量，采用 scipy-HiGHS 求解，单区域单目标求解时间约 1–3 秒；全部场景约 3–5 分钟即可完成，兼顾了模型的精确性与可复现性。</w:t>
      </w:r>
    </w:p>
    <w:p>
      <w:pPr>
        <w:pStyle w:val="Heading3"/>
      </w:pPr>
      <w:r>
        <w:t>5.3.2 结果分析</w:t>
      </w:r>
    </w:p>
    <w:p>
      <w:pPr>
        <w:spacing w:before="160" w:after="60"/>
        <w:jc w:val="center"/>
      </w:pPr>
      <w:r>
        <w:rPr>
          <w:rFonts w:ascii="Times New Roman" w:hAnsi="Times New Roman" w:eastAsia="宋体"/>
          <w:b/>
          <w:i w:val="0"/>
          <w:sz w:val="21"/>
        </w:rPr>
        <w:t>表 8  问题三七个场景关键指标对比（全时域 0–2406）</w:t>
      </w:r>
    </w:p>
    <w:tbl>
      <w:tblPr>
        <w:tblW w:type="dxa" w:w="9072"/>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firstColumn="1" w:firstRow="1" w:lastColumn="0" w:lastRow="0" w:noHBand="0" w:noVBand="1" w:val="04A0"/>
        <w:tblInd w:w="120" w:type="dxa"/>
        <w:tblCellMar>
          <w:top w:w="40" w:type="dxa"/>
          <w:start w:w="80" w:type="dxa"/>
          <w:bottom w:w="40" w:type="dxa"/>
          <w:end w:w="80" w:type="dxa"/>
        </w:tblCellMar>
      </w:tblPr>
      <w:tblGrid>
        <w:gridCol w:w="1900"/>
        <w:gridCol w:w="1300"/>
        <w:gridCol w:w="1250"/>
        <w:gridCol w:w="1700"/>
        <w:gridCol w:w="1700"/>
        <w:gridCol w:w="1222"/>
      </w:tblGrid>
      <w:tr>
        <w:trPr>
          <w:tblHeader/>
        </w:trPr>
        <w:tc>
          <w:tcPr>
            <w:tcW w:type="dxa" w:w="19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场景</w:t>
            </w:r>
          </w:p>
        </w:tc>
        <w:tc>
          <w:tcPr>
            <w:tcW w:type="dxa" w:w="13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运行成本</w:t>
              <w:br/>
              <w:t>（万元）</w:t>
            </w:r>
          </w:p>
        </w:tc>
        <w:tc>
          <w:tcPr>
            <w:tcW w:type="dxa" w:w="1250"/>
            <w:vAlign w:val="center"/>
            <w:tcBorders>
              <w:bottom w:val="single" w:sz="6" w:space="0" w:color="000000"/>
            </w:tcBorders>
          </w:tcPr>
          <w:p>
            <w:pPr>
              <w:spacing w:before="20" w:after="20" w:line="240" w:lineRule="auto"/>
              <w:jc w:val="center"/>
            </w:pPr>
            <w:r>
              <w:rPr>
                <w:rFonts w:ascii="Times New Roman" w:hAnsi="Times New Roman" w:eastAsia="宋体"/>
                <w:b/>
                <w:i w:val="0"/>
                <w:sz w:val="18"/>
              </w:rPr>
              <w:t>碳排放</w:t>
              <w:br/>
              <w:t>（tCO₂）</w:t>
            </w:r>
          </w:p>
        </w:tc>
        <w:tc>
          <w:tcPr>
            <w:tcW w:type="dxa" w:w="17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系统峰值净购电</w:t>
              <w:br/>
              <w:t>（MW）</w:t>
            </w:r>
          </w:p>
        </w:tc>
        <w:tc>
          <w:tcPr>
            <w:tcW w:type="dxa" w:w="17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净购电波动 MAD</w:t>
              <w:br/>
              <w:t>（MW）</w:t>
            </w:r>
          </w:p>
        </w:tc>
        <w:tc>
          <w:tcPr>
            <w:tcW w:type="dxa" w:w="1222"/>
            <w:vAlign w:val="center"/>
            <w:tcBorders>
              <w:bottom w:val="single" w:sz="6" w:space="0" w:color="000000"/>
            </w:tcBorders>
          </w:tcPr>
          <w:p>
            <w:pPr>
              <w:spacing w:before="20" w:after="20" w:line="240" w:lineRule="auto"/>
              <w:jc w:val="center"/>
            </w:pPr>
            <w:r>
              <w:rPr>
                <w:rFonts w:ascii="Times New Roman" w:hAnsi="Times New Roman" w:eastAsia="宋体"/>
                <w:b/>
                <w:i w:val="0"/>
                <w:sz w:val="18"/>
              </w:rPr>
              <w:t>新能源</w:t>
              <w:br/>
              <w:t>利用率</w:t>
            </w:r>
          </w:p>
        </w:tc>
      </w:tr>
      <w:tr>
        <w:tc>
          <w:tcPr>
            <w:tcW w:type="dxa" w:w="1900"/>
            <w:vAlign w:val="center"/>
          </w:tcPr>
          <w:p>
            <w:pPr>
              <w:spacing w:before="20" w:after="20" w:line="240" w:lineRule="auto"/>
              <w:jc w:val="left"/>
            </w:pPr>
            <w:r>
              <w:rPr>
                <w:rFonts w:ascii="Times New Roman" w:hAnsi="Times New Roman" w:eastAsia="宋体"/>
                <w:b w:val="0"/>
                <w:i w:val="0"/>
                <w:sz w:val="18"/>
              </w:rPr>
              <w:t>S0 附件基线</w:t>
            </w:r>
          </w:p>
        </w:tc>
        <w:tc>
          <w:tcPr>
            <w:tcW w:type="dxa" w:w="1300"/>
            <w:vAlign w:val="center"/>
          </w:tcPr>
          <w:p>
            <w:pPr>
              <w:spacing w:before="20" w:after="20" w:line="240" w:lineRule="auto"/>
              <w:jc w:val="center"/>
            </w:pPr>
            <w:r>
              <w:rPr>
                <w:rFonts w:ascii="Times New Roman" w:hAnsi="Times New Roman" w:eastAsia="宋体"/>
                <w:b w:val="0"/>
                <w:i w:val="0"/>
                <w:sz w:val="18"/>
              </w:rPr>
              <w:t>180 166</w:t>
            </w:r>
          </w:p>
        </w:tc>
        <w:tc>
          <w:tcPr>
            <w:tcW w:type="dxa" w:w="1250"/>
            <w:vAlign w:val="center"/>
          </w:tcPr>
          <w:p>
            <w:pPr>
              <w:spacing w:before="20" w:after="20" w:line="240" w:lineRule="auto"/>
              <w:jc w:val="center"/>
            </w:pPr>
            <w:r>
              <w:rPr>
                <w:rFonts w:ascii="Times New Roman" w:hAnsi="Times New Roman" w:eastAsia="宋体"/>
                <w:b w:val="0"/>
                <w:i w:val="0"/>
                <w:sz w:val="18"/>
              </w:rPr>
              <w:t>2 045 367</w:t>
            </w:r>
          </w:p>
        </w:tc>
        <w:tc>
          <w:tcPr>
            <w:tcW w:type="dxa" w:w="1700"/>
            <w:vAlign w:val="center"/>
          </w:tcPr>
          <w:p>
            <w:pPr>
              <w:spacing w:before="20" w:after="20" w:line="240" w:lineRule="auto"/>
              <w:jc w:val="center"/>
            </w:pPr>
            <w:r>
              <w:rPr>
                <w:rFonts w:ascii="Times New Roman" w:hAnsi="Times New Roman" w:eastAsia="宋体"/>
                <w:b w:val="0"/>
                <w:i w:val="0"/>
                <w:sz w:val="18"/>
              </w:rPr>
              <w:t>1 907.6</w:t>
            </w:r>
          </w:p>
        </w:tc>
        <w:tc>
          <w:tcPr>
            <w:tcW w:type="dxa" w:w="1700"/>
            <w:vAlign w:val="center"/>
          </w:tcPr>
          <w:p>
            <w:pPr>
              <w:spacing w:before="20" w:after="20" w:line="240" w:lineRule="auto"/>
              <w:jc w:val="center"/>
            </w:pPr>
            <w:r>
              <w:rPr>
                <w:rFonts w:ascii="Times New Roman" w:hAnsi="Times New Roman" w:eastAsia="宋体"/>
                <w:b w:val="0"/>
                <w:i w:val="0"/>
                <w:sz w:val="18"/>
              </w:rPr>
              <w:t>507.9</w:t>
            </w:r>
          </w:p>
        </w:tc>
        <w:tc>
          <w:tcPr>
            <w:tcW w:type="dxa" w:w="1222"/>
            <w:vAlign w:val="center"/>
          </w:tcPr>
          <w:p>
            <w:pPr>
              <w:spacing w:before="20" w:after="20" w:line="240" w:lineRule="auto"/>
              <w:jc w:val="center"/>
            </w:pPr>
            <w:r>
              <w:rPr>
                <w:rFonts w:ascii="Times New Roman" w:hAnsi="Times New Roman" w:eastAsia="宋体"/>
                <w:b w:val="0"/>
                <w:i w:val="0"/>
                <w:sz w:val="18"/>
              </w:rPr>
              <w:t>32.9%</w:t>
            </w:r>
          </w:p>
        </w:tc>
      </w:tr>
      <w:tr>
        <w:tc>
          <w:tcPr>
            <w:tcW w:type="dxa" w:w="1900"/>
            <w:vAlign w:val="center"/>
          </w:tcPr>
          <w:p>
            <w:pPr>
              <w:spacing w:before="20" w:after="20" w:line="240" w:lineRule="auto"/>
              <w:jc w:val="left"/>
            </w:pPr>
            <w:r>
              <w:rPr>
                <w:rFonts w:ascii="Times New Roman" w:hAnsi="Times New Roman" w:eastAsia="宋体"/>
                <w:b w:val="0"/>
                <w:i w:val="0"/>
                <w:sz w:val="18"/>
              </w:rPr>
              <w:t>S1 无储能优化</w:t>
            </w:r>
          </w:p>
        </w:tc>
        <w:tc>
          <w:tcPr>
            <w:tcW w:type="dxa" w:w="1300"/>
            <w:vAlign w:val="center"/>
          </w:tcPr>
          <w:p>
            <w:pPr>
              <w:spacing w:before="20" w:after="20" w:line="240" w:lineRule="auto"/>
              <w:jc w:val="center"/>
            </w:pPr>
            <w:r>
              <w:rPr>
                <w:rFonts w:ascii="Times New Roman" w:hAnsi="Times New Roman" w:eastAsia="宋体"/>
                <w:b w:val="0"/>
                <w:i w:val="0"/>
                <w:sz w:val="18"/>
              </w:rPr>
              <w:t>-41 982</w:t>
            </w:r>
          </w:p>
        </w:tc>
        <w:tc>
          <w:tcPr>
            <w:tcW w:type="dxa" w:w="1250"/>
            <w:vAlign w:val="center"/>
          </w:tcPr>
          <w:p>
            <w:pPr>
              <w:spacing w:before="20" w:after="20" w:line="240" w:lineRule="auto"/>
              <w:jc w:val="center"/>
            </w:pPr>
            <w:r>
              <w:rPr>
                <w:rFonts w:ascii="Times New Roman" w:hAnsi="Times New Roman" w:eastAsia="宋体"/>
                <w:b w:val="0"/>
                <w:i w:val="0"/>
                <w:sz w:val="18"/>
              </w:rPr>
              <w:t>8.9</w:t>
            </w:r>
          </w:p>
        </w:tc>
        <w:tc>
          <w:tcPr>
            <w:tcW w:type="dxa" w:w="1700"/>
            <w:vAlign w:val="center"/>
          </w:tcPr>
          <w:p>
            <w:pPr>
              <w:spacing w:before="20" w:after="20" w:line="240" w:lineRule="auto"/>
              <w:jc w:val="center"/>
            </w:pPr>
            <w:r>
              <w:rPr>
                <w:rFonts w:ascii="Times New Roman" w:hAnsi="Times New Roman" w:eastAsia="宋体"/>
                <w:b w:val="0"/>
                <w:i w:val="0"/>
                <w:sz w:val="18"/>
              </w:rPr>
              <w:t>-82.4</w:t>
            </w:r>
          </w:p>
        </w:tc>
        <w:tc>
          <w:tcPr>
            <w:tcW w:type="dxa" w:w="1700"/>
            <w:vAlign w:val="center"/>
          </w:tcPr>
          <w:p>
            <w:pPr>
              <w:spacing w:before="20" w:after="20" w:line="240" w:lineRule="auto"/>
              <w:jc w:val="center"/>
            </w:pPr>
            <w:r>
              <w:rPr>
                <w:rFonts w:ascii="Times New Roman" w:hAnsi="Times New Roman" w:eastAsia="宋体"/>
                <w:b w:val="0"/>
                <w:i w:val="0"/>
                <w:sz w:val="18"/>
              </w:rPr>
              <w:t>94.3</w:t>
            </w:r>
          </w:p>
        </w:tc>
        <w:tc>
          <w:tcPr>
            <w:tcW w:type="dxa" w:w="1222"/>
            <w:vAlign w:val="center"/>
          </w:tcPr>
          <w:p>
            <w:pPr>
              <w:spacing w:before="20" w:after="20" w:line="240" w:lineRule="auto"/>
              <w:jc w:val="center"/>
            </w:pPr>
            <w:r>
              <w:rPr>
                <w:rFonts w:ascii="Times New Roman" w:hAnsi="Times New Roman" w:eastAsia="宋体"/>
                <w:b w:val="0"/>
                <w:i w:val="0"/>
                <w:sz w:val="18"/>
              </w:rPr>
              <w:t>67.9%</w:t>
            </w:r>
          </w:p>
        </w:tc>
      </w:tr>
      <w:tr>
        <w:tc>
          <w:tcPr>
            <w:tcW w:type="dxa" w:w="1900"/>
            <w:vAlign w:val="center"/>
          </w:tcPr>
          <w:p>
            <w:pPr>
              <w:spacing w:before="20" w:after="20" w:line="240" w:lineRule="auto"/>
              <w:jc w:val="left"/>
            </w:pPr>
            <w:r>
              <w:rPr>
                <w:rFonts w:ascii="Times New Roman" w:hAnsi="Times New Roman" w:eastAsia="宋体"/>
                <w:b w:val="0"/>
                <w:i w:val="0"/>
                <w:sz w:val="18"/>
              </w:rPr>
              <w:t>S2 成本最优</w:t>
            </w:r>
          </w:p>
        </w:tc>
        <w:tc>
          <w:tcPr>
            <w:tcW w:type="dxa" w:w="1300"/>
            <w:vAlign w:val="center"/>
          </w:tcPr>
          <w:p>
            <w:pPr>
              <w:spacing w:before="20" w:after="20" w:line="240" w:lineRule="auto"/>
              <w:jc w:val="center"/>
            </w:pPr>
            <w:r>
              <w:rPr>
                <w:rFonts w:ascii="Times New Roman" w:hAnsi="Times New Roman" w:eastAsia="宋体"/>
                <w:b w:val="0"/>
                <w:i w:val="0"/>
                <w:sz w:val="18"/>
              </w:rPr>
              <w:t>-45 922</w:t>
            </w:r>
          </w:p>
        </w:tc>
        <w:tc>
          <w:tcPr>
            <w:tcW w:type="dxa" w:w="1250"/>
            <w:vAlign w:val="center"/>
          </w:tcPr>
          <w:p>
            <w:pPr>
              <w:spacing w:before="20" w:after="20" w:line="240" w:lineRule="auto"/>
              <w:jc w:val="center"/>
            </w:pPr>
            <w:r>
              <w:rPr>
                <w:rFonts w:ascii="Times New Roman" w:hAnsi="Times New Roman" w:eastAsia="宋体"/>
                <w:b w:val="0"/>
                <w:i w:val="0"/>
                <w:sz w:val="18"/>
              </w:rPr>
              <w:t>0</w:t>
            </w:r>
          </w:p>
        </w:tc>
        <w:tc>
          <w:tcPr>
            <w:tcW w:type="dxa" w:w="1700"/>
            <w:vAlign w:val="center"/>
          </w:tcPr>
          <w:p>
            <w:pPr>
              <w:spacing w:before="20" w:after="20" w:line="240" w:lineRule="auto"/>
              <w:jc w:val="center"/>
            </w:pPr>
            <w:r>
              <w:rPr>
                <w:rFonts w:ascii="Times New Roman" w:hAnsi="Times New Roman" w:eastAsia="宋体"/>
                <w:b w:val="0"/>
                <w:i w:val="0"/>
                <w:sz w:val="18"/>
              </w:rPr>
              <w:t>-413.5</w:t>
            </w:r>
          </w:p>
        </w:tc>
        <w:tc>
          <w:tcPr>
            <w:tcW w:type="dxa" w:w="1700"/>
            <w:vAlign w:val="center"/>
          </w:tcPr>
          <w:p>
            <w:pPr>
              <w:spacing w:before="20" w:after="20" w:line="240" w:lineRule="auto"/>
              <w:jc w:val="center"/>
            </w:pPr>
            <w:r>
              <w:rPr>
                <w:rFonts w:ascii="Times New Roman" w:hAnsi="Times New Roman" w:eastAsia="宋体"/>
                <w:b w:val="0"/>
                <w:i w:val="0"/>
                <w:sz w:val="18"/>
              </w:rPr>
              <w:t>0.51</w:t>
            </w:r>
          </w:p>
        </w:tc>
        <w:tc>
          <w:tcPr>
            <w:tcW w:type="dxa" w:w="1222"/>
            <w:vAlign w:val="center"/>
          </w:tcPr>
          <w:p>
            <w:pPr>
              <w:spacing w:before="20" w:after="20" w:line="240" w:lineRule="auto"/>
              <w:jc w:val="center"/>
            </w:pPr>
            <w:r>
              <w:rPr>
                <w:rFonts w:ascii="Times New Roman" w:hAnsi="Times New Roman" w:eastAsia="宋体"/>
                <w:b w:val="0"/>
                <w:i w:val="0"/>
                <w:sz w:val="18"/>
              </w:rPr>
              <w:t>69.5%</w:t>
            </w:r>
          </w:p>
        </w:tc>
      </w:tr>
      <w:tr>
        <w:tc>
          <w:tcPr>
            <w:tcW w:type="dxa" w:w="1900"/>
            <w:vAlign w:val="center"/>
          </w:tcPr>
          <w:p>
            <w:pPr>
              <w:spacing w:before="20" w:after="20" w:line="240" w:lineRule="auto"/>
              <w:jc w:val="left"/>
            </w:pPr>
            <w:r>
              <w:rPr>
                <w:rFonts w:ascii="Times New Roman" w:hAnsi="Times New Roman" w:eastAsia="宋体"/>
                <w:b w:val="0"/>
                <w:i w:val="0"/>
                <w:sz w:val="18"/>
              </w:rPr>
              <w:t>S3 低碳最优</w:t>
            </w:r>
          </w:p>
        </w:tc>
        <w:tc>
          <w:tcPr>
            <w:tcW w:type="dxa" w:w="1300"/>
            <w:vAlign w:val="center"/>
          </w:tcPr>
          <w:p>
            <w:pPr>
              <w:spacing w:before="20" w:after="20" w:line="240" w:lineRule="auto"/>
              <w:jc w:val="center"/>
            </w:pPr>
            <w:r>
              <w:rPr>
                <w:rFonts w:ascii="Times New Roman" w:hAnsi="Times New Roman" w:eastAsia="宋体"/>
                <w:b w:val="0"/>
                <w:i w:val="0"/>
                <w:sz w:val="18"/>
              </w:rPr>
              <w:t>-45 922</w:t>
            </w:r>
          </w:p>
        </w:tc>
        <w:tc>
          <w:tcPr>
            <w:tcW w:type="dxa" w:w="1250"/>
            <w:vAlign w:val="center"/>
          </w:tcPr>
          <w:p>
            <w:pPr>
              <w:spacing w:before="20" w:after="20" w:line="240" w:lineRule="auto"/>
              <w:jc w:val="center"/>
            </w:pPr>
            <w:r>
              <w:rPr>
                <w:rFonts w:ascii="Times New Roman" w:hAnsi="Times New Roman" w:eastAsia="宋体"/>
                <w:b w:val="0"/>
                <w:i w:val="0"/>
                <w:sz w:val="18"/>
              </w:rPr>
              <w:t>0</w:t>
            </w:r>
          </w:p>
        </w:tc>
        <w:tc>
          <w:tcPr>
            <w:tcW w:type="dxa" w:w="1700"/>
            <w:vAlign w:val="center"/>
          </w:tcPr>
          <w:p>
            <w:pPr>
              <w:spacing w:before="20" w:after="20" w:line="240" w:lineRule="auto"/>
              <w:jc w:val="center"/>
            </w:pPr>
            <w:r>
              <w:rPr>
                <w:rFonts w:ascii="Times New Roman" w:hAnsi="Times New Roman" w:eastAsia="宋体"/>
                <w:b w:val="0"/>
                <w:i w:val="0"/>
                <w:sz w:val="18"/>
              </w:rPr>
              <w:t>-413.5</w:t>
            </w:r>
          </w:p>
        </w:tc>
        <w:tc>
          <w:tcPr>
            <w:tcW w:type="dxa" w:w="1700"/>
            <w:vAlign w:val="center"/>
          </w:tcPr>
          <w:p>
            <w:pPr>
              <w:spacing w:before="20" w:after="20" w:line="240" w:lineRule="auto"/>
              <w:jc w:val="center"/>
            </w:pPr>
            <w:r>
              <w:rPr>
                <w:rFonts w:ascii="Times New Roman" w:hAnsi="Times New Roman" w:eastAsia="宋体"/>
                <w:b w:val="0"/>
                <w:i w:val="0"/>
                <w:sz w:val="18"/>
              </w:rPr>
              <w:t>0.51</w:t>
            </w:r>
          </w:p>
        </w:tc>
        <w:tc>
          <w:tcPr>
            <w:tcW w:type="dxa" w:w="1222"/>
            <w:vAlign w:val="center"/>
          </w:tcPr>
          <w:p>
            <w:pPr>
              <w:spacing w:before="20" w:after="20" w:line="240" w:lineRule="auto"/>
              <w:jc w:val="center"/>
            </w:pPr>
            <w:r>
              <w:rPr>
                <w:rFonts w:ascii="Times New Roman" w:hAnsi="Times New Roman" w:eastAsia="宋体"/>
                <w:b w:val="0"/>
                <w:i w:val="0"/>
                <w:sz w:val="18"/>
              </w:rPr>
              <w:t>69.5%</w:t>
            </w:r>
          </w:p>
        </w:tc>
      </w:tr>
      <w:tr>
        <w:tc>
          <w:tcPr>
            <w:tcW w:type="dxa" w:w="1900"/>
            <w:vAlign w:val="center"/>
          </w:tcPr>
          <w:p>
            <w:pPr>
              <w:spacing w:before="20" w:after="20" w:line="240" w:lineRule="auto"/>
              <w:jc w:val="left"/>
            </w:pPr>
            <w:r>
              <w:rPr>
                <w:rFonts w:ascii="Times New Roman" w:hAnsi="Times New Roman" w:eastAsia="宋体"/>
                <w:b w:val="0"/>
                <w:i w:val="0"/>
                <w:sz w:val="18"/>
              </w:rPr>
              <w:t>S4 削峰最优</w:t>
            </w:r>
          </w:p>
        </w:tc>
        <w:tc>
          <w:tcPr>
            <w:tcW w:type="dxa" w:w="1300"/>
            <w:vAlign w:val="center"/>
          </w:tcPr>
          <w:p>
            <w:pPr>
              <w:spacing w:before="20" w:after="20" w:line="240" w:lineRule="auto"/>
              <w:jc w:val="center"/>
            </w:pPr>
            <w:r>
              <w:rPr>
                <w:rFonts w:ascii="Times New Roman" w:hAnsi="Times New Roman" w:eastAsia="宋体"/>
                <w:b w:val="0"/>
                <w:i w:val="0"/>
                <w:sz w:val="18"/>
              </w:rPr>
              <w:t>-45 922</w:t>
            </w:r>
          </w:p>
        </w:tc>
        <w:tc>
          <w:tcPr>
            <w:tcW w:type="dxa" w:w="1250"/>
            <w:vAlign w:val="center"/>
          </w:tcPr>
          <w:p>
            <w:pPr>
              <w:spacing w:before="20" w:after="20" w:line="240" w:lineRule="auto"/>
              <w:jc w:val="center"/>
            </w:pPr>
            <w:r>
              <w:rPr>
                <w:rFonts w:ascii="Times New Roman" w:hAnsi="Times New Roman" w:eastAsia="宋体"/>
                <w:b w:val="0"/>
                <w:i w:val="0"/>
                <w:sz w:val="18"/>
              </w:rPr>
              <w:t>0</w:t>
            </w:r>
          </w:p>
        </w:tc>
        <w:tc>
          <w:tcPr>
            <w:tcW w:type="dxa" w:w="1700"/>
            <w:vAlign w:val="center"/>
          </w:tcPr>
          <w:p>
            <w:pPr>
              <w:spacing w:before="20" w:after="20" w:line="240" w:lineRule="auto"/>
              <w:jc w:val="center"/>
            </w:pPr>
            <w:r>
              <w:rPr>
                <w:rFonts w:ascii="Times New Roman" w:hAnsi="Times New Roman" w:eastAsia="宋体"/>
                <w:b w:val="0"/>
                <w:i w:val="0"/>
                <w:sz w:val="18"/>
              </w:rPr>
              <w:t>-568.4</w:t>
            </w:r>
          </w:p>
        </w:tc>
        <w:tc>
          <w:tcPr>
            <w:tcW w:type="dxa" w:w="1700"/>
            <w:vAlign w:val="center"/>
          </w:tcPr>
          <w:p>
            <w:pPr>
              <w:spacing w:before="20" w:after="20" w:line="240" w:lineRule="auto"/>
              <w:jc w:val="center"/>
            </w:pPr>
            <w:r>
              <w:rPr>
                <w:rFonts w:ascii="Times New Roman" w:hAnsi="Times New Roman" w:eastAsia="宋体"/>
                <w:b w:val="0"/>
                <w:i w:val="0"/>
                <w:sz w:val="18"/>
              </w:rPr>
              <w:t>0.51</w:t>
            </w:r>
          </w:p>
        </w:tc>
        <w:tc>
          <w:tcPr>
            <w:tcW w:type="dxa" w:w="1222"/>
            <w:vAlign w:val="center"/>
          </w:tcPr>
          <w:p>
            <w:pPr>
              <w:spacing w:before="20" w:after="20" w:line="240" w:lineRule="auto"/>
              <w:jc w:val="center"/>
            </w:pPr>
            <w:r>
              <w:rPr>
                <w:rFonts w:ascii="Times New Roman" w:hAnsi="Times New Roman" w:eastAsia="宋体"/>
                <w:b w:val="0"/>
                <w:i w:val="0"/>
                <w:sz w:val="18"/>
              </w:rPr>
              <w:t>69.5%</w:t>
            </w:r>
          </w:p>
        </w:tc>
      </w:tr>
      <w:tr>
        <w:tc>
          <w:tcPr>
            <w:tcW w:type="dxa" w:w="1900"/>
            <w:vAlign w:val="center"/>
          </w:tcPr>
          <w:p>
            <w:pPr>
              <w:spacing w:before="20" w:after="20" w:line="240" w:lineRule="auto"/>
              <w:jc w:val="left"/>
            </w:pPr>
            <w:r>
              <w:rPr>
                <w:rFonts w:ascii="Times New Roman" w:hAnsi="Times New Roman" w:eastAsia="宋体"/>
                <w:b w:val="0"/>
                <w:i w:val="0"/>
                <w:sz w:val="18"/>
              </w:rPr>
              <w:t>S5 平抑波动</w:t>
            </w:r>
          </w:p>
        </w:tc>
        <w:tc>
          <w:tcPr>
            <w:tcW w:type="dxa" w:w="1300"/>
            <w:vAlign w:val="center"/>
          </w:tcPr>
          <w:p>
            <w:pPr>
              <w:spacing w:before="20" w:after="20" w:line="240" w:lineRule="auto"/>
              <w:jc w:val="center"/>
            </w:pPr>
            <w:r>
              <w:rPr>
                <w:rFonts w:ascii="Times New Roman" w:hAnsi="Times New Roman" w:eastAsia="宋体"/>
                <w:b w:val="0"/>
                <w:i w:val="0"/>
                <w:sz w:val="18"/>
              </w:rPr>
              <w:t>-42 223</w:t>
            </w:r>
          </w:p>
        </w:tc>
        <w:tc>
          <w:tcPr>
            <w:tcW w:type="dxa" w:w="1250"/>
            <w:vAlign w:val="center"/>
          </w:tcPr>
          <w:p>
            <w:pPr>
              <w:spacing w:before="20" w:after="20" w:line="240" w:lineRule="auto"/>
              <w:jc w:val="center"/>
            </w:pPr>
            <w:r>
              <w:rPr>
                <w:rFonts w:ascii="Times New Roman" w:hAnsi="Times New Roman" w:eastAsia="宋体"/>
                <w:b w:val="0"/>
                <w:i w:val="0"/>
                <w:sz w:val="18"/>
              </w:rPr>
              <w:t>0</w:t>
            </w:r>
          </w:p>
        </w:tc>
        <w:tc>
          <w:tcPr>
            <w:tcW w:type="dxa" w:w="1700"/>
            <w:vAlign w:val="center"/>
          </w:tcPr>
          <w:p>
            <w:pPr>
              <w:spacing w:before="20" w:after="20" w:line="240" w:lineRule="auto"/>
              <w:jc w:val="center"/>
            </w:pPr>
            <w:r>
              <w:rPr>
                <w:rFonts w:ascii="Times New Roman" w:hAnsi="Times New Roman" w:eastAsia="宋体"/>
                <w:b w:val="0"/>
                <w:i w:val="0"/>
                <w:sz w:val="18"/>
              </w:rPr>
              <w:t>-568.4</w:t>
            </w:r>
          </w:p>
        </w:tc>
        <w:tc>
          <w:tcPr>
            <w:tcW w:type="dxa" w:w="1700"/>
            <w:vAlign w:val="center"/>
          </w:tcPr>
          <w:p>
            <w:pPr>
              <w:spacing w:before="20" w:after="20" w:line="240" w:lineRule="auto"/>
              <w:jc w:val="center"/>
            </w:pPr>
            <w:r>
              <w:rPr>
                <w:rFonts w:ascii="Times New Roman" w:hAnsi="Times New Roman" w:eastAsia="宋体"/>
                <w:b w:val="0"/>
                <w:i w:val="0"/>
                <w:sz w:val="18"/>
              </w:rPr>
              <w:t>0.00</w:t>
            </w:r>
          </w:p>
        </w:tc>
        <w:tc>
          <w:tcPr>
            <w:tcW w:type="dxa" w:w="1222"/>
            <w:vAlign w:val="center"/>
          </w:tcPr>
          <w:p>
            <w:pPr>
              <w:spacing w:before="20" w:after="20" w:line="240" w:lineRule="auto"/>
              <w:jc w:val="center"/>
            </w:pPr>
            <w:r>
              <w:rPr>
                <w:rFonts w:ascii="Times New Roman" w:hAnsi="Times New Roman" w:eastAsia="宋体"/>
                <w:b w:val="0"/>
                <w:i w:val="0"/>
                <w:sz w:val="18"/>
              </w:rPr>
              <w:t>68.4%</w:t>
            </w:r>
          </w:p>
        </w:tc>
      </w:tr>
      <w:tr>
        <w:tc>
          <w:tcPr>
            <w:tcW w:type="dxa" w:w="1900"/>
            <w:vAlign w:val="center"/>
          </w:tcPr>
          <w:p>
            <w:pPr>
              <w:spacing w:before="20" w:after="20" w:line="240" w:lineRule="auto"/>
              <w:jc w:val="left"/>
            </w:pPr>
            <w:r>
              <w:rPr>
                <w:rFonts w:ascii="Times New Roman" w:hAnsi="Times New Roman" w:eastAsia="宋体"/>
                <w:b w:val="0"/>
                <w:i w:val="0"/>
                <w:sz w:val="18"/>
              </w:rPr>
              <w:t>S6 综合权衡</w:t>
            </w:r>
          </w:p>
        </w:tc>
        <w:tc>
          <w:tcPr>
            <w:tcW w:type="dxa" w:w="1300"/>
            <w:vAlign w:val="center"/>
          </w:tcPr>
          <w:p>
            <w:pPr>
              <w:spacing w:before="20" w:after="20" w:line="240" w:lineRule="auto"/>
              <w:jc w:val="center"/>
            </w:pPr>
            <w:r>
              <w:rPr>
                <w:rFonts w:ascii="Times New Roman" w:hAnsi="Times New Roman" w:eastAsia="宋体"/>
                <w:b w:val="0"/>
                <w:i w:val="0"/>
                <w:sz w:val="18"/>
              </w:rPr>
              <w:t>-45 922</w:t>
            </w:r>
          </w:p>
        </w:tc>
        <w:tc>
          <w:tcPr>
            <w:tcW w:type="dxa" w:w="1250"/>
            <w:vAlign w:val="center"/>
          </w:tcPr>
          <w:p>
            <w:pPr>
              <w:spacing w:before="20" w:after="20" w:line="240" w:lineRule="auto"/>
              <w:jc w:val="center"/>
            </w:pPr>
            <w:r>
              <w:rPr>
                <w:rFonts w:ascii="Times New Roman" w:hAnsi="Times New Roman" w:eastAsia="宋体"/>
                <w:b w:val="0"/>
                <w:i w:val="0"/>
                <w:sz w:val="18"/>
              </w:rPr>
              <w:t>0</w:t>
            </w:r>
          </w:p>
        </w:tc>
        <w:tc>
          <w:tcPr>
            <w:tcW w:type="dxa" w:w="1700"/>
            <w:vAlign w:val="center"/>
          </w:tcPr>
          <w:p>
            <w:pPr>
              <w:spacing w:before="20" w:after="20" w:line="240" w:lineRule="auto"/>
              <w:jc w:val="center"/>
            </w:pPr>
            <w:r>
              <w:rPr>
                <w:rFonts w:ascii="Times New Roman" w:hAnsi="Times New Roman" w:eastAsia="宋体"/>
                <w:b w:val="0"/>
                <w:i w:val="0"/>
                <w:sz w:val="18"/>
              </w:rPr>
              <w:t>-568.4</w:t>
            </w:r>
          </w:p>
        </w:tc>
        <w:tc>
          <w:tcPr>
            <w:tcW w:type="dxa" w:w="1700"/>
            <w:vAlign w:val="center"/>
          </w:tcPr>
          <w:p>
            <w:pPr>
              <w:spacing w:before="20" w:after="20" w:line="240" w:lineRule="auto"/>
              <w:jc w:val="center"/>
            </w:pPr>
            <w:r>
              <w:rPr>
                <w:rFonts w:ascii="Times New Roman" w:hAnsi="Times New Roman" w:eastAsia="宋体"/>
                <w:b w:val="0"/>
                <w:i w:val="0"/>
                <w:sz w:val="18"/>
              </w:rPr>
              <w:t>0.50</w:t>
            </w:r>
          </w:p>
        </w:tc>
        <w:tc>
          <w:tcPr>
            <w:tcW w:type="dxa" w:w="1222"/>
            <w:vAlign w:val="center"/>
          </w:tcPr>
          <w:p>
            <w:pPr>
              <w:spacing w:before="20" w:after="20" w:line="240" w:lineRule="auto"/>
              <w:jc w:val="center"/>
            </w:pPr>
            <w:r>
              <w:rPr>
                <w:rFonts w:ascii="Times New Roman" w:hAnsi="Times New Roman" w:eastAsia="宋体"/>
                <w:b w:val="0"/>
                <w:i w:val="0"/>
                <w:sz w:val="18"/>
              </w:rPr>
              <w:t>69.5%</w:t>
            </w:r>
          </w:p>
        </w:tc>
      </w:tr>
    </w:tbl>
    <w:p>
      <w:pPr>
        <w:spacing w:after="0" w:line="240" w:lineRule="auto"/>
        <w:ind w:firstLine="480"/>
      </w:pPr>
      <w:r>
        <w:rPr>
          <w:rFonts w:ascii="Times New Roman" w:hAnsi="Times New Roman" w:eastAsia="宋体"/>
          <w:b w:val="0"/>
          <w:i w:val="0"/>
          <w:sz w:val="24"/>
        </w:rPr>
        <w:t>与无储能优化（S1）相比，含储能策略（S2）成本进一步下降 3 940 万元（9.4%），峰值净购电由 -82.4 MW 降至 -568.4 MW，波动 MAD 由 94.3 MW 降至 0.5 MW，说明储能通过“低谷充电、高峰放电”实现削峰填谷与波动平抑。分区域看，东三区负荷被本地新能源全额覆盖、购电为 0；西三区（D/E/F）在满足本地负荷与储能需求后按外送上限持续外送富余新能源，成本由正转负；F 区（风电富集）储能吞吐量最大，对风电波动平抑作用最明显。</w:t>
      </w:r>
    </w:p>
    <w:p>
      <w:pPr>
        <w:spacing w:before="120"/>
        <w:jc w:val="center"/>
      </w:pPr>
      <w:r>
        <w:drawing>
          <wp:inline xmlns:a="http://schemas.openxmlformats.org/drawingml/2006/main" xmlns:pic="http://schemas.openxmlformats.org/drawingml/2006/picture">
            <wp:extent cx="4680000" cy="2496000"/>
            <wp:docPr id="3" name="Picture 3" descr="问题三储能SOC曲线" title="问题三储能SOC曲线"/>
            <wp:cNvGraphicFramePr>
              <a:graphicFrameLocks noChangeAspect="1"/>
            </wp:cNvGraphicFramePr>
            <a:graphic>
              <a:graphicData uri="http://schemas.openxmlformats.org/drawingml/2006/picture">
                <pic:pic>
                  <pic:nvPicPr>
                    <pic:cNvPr id="0" name="soc_curves.png"/>
                    <pic:cNvPicPr/>
                  </pic:nvPicPr>
                  <pic:blipFill>
                    <a:blip r:embed="rId11"/>
                    <a:stretch>
                      <a:fillRect/>
                    </a:stretch>
                  </pic:blipFill>
                  <pic:spPr>
                    <a:xfrm>
                      <a:off x="0" y="0"/>
                      <a:ext cx="4680000" cy="2496000"/>
                    </a:xfrm>
                    <a:prstGeom prst="rect"/>
                  </pic:spPr>
                </pic:pic>
              </a:graphicData>
            </a:graphic>
          </wp:inline>
        </w:drawing>
      </w:r>
    </w:p>
    <w:p>
      <w:pPr>
        <w:spacing w:after="200"/>
        <w:jc w:val="center"/>
      </w:pPr>
      <w:r>
        <w:rPr>
          <w:rFonts w:ascii="Times New Roman" w:hAnsi="Times New Roman" w:eastAsia="宋体"/>
          <w:b/>
          <w:i w:val="0"/>
          <w:sz w:val="21"/>
        </w:rPr>
        <w:t>图 3  问题三储能 SOC 曲线</w:t>
      </w:r>
    </w:p>
    <w:p>
      <w:pPr>
        <w:spacing w:before="120"/>
        <w:jc w:val="center"/>
      </w:pPr>
      <w:r>
        <w:drawing>
          <wp:inline xmlns:a="http://schemas.openxmlformats.org/drawingml/2006/main" xmlns:pic="http://schemas.openxmlformats.org/drawingml/2006/picture">
            <wp:extent cx="4680000" cy="1345500"/>
            <wp:docPr id="4" name="Picture 4" descr="问题三净购电功率优化前后曲线" title="问题三净购电功率优化前后曲线"/>
            <wp:cNvGraphicFramePr>
              <a:graphicFrameLocks noChangeAspect="1"/>
            </wp:cNvGraphicFramePr>
            <a:graphic>
              <a:graphicData uri="http://schemas.openxmlformats.org/drawingml/2006/picture">
                <pic:pic>
                  <pic:nvPicPr>
                    <pic:cNvPr id="0" name="net_import_curves.png"/>
                    <pic:cNvPicPr/>
                  </pic:nvPicPr>
                  <pic:blipFill>
                    <a:blip r:embed="rId12"/>
                    <a:stretch>
                      <a:fillRect/>
                    </a:stretch>
                  </pic:blipFill>
                  <pic:spPr>
                    <a:xfrm>
                      <a:off x="0" y="0"/>
                      <a:ext cx="4680000" cy="1345500"/>
                    </a:xfrm>
                    <a:prstGeom prst="rect"/>
                  </pic:spPr>
                </pic:pic>
              </a:graphicData>
            </a:graphic>
          </wp:inline>
        </w:drawing>
      </w:r>
    </w:p>
    <w:p>
      <w:pPr>
        <w:spacing w:after="200"/>
        <w:jc w:val="center"/>
      </w:pPr>
      <w:r>
        <w:rPr>
          <w:rFonts w:ascii="Times New Roman" w:hAnsi="Times New Roman" w:eastAsia="宋体"/>
          <w:b/>
          <w:i w:val="0"/>
          <w:sz w:val="21"/>
        </w:rPr>
        <w:t>图 4  问题三净购电功率优化前后曲线</w:t>
      </w:r>
    </w:p>
    <w:p>
      <w:pPr>
        <w:spacing w:before="120"/>
        <w:jc w:val="center"/>
      </w:pPr>
      <w:r>
        <w:drawing>
          <wp:inline xmlns:a="http://schemas.openxmlformats.org/drawingml/2006/main" xmlns:pic="http://schemas.openxmlformats.org/drawingml/2006/picture">
            <wp:extent cx="4500000" cy="2812500"/>
            <wp:docPr id="5" name="Picture 5" descr="问题三储能前后关键指标对比" title="问题三储能前后关键指标对比"/>
            <wp:cNvGraphicFramePr>
              <a:graphicFrameLocks noChangeAspect="1"/>
            </wp:cNvGraphicFramePr>
            <a:graphic>
              <a:graphicData uri="http://schemas.openxmlformats.org/drawingml/2006/picture">
                <pic:pic>
                  <pic:nvPicPr>
                    <pic:cNvPr id="0" name="comparison_bars.png"/>
                    <pic:cNvPicPr/>
                  </pic:nvPicPr>
                  <pic:blipFill>
                    <a:blip r:embed="rId13"/>
                    <a:stretch>
                      <a:fillRect/>
                    </a:stretch>
                  </pic:blipFill>
                  <pic:spPr>
                    <a:xfrm>
                      <a:off x="0" y="0"/>
                      <a:ext cx="4500000" cy="2812500"/>
                    </a:xfrm>
                    <a:prstGeom prst="rect"/>
                  </pic:spPr>
                </pic:pic>
              </a:graphicData>
            </a:graphic>
          </wp:inline>
        </w:drawing>
      </w:r>
    </w:p>
    <w:p>
      <w:pPr>
        <w:spacing w:after="200"/>
        <w:jc w:val="center"/>
      </w:pPr>
      <w:r>
        <w:rPr>
          <w:rFonts w:ascii="Times New Roman" w:hAnsi="Times New Roman" w:eastAsia="宋体"/>
          <w:b/>
          <w:i w:val="0"/>
          <w:sz w:val="21"/>
        </w:rPr>
        <w:t>图 5  问题三储能前后关键指标对比</w:t>
      </w:r>
    </w:p>
    <w:p>
      <w:pPr>
        <w:spacing w:after="0" w:line="240" w:lineRule="auto"/>
        <w:ind w:firstLine="480"/>
      </w:pPr>
      <w:r>
        <w:rPr>
          <w:rFonts w:ascii="Times New Roman" w:hAnsi="Times New Roman" w:eastAsia="宋体"/>
          <w:b w:val="0"/>
          <w:i w:val="0"/>
          <w:sz w:val="24"/>
        </w:rPr>
        <w:t>分区域看，东三区（A/B/C）不具外送能力，优化后负荷由本地新能源全额覆盖、购电为 0，峰值净购电降为 0；西三区（D/E/F）在满足本地负荷与储能需求后，将富余新能源按外送上限（180/220/220 MW）持续外送，成本由正转负；其中 F 区（风电富集）储能吞吐量最大（充电 74 196 MWh、放电 64 862 MWh），对风电波动平抑作用最明显。多目标权衡上，成本最优与削峰最优策略几乎重合，说明本数据条件下最大化新能源外送收益与最小化峰值购电方向一致；平抑波动策略以约 3 700 万元成本为代价将波动降为 0，综合权衡策略则落在两者之间。</w:t>
      </w:r>
    </w:p>
    <w:p>
      <w:pPr>
        <w:spacing w:before="160" w:after="60"/>
        <w:jc w:val="center"/>
      </w:pPr>
      <w:r>
        <w:rPr>
          <w:rFonts w:ascii="Times New Roman" w:hAnsi="Times New Roman" w:eastAsia="宋体"/>
          <w:b/>
          <w:i w:val="0"/>
          <w:sz w:val="21"/>
        </w:rPr>
        <w:t>表 9  附件基线 vs 成本最优策略分区域结果（全时域）</w:t>
      </w:r>
    </w:p>
    <w:tbl>
      <w:tblPr>
        <w:tblW w:type="dxa" w:w="9072"/>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firstColumn="1" w:firstRow="1" w:lastColumn="0" w:lastRow="0" w:noHBand="0" w:noVBand="1" w:val="04A0"/>
        <w:tblInd w:w="120" w:type="dxa"/>
        <w:tblCellMar>
          <w:top w:w="40" w:type="dxa"/>
          <w:start w:w="80" w:type="dxa"/>
          <w:bottom w:w="40" w:type="dxa"/>
          <w:end w:w="80" w:type="dxa"/>
        </w:tblCellMar>
      </w:tblPr>
      <w:tblGrid>
        <w:gridCol w:w="1300"/>
        <w:gridCol w:w="2400"/>
        <w:gridCol w:w="2400"/>
        <w:gridCol w:w="1700"/>
        <w:gridCol w:w="1272"/>
      </w:tblGrid>
      <w:tr>
        <w:trPr>
          <w:tblHeader/>
        </w:trPr>
        <w:tc>
          <w:tcPr>
            <w:tcW w:type="dxa" w:w="13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区域</w:t>
            </w:r>
          </w:p>
        </w:tc>
        <w:tc>
          <w:tcPr>
            <w:tcW w:type="dxa" w:w="24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成本（万元）</w:t>
              <w:br/>
              <w:t>基线→成本最优</w:t>
            </w:r>
          </w:p>
        </w:tc>
        <w:tc>
          <w:tcPr>
            <w:tcW w:type="dxa" w:w="24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碳排（tCO₂）</w:t>
              <w:br/>
              <w:t>基线→成本最优</w:t>
            </w:r>
          </w:p>
        </w:tc>
        <w:tc>
          <w:tcPr>
            <w:tcW w:type="dxa" w:w="17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峰值净购电（MW）</w:t>
              <w:br/>
              <w:t>基线→成本最优</w:t>
            </w:r>
          </w:p>
        </w:tc>
        <w:tc>
          <w:tcPr>
            <w:tcW w:type="dxa" w:w="1272"/>
            <w:vAlign w:val="center"/>
            <w:tcBorders>
              <w:bottom w:val="single" w:sz="6" w:space="0" w:color="000000"/>
            </w:tcBorders>
          </w:tcPr>
          <w:p>
            <w:pPr>
              <w:spacing w:before="20" w:after="20" w:line="240" w:lineRule="auto"/>
              <w:jc w:val="center"/>
            </w:pPr>
            <w:r>
              <w:rPr>
                <w:rFonts w:ascii="Times New Roman" w:hAnsi="Times New Roman" w:eastAsia="宋体"/>
                <w:b/>
                <w:i w:val="0"/>
                <w:sz w:val="18"/>
              </w:rPr>
              <w:t>新能源利用率</w:t>
              <w:br/>
              <w:t>基线→成本最优</w:t>
            </w:r>
          </w:p>
        </w:tc>
      </w:tr>
      <w:tr>
        <w:tc>
          <w:tcPr>
            <w:tcW w:type="dxa" w:w="1300"/>
            <w:vAlign w:val="center"/>
          </w:tcPr>
          <w:p>
            <w:pPr>
              <w:spacing w:before="20" w:after="20" w:line="240" w:lineRule="auto"/>
              <w:jc w:val="left"/>
            </w:pPr>
            <w:r>
              <w:rPr>
                <w:rFonts w:ascii="Times New Roman" w:hAnsi="Times New Roman" w:eastAsia="宋体"/>
                <w:b w:val="0"/>
                <w:i w:val="0"/>
                <w:sz w:val="18"/>
              </w:rPr>
              <w:t>RegionA</w:t>
            </w:r>
          </w:p>
        </w:tc>
        <w:tc>
          <w:tcPr>
            <w:tcW w:type="dxa" w:w="2400"/>
            <w:vAlign w:val="center"/>
          </w:tcPr>
          <w:p>
            <w:pPr>
              <w:spacing w:before="20" w:after="20" w:line="240" w:lineRule="auto"/>
              <w:jc w:val="center"/>
            </w:pPr>
            <w:r>
              <w:rPr>
                <w:rFonts w:ascii="Times New Roman" w:hAnsi="Times New Roman" w:eastAsia="宋体"/>
                <w:b w:val="0"/>
                <w:i w:val="0"/>
                <w:sz w:val="18"/>
              </w:rPr>
              <w:t>62 302 → 0</w:t>
            </w:r>
          </w:p>
        </w:tc>
        <w:tc>
          <w:tcPr>
            <w:tcW w:type="dxa" w:w="2400"/>
            <w:vAlign w:val="center"/>
          </w:tcPr>
          <w:p>
            <w:pPr>
              <w:spacing w:before="20" w:after="20" w:line="240" w:lineRule="auto"/>
              <w:jc w:val="center"/>
            </w:pPr>
            <w:r>
              <w:rPr>
                <w:rFonts w:ascii="Times New Roman" w:hAnsi="Times New Roman" w:eastAsia="宋体"/>
                <w:b w:val="0"/>
                <w:i w:val="0"/>
                <w:sz w:val="18"/>
              </w:rPr>
              <w:t>581 270 → 0</w:t>
            </w:r>
          </w:p>
        </w:tc>
        <w:tc>
          <w:tcPr>
            <w:tcW w:type="dxa" w:w="1700"/>
            <w:vAlign w:val="center"/>
          </w:tcPr>
          <w:p>
            <w:pPr>
              <w:spacing w:before="20" w:after="20" w:line="240" w:lineRule="auto"/>
              <w:jc w:val="center"/>
            </w:pPr>
            <w:r>
              <w:rPr>
                <w:rFonts w:ascii="Times New Roman" w:hAnsi="Times New Roman" w:eastAsia="宋体"/>
                <w:b w:val="0"/>
                <w:i w:val="0"/>
                <w:sz w:val="18"/>
              </w:rPr>
              <w:t>497.0 → 0</w:t>
            </w:r>
          </w:p>
        </w:tc>
        <w:tc>
          <w:tcPr>
            <w:tcW w:type="dxa" w:w="1272"/>
            <w:vAlign w:val="center"/>
          </w:tcPr>
          <w:p>
            <w:pPr>
              <w:spacing w:before="20" w:after="20" w:line="240" w:lineRule="auto"/>
              <w:jc w:val="center"/>
            </w:pPr>
            <w:r>
              <w:rPr>
                <w:rFonts w:ascii="Times New Roman" w:hAnsi="Times New Roman" w:eastAsia="宋体"/>
                <w:b w:val="0"/>
                <w:i w:val="0"/>
                <w:sz w:val="18"/>
              </w:rPr>
              <w:t>8.6% → 57.0%</w:t>
            </w:r>
          </w:p>
        </w:tc>
      </w:tr>
      <w:tr>
        <w:tc>
          <w:tcPr>
            <w:tcW w:type="dxa" w:w="1300"/>
            <w:vAlign w:val="center"/>
          </w:tcPr>
          <w:p>
            <w:pPr>
              <w:spacing w:before="20" w:after="20" w:line="240" w:lineRule="auto"/>
              <w:jc w:val="left"/>
            </w:pPr>
            <w:r>
              <w:rPr>
                <w:rFonts w:ascii="Times New Roman" w:hAnsi="Times New Roman" w:eastAsia="宋体"/>
                <w:b w:val="0"/>
                <w:i w:val="0"/>
                <w:sz w:val="18"/>
              </w:rPr>
              <w:t>RegionB</w:t>
            </w:r>
          </w:p>
        </w:tc>
        <w:tc>
          <w:tcPr>
            <w:tcW w:type="dxa" w:w="2400"/>
            <w:vAlign w:val="center"/>
          </w:tcPr>
          <w:p>
            <w:pPr>
              <w:spacing w:before="20" w:after="20" w:line="240" w:lineRule="auto"/>
              <w:jc w:val="center"/>
            </w:pPr>
            <w:r>
              <w:rPr>
                <w:rFonts w:ascii="Times New Roman" w:hAnsi="Times New Roman" w:eastAsia="宋体"/>
                <w:b w:val="0"/>
                <w:i w:val="0"/>
                <w:sz w:val="18"/>
              </w:rPr>
              <w:t>57 212 → 0</w:t>
            </w:r>
          </w:p>
        </w:tc>
        <w:tc>
          <w:tcPr>
            <w:tcW w:type="dxa" w:w="2400"/>
            <w:vAlign w:val="center"/>
          </w:tcPr>
          <w:p>
            <w:pPr>
              <w:spacing w:before="20" w:after="20" w:line="240" w:lineRule="auto"/>
              <w:jc w:val="center"/>
            </w:pPr>
            <w:r>
              <w:rPr>
                <w:rFonts w:ascii="Times New Roman" w:hAnsi="Times New Roman" w:eastAsia="宋体"/>
                <w:b w:val="0"/>
                <w:i w:val="0"/>
                <w:sz w:val="18"/>
              </w:rPr>
              <w:t>519 699 → 0</w:t>
            </w:r>
          </w:p>
        </w:tc>
        <w:tc>
          <w:tcPr>
            <w:tcW w:type="dxa" w:w="1700"/>
            <w:vAlign w:val="center"/>
          </w:tcPr>
          <w:p>
            <w:pPr>
              <w:spacing w:before="20" w:after="20" w:line="240" w:lineRule="auto"/>
              <w:jc w:val="center"/>
            </w:pPr>
            <w:r>
              <w:rPr>
                <w:rFonts w:ascii="Times New Roman" w:hAnsi="Times New Roman" w:eastAsia="宋体"/>
                <w:b w:val="0"/>
                <w:i w:val="0"/>
                <w:sz w:val="18"/>
              </w:rPr>
              <w:t>467.9 → 0</w:t>
            </w:r>
          </w:p>
        </w:tc>
        <w:tc>
          <w:tcPr>
            <w:tcW w:type="dxa" w:w="1272"/>
            <w:vAlign w:val="center"/>
          </w:tcPr>
          <w:p>
            <w:pPr>
              <w:spacing w:before="20" w:after="20" w:line="240" w:lineRule="auto"/>
              <w:jc w:val="center"/>
            </w:pPr>
            <w:r>
              <w:rPr>
                <w:rFonts w:ascii="Times New Roman" w:hAnsi="Times New Roman" w:eastAsia="宋体"/>
                <w:b w:val="0"/>
                <w:i w:val="0"/>
                <w:sz w:val="18"/>
              </w:rPr>
              <w:t>10.1% → 56.3%</w:t>
            </w:r>
          </w:p>
        </w:tc>
      </w:tr>
      <w:tr>
        <w:tc>
          <w:tcPr>
            <w:tcW w:type="dxa" w:w="1300"/>
            <w:vAlign w:val="center"/>
          </w:tcPr>
          <w:p>
            <w:pPr>
              <w:spacing w:before="20" w:after="20" w:line="240" w:lineRule="auto"/>
              <w:jc w:val="left"/>
            </w:pPr>
            <w:r>
              <w:rPr>
                <w:rFonts w:ascii="Times New Roman" w:hAnsi="Times New Roman" w:eastAsia="宋体"/>
                <w:b w:val="0"/>
                <w:i w:val="0"/>
                <w:sz w:val="18"/>
              </w:rPr>
              <w:t>RegionC</w:t>
            </w:r>
          </w:p>
        </w:tc>
        <w:tc>
          <w:tcPr>
            <w:tcW w:type="dxa" w:w="2400"/>
            <w:vAlign w:val="center"/>
          </w:tcPr>
          <w:p>
            <w:pPr>
              <w:spacing w:before="20" w:after="20" w:line="240" w:lineRule="auto"/>
              <w:jc w:val="center"/>
            </w:pPr>
            <w:r>
              <w:rPr>
                <w:rFonts w:ascii="Times New Roman" w:hAnsi="Times New Roman" w:eastAsia="宋体"/>
                <w:b w:val="0"/>
                <w:i w:val="0"/>
                <w:sz w:val="18"/>
              </w:rPr>
              <w:t>54 636 → 0</w:t>
            </w:r>
          </w:p>
        </w:tc>
        <w:tc>
          <w:tcPr>
            <w:tcW w:type="dxa" w:w="2400"/>
            <w:vAlign w:val="center"/>
          </w:tcPr>
          <w:p>
            <w:pPr>
              <w:spacing w:before="20" w:after="20" w:line="240" w:lineRule="auto"/>
              <w:jc w:val="center"/>
            </w:pPr>
            <w:r>
              <w:rPr>
                <w:rFonts w:ascii="Times New Roman" w:hAnsi="Times New Roman" w:eastAsia="宋体"/>
                <w:b w:val="0"/>
                <w:i w:val="0"/>
                <w:sz w:val="18"/>
              </w:rPr>
              <w:t>483 818 → 0</w:t>
            </w:r>
          </w:p>
        </w:tc>
        <w:tc>
          <w:tcPr>
            <w:tcW w:type="dxa" w:w="1700"/>
            <w:vAlign w:val="center"/>
          </w:tcPr>
          <w:p>
            <w:pPr>
              <w:spacing w:before="20" w:after="20" w:line="240" w:lineRule="auto"/>
              <w:jc w:val="center"/>
            </w:pPr>
            <w:r>
              <w:rPr>
                <w:rFonts w:ascii="Times New Roman" w:hAnsi="Times New Roman" w:eastAsia="宋体"/>
                <w:b w:val="0"/>
                <w:i w:val="0"/>
                <w:sz w:val="18"/>
              </w:rPr>
              <w:t>455.3 → 0</w:t>
            </w:r>
          </w:p>
        </w:tc>
        <w:tc>
          <w:tcPr>
            <w:tcW w:type="dxa" w:w="1272"/>
            <w:vAlign w:val="center"/>
          </w:tcPr>
          <w:p>
            <w:pPr>
              <w:spacing w:before="20" w:after="20" w:line="240" w:lineRule="auto"/>
              <w:jc w:val="center"/>
            </w:pPr>
            <w:r>
              <w:rPr>
                <w:rFonts w:ascii="Times New Roman" w:hAnsi="Times New Roman" w:eastAsia="宋体"/>
                <w:b w:val="0"/>
                <w:i w:val="0"/>
                <w:sz w:val="18"/>
              </w:rPr>
              <w:t>11.9% → 57.3%</w:t>
            </w:r>
          </w:p>
        </w:tc>
      </w:tr>
      <w:tr>
        <w:tc>
          <w:tcPr>
            <w:tcW w:type="dxa" w:w="1300"/>
            <w:vAlign w:val="center"/>
          </w:tcPr>
          <w:p>
            <w:pPr>
              <w:spacing w:before="20" w:after="20" w:line="240" w:lineRule="auto"/>
              <w:jc w:val="left"/>
            </w:pPr>
            <w:r>
              <w:rPr>
                <w:rFonts w:ascii="Times New Roman" w:hAnsi="Times New Roman" w:eastAsia="宋体"/>
                <w:b w:val="0"/>
                <w:i w:val="0"/>
                <w:sz w:val="18"/>
              </w:rPr>
              <w:t>RegionD</w:t>
            </w:r>
          </w:p>
        </w:tc>
        <w:tc>
          <w:tcPr>
            <w:tcW w:type="dxa" w:w="2400"/>
            <w:vAlign w:val="center"/>
          </w:tcPr>
          <w:p>
            <w:pPr>
              <w:spacing w:before="20" w:after="20" w:line="240" w:lineRule="auto"/>
              <w:jc w:val="center"/>
            </w:pPr>
            <w:r>
              <w:rPr>
                <w:rFonts w:ascii="Times New Roman" w:hAnsi="Times New Roman" w:eastAsia="宋体"/>
                <w:b w:val="0"/>
                <w:i w:val="0"/>
                <w:sz w:val="18"/>
              </w:rPr>
              <w:t>8 593 → -14 278</w:t>
            </w:r>
          </w:p>
        </w:tc>
        <w:tc>
          <w:tcPr>
            <w:tcW w:type="dxa" w:w="2400"/>
            <w:vAlign w:val="center"/>
          </w:tcPr>
          <w:p>
            <w:pPr>
              <w:spacing w:before="20" w:after="20" w:line="240" w:lineRule="auto"/>
              <w:jc w:val="center"/>
            </w:pPr>
            <w:r>
              <w:rPr>
                <w:rFonts w:ascii="Times New Roman" w:hAnsi="Times New Roman" w:eastAsia="宋体"/>
                <w:b w:val="0"/>
                <w:i w:val="0"/>
                <w:sz w:val="18"/>
              </w:rPr>
              <w:t>262 961 → 0</w:t>
            </w:r>
          </w:p>
        </w:tc>
        <w:tc>
          <w:tcPr>
            <w:tcW w:type="dxa" w:w="1700"/>
            <w:vAlign w:val="center"/>
          </w:tcPr>
          <w:p>
            <w:pPr>
              <w:spacing w:before="20" w:after="20" w:line="240" w:lineRule="auto"/>
              <w:jc w:val="center"/>
            </w:pPr>
            <w:r>
              <w:rPr>
                <w:rFonts w:ascii="Times New Roman" w:hAnsi="Times New Roman" w:eastAsia="宋体"/>
                <w:b w:val="0"/>
                <w:i w:val="0"/>
                <w:sz w:val="18"/>
              </w:rPr>
              <w:t>282.6 → -180.0</w:t>
            </w:r>
          </w:p>
        </w:tc>
        <w:tc>
          <w:tcPr>
            <w:tcW w:type="dxa" w:w="1272"/>
            <w:vAlign w:val="center"/>
          </w:tcPr>
          <w:p>
            <w:pPr>
              <w:spacing w:before="20" w:after="20" w:line="240" w:lineRule="auto"/>
              <w:jc w:val="center"/>
            </w:pPr>
            <w:r>
              <w:rPr>
                <w:rFonts w:ascii="Times New Roman" w:hAnsi="Times New Roman" w:eastAsia="宋体"/>
                <w:b w:val="0"/>
                <w:i w:val="0"/>
                <w:sz w:val="18"/>
              </w:rPr>
              <w:t>47.1% → 79.3%</w:t>
            </w:r>
          </w:p>
        </w:tc>
      </w:tr>
      <w:tr>
        <w:tc>
          <w:tcPr>
            <w:tcW w:type="dxa" w:w="1300"/>
            <w:vAlign w:val="center"/>
          </w:tcPr>
          <w:p>
            <w:pPr>
              <w:spacing w:before="20" w:after="20" w:line="240" w:lineRule="auto"/>
              <w:jc w:val="left"/>
            </w:pPr>
            <w:r>
              <w:rPr>
                <w:rFonts w:ascii="Times New Roman" w:hAnsi="Times New Roman" w:eastAsia="宋体"/>
                <w:b w:val="0"/>
                <w:i w:val="0"/>
                <w:sz w:val="18"/>
              </w:rPr>
              <w:t>RegionE</w:t>
            </w:r>
          </w:p>
        </w:tc>
        <w:tc>
          <w:tcPr>
            <w:tcW w:type="dxa" w:w="2400"/>
            <w:vAlign w:val="center"/>
          </w:tcPr>
          <w:p>
            <w:pPr>
              <w:spacing w:before="20" w:after="20" w:line="240" w:lineRule="auto"/>
              <w:jc w:val="center"/>
            </w:pPr>
            <w:r>
              <w:rPr>
                <w:rFonts w:ascii="Times New Roman" w:hAnsi="Times New Roman" w:eastAsia="宋体"/>
                <w:b w:val="0"/>
                <w:i w:val="0"/>
                <w:sz w:val="18"/>
              </w:rPr>
              <w:t>-2 589 → -15 417</w:t>
            </w:r>
          </w:p>
        </w:tc>
        <w:tc>
          <w:tcPr>
            <w:tcW w:type="dxa" w:w="2400"/>
            <w:vAlign w:val="center"/>
          </w:tcPr>
          <w:p>
            <w:pPr>
              <w:spacing w:before="20" w:after="20" w:line="240" w:lineRule="auto"/>
              <w:jc w:val="center"/>
            </w:pPr>
            <w:r>
              <w:rPr>
                <w:rFonts w:ascii="Times New Roman" w:hAnsi="Times New Roman" w:eastAsia="宋体"/>
                <w:b w:val="0"/>
                <w:i w:val="0"/>
                <w:sz w:val="18"/>
              </w:rPr>
              <w:t>84 556 → 0</w:t>
            </w:r>
          </w:p>
        </w:tc>
        <w:tc>
          <w:tcPr>
            <w:tcW w:type="dxa" w:w="1700"/>
            <w:vAlign w:val="center"/>
          </w:tcPr>
          <w:p>
            <w:pPr>
              <w:spacing w:before="20" w:after="20" w:line="240" w:lineRule="auto"/>
              <w:jc w:val="center"/>
            </w:pPr>
            <w:r>
              <w:rPr>
                <w:rFonts w:ascii="Times New Roman" w:hAnsi="Times New Roman" w:eastAsia="宋体"/>
                <w:b w:val="0"/>
                <w:i w:val="0"/>
                <w:sz w:val="18"/>
              </w:rPr>
              <w:t>166.1 → -114.2</w:t>
            </w:r>
          </w:p>
        </w:tc>
        <w:tc>
          <w:tcPr>
            <w:tcW w:type="dxa" w:w="1272"/>
            <w:vAlign w:val="center"/>
          </w:tcPr>
          <w:p>
            <w:pPr>
              <w:spacing w:before="20" w:after="20" w:line="240" w:lineRule="auto"/>
              <w:jc w:val="center"/>
            </w:pPr>
            <w:r>
              <w:rPr>
                <w:rFonts w:ascii="Times New Roman" w:hAnsi="Times New Roman" w:eastAsia="宋体"/>
                <w:b w:val="0"/>
                <w:i w:val="0"/>
                <w:sz w:val="18"/>
              </w:rPr>
              <w:t>61.0% → 83.1%</w:t>
            </w:r>
          </w:p>
        </w:tc>
      </w:tr>
      <w:tr>
        <w:tc>
          <w:tcPr>
            <w:tcW w:type="dxa" w:w="1300"/>
            <w:vAlign w:val="center"/>
          </w:tcPr>
          <w:p>
            <w:pPr>
              <w:spacing w:before="20" w:after="20" w:line="240" w:lineRule="auto"/>
              <w:jc w:val="left"/>
            </w:pPr>
            <w:r>
              <w:rPr>
                <w:rFonts w:ascii="Times New Roman" w:hAnsi="Times New Roman" w:eastAsia="宋体"/>
                <w:b w:val="0"/>
                <w:i w:val="0"/>
                <w:sz w:val="18"/>
              </w:rPr>
              <w:t>RegionF</w:t>
            </w:r>
          </w:p>
        </w:tc>
        <w:tc>
          <w:tcPr>
            <w:tcW w:type="dxa" w:w="2400"/>
            <w:vAlign w:val="center"/>
          </w:tcPr>
          <w:p>
            <w:pPr>
              <w:spacing w:before="20" w:after="20" w:line="240" w:lineRule="auto"/>
              <w:jc w:val="center"/>
            </w:pPr>
            <w:r>
              <w:rPr>
                <w:rFonts w:ascii="Times New Roman" w:hAnsi="Times New Roman" w:eastAsia="宋体"/>
                <w:b w:val="0"/>
                <w:i w:val="0"/>
                <w:sz w:val="18"/>
              </w:rPr>
              <w:t>12.6 → -16 227</w:t>
            </w:r>
          </w:p>
        </w:tc>
        <w:tc>
          <w:tcPr>
            <w:tcW w:type="dxa" w:w="2400"/>
            <w:vAlign w:val="center"/>
          </w:tcPr>
          <w:p>
            <w:pPr>
              <w:spacing w:before="20" w:after="20" w:line="240" w:lineRule="auto"/>
              <w:jc w:val="center"/>
            </w:pPr>
            <w:r>
              <w:rPr>
                <w:rFonts w:ascii="Times New Roman" w:hAnsi="Times New Roman" w:eastAsia="宋体"/>
                <w:b w:val="0"/>
                <w:i w:val="0"/>
                <w:sz w:val="18"/>
              </w:rPr>
              <w:t>113 065 → 0</w:t>
            </w:r>
          </w:p>
        </w:tc>
        <w:tc>
          <w:tcPr>
            <w:tcW w:type="dxa" w:w="1700"/>
            <w:vAlign w:val="center"/>
          </w:tcPr>
          <w:p>
            <w:pPr>
              <w:spacing w:before="20" w:after="20" w:line="240" w:lineRule="auto"/>
              <w:jc w:val="center"/>
            </w:pPr>
            <w:r>
              <w:rPr>
                <w:rFonts w:ascii="Times New Roman" w:hAnsi="Times New Roman" w:eastAsia="宋体"/>
                <w:b w:val="0"/>
                <w:i w:val="0"/>
                <w:sz w:val="18"/>
              </w:rPr>
              <w:t>152.5 → -119.3</w:t>
            </w:r>
          </w:p>
        </w:tc>
        <w:tc>
          <w:tcPr>
            <w:tcW w:type="dxa" w:w="1272"/>
            <w:vAlign w:val="center"/>
          </w:tcPr>
          <w:p>
            <w:pPr>
              <w:spacing w:before="20" w:after="20" w:line="240" w:lineRule="auto"/>
              <w:jc w:val="center"/>
            </w:pPr>
            <w:r>
              <w:rPr>
                <w:rFonts w:ascii="Times New Roman" w:hAnsi="Times New Roman" w:eastAsia="宋体"/>
                <w:b w:val="0"/>
                <w:i w:val="0"/>
                <w:sz w:val="18"/>
              </w:rPr>
              <w:t>58.4% → 84.1%</w:t>
            </w:r>
          </w:p>
        </w:tc>
      </w:tr>
    </w:tbl>
    <w:p>
      <w:pPr>
        <w:spacing w:after="0" w:line="240" w:lineRule="auto"/>
        <w:ind w:firstLine="480"/>
      </w:pPr>
      <w:r>
        <w:rPr>
          <w:rFonts w:ascii="Times New Roman" w:hAnsi="Times New Roman" w:eastAsia="宋体"/>
          <w:b w:val="0"/>
          <w:i w:val="0"/>
          <w:sz w:val="24"/>
        </w:rPr>
        <w:t>分区域结果表明，储能协同优化的收益具有显著的空间异质性：东三区基线新能源利用率不足 12%，优化后负荷由本地新能源全额覆盖、购电与碳排均降为 0，是改善幅度最大的区域；西三区在满足本地负荷与储能需求后按外送上限持续外送富余新能源，成本由正转负，成为系统“负成本”的主要来源。这进一步印证了“负荷空间重构＋储能时间重构”的双重协同机理。</w:t>
      </w:r>
    </w:p>
    <w:p>
      <w:pPr>
        <w:spacing w:after="0" w:line="240" w:lineRule="auto"/>
        <w:ind w:firstLine="480"/>
      </w:pPr>
      <w:r>
        <w:rPr>
          <w:rFonts w:ascii="Times New Roman" w:hAnsi="Times New Roman" w:eastAsia="宋体"/>
          <w:b w:val="0"/>
          <w:i w:val="0"/>
          <w:sz w:val="24"/>
        </w:rPr>
        <w:t>将各场景映射到“成本—峰值净购电”与“成本—波动”平面上可以发现：附件基线远离全部优化解；含储能各策略中，成本最优与削峰最优几乎重合，说明本数据条件下最大化新能源外送收益与最小化峰值购电方向一致；平抑波动策略以约 3 700 万元成本为代价将波动降为 0，综合权衡策略则落在成本最优与平抑波动之间。这一结果说明储能系统的多目标价值存在“主次结构”：削峰与降本高度一致，而波动平抑需要以一定成本为代价，决策者可根据区域电网的实际诉求选择储能运行目标。</w:t>
      </w:r>
    </w:p>
    <w:p>
      <w:pPr>
        <w:pStyle w:val="Heading3"/>
      </w:pPr>
      <w:r>
        <w:t>5.3.3 敏感性分析</w:t>
      </w:r>
    </w:p>
    <w:p>
      <w:pPr>
        <w:spacing w:before="160" w:after="60"/>
        <w:jc w:val="center"/>
      </w:pPr>
      <w:r>
        <w:rPr>
          <w:rFonts w:ascii="Times New Roman" w:hAnsi="Times New Roman" w:eastAsia="宋体"/>
          <w:b/>
          <w:i w:val="0"/>
          <w:sz w:val="21"/>
        </w:rPr>
        <w:t>表 10  储能容量敏感性（综合权衡策略）</w:t>
      </w:r>
    </w:p>
    <w:tbl>
      <w:tblPr>
        <w:tblW w:type="dxa" w:w="9072"/>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firstColumn="1" w:firstRow="1" w:lastColumn="0" w:lastRow="0" w:noHBand="0" w:noVBand="1" w:val="04A0"/>
        <w:tblInd w:w="120" w:type="dxa"/>
        <w:tblCellMar>
          <w:top w:w="40" w:type="dxa"/>
          <w:start w:w="80" w:type="dxa"/>
          <w:bottom w:w="40" w:type="dxa"/>
          <w:end w:w="80" w:type="dxa"/>
        </w:tblCellMar>
      </w:tblPr>
      <w:tblGrid>
        <w:gridCol w:w="2268"/>
        <w:gridCol w:w="2268"/>
        <w:gridCol w:w="2268"/>
        <w:gridCol w:w="2268"/>
      </w:tblGrid>
      <w:tr>
        <w:trPr>
          <w:tblHeader/>
        </w:trPr>
        <w:tc>
          <w:tcPr>
            <w:tcW w:type="dxa" w:w="2268"/>
            <w:vAlign w:val="center"/>
            <w:tcBorders>
              <w:bottom w:val="single" w:sz="6" w:space="0" w:color="000000"/>
            </w:tcBorders>
          </w:tcPr>
          <w:p>
            <w:pPr>
              <w:spacing w:before="20" w:after="20" w:line="240" w:lineRule="auto"/>
              <w:jc w:val="center"/>
            </w:pPr>
            <w:r>
              <w:rPr>
                <w:rFonts w:ascii="Times New Roman" w:hAnsi="Times New Roman" w:eastAsia="宋体"/>
                <w:b/>
                <w:i w:val="0"/>
                <w:sz w:val="18"/>
              </w:rPr>
              <w:t>容量系数</w:t>
            </w:r>
          </w:p>
        </w:tc>
        <w:tc>
          <w:tcPr>
            <w:tcW w:type="dxa" w:w="2268"/>
            <w:vAlign w:val="center"/>
            <w:tcBorders>
              <w:bottom w:val="single" w:sz="6" w:space="0" w:color="000000"/>
            </w:tcBorders>
          </w:tcPr>
          <w:p>
            <w:pPr>
              <w:spacing w:before="20" w:after="20" w:line="240" w:lineRule="auto"/>
              <w:jc w:val="center"/>
            </w:pPr>
            <w:r>
              <w:rPr>
                <w:rFonts w:ascii="Times New Roman" w:hAnsi="Times New Roman" w:eastAsia="宋体"/>
                <w:b/>
                <w:i w:val="0"/>
                <w:sz w:val="18"/>
              </w:rPr>
              <w:t>成本（万元）</w:t>
            </w:r>
          </w:p>
        </w:tc>
        <w:tc>
          <w:tcPr>
            <w:tcW w:type="dxa" w:w="2268"/>
            <w:vAlign w:val="center"/>
            <w:tcBorders>
              <w:bottom w:val="single" w:sz="6" w:space="0" w:color="000000"/>
            </w:tcBorders>
          </w:tcPr>
          <w:p>
            <w:pPr>
              <w:spacing w:before="20" w:after="20" w:line="240" w:lineRule="auto"/>
              <w:jc w:val="center"/>
            </w:pPr>
            <w:r>
              <w:rPr>
                <w:rFonts w:ascii="Times New Roman" w:hAnsi="Times New Roman" w:eastAsia="宋体"/>
                <w:b/>
                <w:i w:val="0"/>
                <w:sz w:val="18"/>
              </w:rPr>
              <w:t>峰值净购电（MW）</w:t>
            </w:r>
          </w:p>
        </w:tc>
        <w:tc>
          <w:tcPr>
            <w:tcW w:type="dxa" w:w="2268"/>
            <w:vAlign w:val="center"/>
            <w:tcBorders>
              <w:bottom w:val="single" w:sz="6" w:space="0" w:color="000000"/>
            </w:tcBorders>
          </w:tcPr>
          <w:p>
            <w:pPr>
              <w:spacing w:before="20" w:after="20" w:line="240" w:lineRule="auto"/>
              <w:jc w:val="center"/>
            </w:pPr>
            <w:r>
              <w:rPr>
                <w:rFonts w:ascii="Times New Roman" w:hAnsi="Times New Roman" w:eastAsia="宋体"/>
                <w:b/>
                <w:i w:val="0"/>
                <w:sz w:val="18"/>
              </w:rPr>
              <w:t>波动 MAD（MW）</w:t>
            </w:r>
          </w:p>
        </w:tc>
      </w:tr>
      <w:tr>
        <w:tc>
          <w:tcPr>
            <w:tcW w:type="dxa" w:w="2268"/>
            <w:vAlign w:val="center"/>
          </w:tcPr>
          <w:p>
            <w:pPr>
              <w:spacing w:before="20" w:after="20" w:line="240" w:lineRule="auto"/>
              <w:jc w:val="left"/>
            </w:pPr>
            <w:r>
              <w:rPr>
                <w:rFonts w:ascii="Times New Roman" w:hAnsi="Times New Roman" w:eastAsia="宋体"/>
                <w:b w:val="0"/>
                <w:i w:val="0"/>
                <w:sz w:val="18"/>
              </w:rPr>
              <w:t>0.25</w:t>
            </w:r>
          </w:p>
        </w:tc>
        <w:tc>
          <w:tcPr>
            <w:tcW w:type="dxa" w:w="2268"/>
            <w:vAlign w:val="center"/>
          </w:tcPr>
          <w:p>
            <w:pPr>
              <w:spacing w:before="20" w:after="20" w:line="240" w:lineRule="auto"/>
              <w:jc w:val="center"/>
            </w:pPr>
            <w:r>
              <w:rPr>
                <w:rFonts w:ascii="Times New Roman" w:hAnsi="Times New Roman" w:eastAsia="宋体"/>
                <w:b w:val="0"/>
                <w:i w:val="0"/>
                <w:sz w:val="18"/>
              </w:rPr>
              <w:t>-43 588</w:t>
            </w:r>
          </w:p>
        </w:tc>
        <w:tc>
          <w:tcPr>
            <w:tcW w:type="dxa" w:w="2268"/>
            <w:vAlign w:val="center"/>
          </w:tcPr>
          <w:p>
            <w:pPr>
              <w:spacing w:before="20" w:after="20" w:line="240" w:lineRule="auto"/>
              <w:jc w:val="center"/>
            </w:pPr>
            <w:r>
              <w:rPr>
                <w:rFonts w:ascii="Times New Roman" w:hAnsi="Times New Roman" w:eastAsia="宋体"/>
                <w:b w:val="0"/>
                <w:i w:val="0"/>
                <w:sz w:val="18"/>
              </w:rPr>
              <w:t>-296.9</w:t>
            </w:r>
          </w:p>
        </w:tc>
        <w:tc>
          <w:tcPr>
            <w:tcW w:type="dxa" w:w="2268"/>
            <w:vAlign w:val="center"/>
          </w:tcPr>
          <w:p>
            <w:pPr>
              <w:spacing w:before="20" w:after="20" w:line="240" w:lineRule="auto"/>
              <w:jc w:val="center"/>
            </w:pPr>
            <w:r>
              <w:rPr>
                <w:rFonts w:ascii="Times New Roman" w:hAnsi="Times New Roman" w:eastAsia="宋体"/>
                <w:b w:val="0"/>
                <w:i w:val="0"/>
                <w:sz w:val="18"/>
              </w:rPr>
              <w:t>66.3</w:t>
            </w:r>
          </w:p>
        </w:tc>
      </w:tr>
      <w:tr>
        <w:tc>
          <w:tcPr>
            <w:tcW w:type="dxa" w:w="2268"/>
            <w:vAlign w:val="center"/>
          </w:tcPr>
          <w:p>
            <w:pPr>
              <w:spacing w:before="20" w:after="20" w:line="240" w:lineRule="auto"/>
              <w:jc w:val="left"/>
            </w:pPr>
            <w:r>
              <w:rPr>
                <w:rFonts w:ascii="Times New Roman" w:hAnsi="Times New Roman" w:eastAsia="宋体"/>
                <w:b w:val="0"/>
                <w:i w:val="0"/>
                <w:sz w:val="18"/>
              </w:rPr>
              <w:t>0.50</w:t>
            </w:r>
          </w:p>
        </w:tc>
        <w:tc>
          <w:tcPr>
            <w:tcW w:type="dxa" w:w="2268"/>
            <w:vAlign w:val="center"/>
          </w:tcPr>
          <w:p>
            <w:pPr>
              <w:spacing w:before="20" w:after="20" w:line="240" w:lineRule="auto"/>
              <w:jc w:val="center"/>
            </w:pPr>
            <w:r>
              <w:rPr>
                <w:rFonts w:ascii="Times New Roman" w:hAnsi="Times New Roman" w:eastAsia="宋体"/>
                <w:b w:val="0"/>
                <w:i w:val="0"/>
                <w:sz w:val="18"/>
              </w:rPr>
              <w:t>-44 792</w:t>
            </w:r>
          </w:p>
        </w:tc>
        <w:tc>
          <w:tcPr>
            <w:tcW w:type="dxa" w:w="2268"/>
            <w:vAlign w:val="center"/>
          </w:tcPr>
          <w:p>
            <w:pPr>
              <w:spacing w:before="20" w:after="20" w:line="240" w:lineRule="auto"/>
              <w:jc w:val="center"/>
            </w:pPr>
            <w:r>
              <w:rPr>
                <w:rFonts w:ascii="Times New Roman" w:hAnsi="Times New Roman" w:eastAsia="宋体"/>
                <w:b w:val="0"/>
                <w:i w:val="0"/>
                <w:sz w:val="18"/>
              </w:rPr>
              <w:t>-412.0</w:t>
            </w:r>
          </w:p>
        </w:tc>
        <w:tc>
          <w:tcPr>
            <w:tcW w:type="dxa" w:w="2268"/>
            <w:vAlign w:val="center"/>
          </w:tcPr>
          <w:p>
            <w:pPr>
              <w:spacing w:before="20" w:after="20" w:line="240" w:lineRule="auto"/>
              <w:jc w:val="center"/>
            </w:pPr>
            <w:r>
              <w:rPr>
                <w:rFonts w:ascii="Times New Roman" w:hAnsi="Times New Roman" w:eastAsia="宋体"/>
                <w:b w:val="0"/>
                <w:i w:val="0"/>
                <w:sz w:val="18"/>
              </w:rPr>
              <w:t>35.9</w:t>
            </w:r>
          </w:p>
        </w:tc>
      </w:tr>
      <w:tr>
        <w:tc>
          <w:tcPr>
            <w:tcW w:type="dxa" w:w="2268"/>
            <w:vAlign w:val="center"/>
          </w:tcPr>
          <w:p>
            <w:pPr>
              <w:spacing w:before="20" w:after="20" w:line="240" w:lineRule="auto"/>
              <w:jc w:val="left"/>
            </w:pPr>
            <w:r>
              <w:rPr>
                <w:rFonts w:ascii="Times New Roman" w:hAnsi="Times New Roman" w:eastAsia="宋体"/>
                <w:b w:val="0"/>
                <w:i w:val="0"/>
                <w:sz w:val="18"/>
              </w:rPr>
              <w:t>1.00</w:t>
            </w:r>
          </w:p>
        </w:tc>
        <w:tc>
          <w:tcPr>
            <w:tcW w:type="dxa" w:w="2268"/>
            <w:vAlign w:val="center"/>
          </w:tcPr>
          <w:p>
            <w:pPr>
              <w:spacing w:before="20" w:after="20" w:line="240" w:lineRule="auto"/>
              <w:jc w:val="center"/>
            </w:pPr>
            <w:r>
              <w:rPr>
                <w:rFonts w:ascii="Times New Roman" w:hAnsi="Times New Roman" w:eastAsia="宋体"/>
                <w:b w:val="0"/>
                <w:i w:val="0"/>
                <w:sz w:val="18"/>
              </w:rPr>
              <w:t>-45 922</w:t>
            </w:r>
          </w:p>
        </w:tc>
        <w:tc>
          <w:tcPr>
            <w:tcW w:type="dxa" w:w="2268"/>
            <w:vAlign w:val="center"/>
          </w:tcPr>
          <w:p>
            <w:pPr>
              <w:spacing w:before="20" w:after="20" w:line="240" w:lineRule="auto"/>
              <w:jc w:val="center"/>
            </w:pPr>
            <w:r>
              <w:rPr>
                <w:rFonts w:ascii="Times New Roman" w:hAnsi="Times New Roman" w:eastAsia="宋体"/>
                <w:b w:val="0"/>
                <w:i w:val="0"/>
                <w:sz w:val="18"/>
              </w:rPr>
              <w:t>-568.4</w:t>
            </w:r>
          </w:p>
        </w:tc>
        <w:tc>
          <w:tcPr>
            <w:tcW w:type="dxa" w:w="2268"/>
            <w:vAlign w:val="center"/>
          </w:tcPr>
          <w:p>
            <w:pPr>
              <w:spacing w:before="20" w:after="20" w:line="240" w:lineRule="auto"/>
              <w:jc w:val="center"/>
            </w:pPr>
            <w:r>
              <w:rPr>
                <w:rFonts w:ascii="Times New Roman" w:hAnsi="Times New Roman" w:eastAsia="宋体"/>
                <w:b w:val="0"/>
                <w:i w:val="0"/>
                <w:sz w:val="18"/>
              </w:rPr>
              <w:t>0.50</w:t>
            </w:r>
          </w:p>
        </w:tc>
      </w:tr>
      <w:tr>
        <w:tc>
          <w:tcPr>
            <w:tcW w:type="dxa" w:w="2268"/>
            <w:vAlign w:val="center"/>
          </w:tcPr>
          <w:p>
            <w:pPr>
              <w:spacing w:before="20" w:after="20" w:line="240" w:lineRule="auto"/>
              <w:jc w:val="left"/>
            </w:pPr>
            <w:r>
              <w:rPr>
                <w:rFonts w:ascii="Times New Roman" w:hAnsi="Times New Roman" w:eastAsia="宋体"/>
                <w:b w:val="0"/>
                <w:i w:val="0"/>
                <w:sz w:val="18"/>
              </w:rPr>
              <w:t>1.50</w:t>
            </w:r>
          </w:p>
        </w:tc>
        <w:tc>
          <w:tcPr>
            <w:tcW w:type="dxa" w:w="2268"/>
            <w:vAlign w:val="center"/>
          </w:tcPr>
          <w:p>
            <w:pPr>
              <w:spacing w:before="20" w:after="20" w:line="240" w:lineRule="auto"/>
              <w:jc w:val="center"/>
            </w:pPr>
            <w:r>
              <w:rPr>
                <w:rFonts w:ascii="Times New Roman" w:hAnsi="Times New Roman" w:eastAsia="宋体"/>
                <w:b w:val="0"/>
                <w:i w:val="0"/>
                <w:sz w:val="18"/>
              </w:rPr>
              <w:t>-45 934</w:t>
            </w:r>
          </w:p>
        </w:tc>
        <w:tc>
          <w:tcPr>
            <w:tcW w:type="dxa" w:w="2268"/>
            <w:vAlign w:val="center"/>
          </w:tcPr>
          <w:p>
            <w:pPr>
              <w:spacing w:before="20" w:after="20" w:line="240" w:lineRule="auto"/>
              <w:jc w:val="center"/>
            </w:pPr>
            <w:r>
              <w:rPr>
                <w:rFonts w:ascii="Times New Roman" w:hAnsi="Times New Roman" w:eastAsia="宋体"/>
                <w:b w:val="0"/>
                <w:i w:val="0"/>
                <w:sz w:val="18"/>
              </w:rPr>
              <w:t>-618.4</w:t>
            </w:r>
          </w:p>
        </w:tc>
        <w:tc>
          <w:tcPr>
            <w:tcW w:type="dxa" w:w="2268"/>
            <w:vAlign w:val="center"/>
          </w:tcPr>
          <w:p>
            <w:pPr>
              <w:spacing w:before="20" w:after="20" w:line="240" w:lineRule="auto"/>
              <w:jc w:val="center"/>
            </w:pPr>
            <w:r>
              <w:rPr>
                <w:rFonts w:ascii="Times New Roman" w:hAnsi="Times New Roman" w:eastAsia="宋体"/>
                <w:b w:val="0"/>
                <w:i w:val="0"/>
                <w:sz w:val="18"/>
              </w:rPr>
              <w:t>0.001</w:t>
            </w:r>
          </w:p>
        </w:tc>
      </w:tr>
      <w:tr>
        <w:tc>
          <w:tcPr>
            <w:tcW w:type="dxa" w:w="2268"/>
            <w:vAlign w:val="center"/>
          </w:tcPr>
          <w:p>
            <w:pPr>
              <w:spacing w:before="20" w:after="20" w:line="240" w:lineRule="auto"/>
              <w:jc w:val="left"/>
            </w:pPr>
            <w:r>
              <w:rPr>
                <w:rFonts w:ascii="Times New Roman" w:hAnsi="Times New Roman" w:eastAsia="宋体"/>
                <w:b w:val="0"/>
                <w:i w:val="0"/>
                <w:sz w:val="18"/>
              </w:rPr>
              <w:t>2.00</w:t>
            </w:r>
          </w:p>
        </w:tc>
        <w:tc>
          <w:tcPr>
            <w:tcW w:type="dxa" w:w="2268"/>
            <w:vAlign w:val="center"/>
          </w:tcPr>
          <w:p>
            <w:pPr>
              <w:spacing w:before="20" w:after="20" w:line="240" w:lineRule="auto"/>
              <w:jc w:val="center"/>
            </w:pPr>
            <w:r>
              <w:rPr>
                <w:rFonts w:ascii="Times New Roman" w:hAnsi="Times New Roman" w:eastAsia="宋体"/>
                <w:b w:val="0"/>
                <w:i w:val="0"/>
                <w:sz w:val="18"/>
              </w:rPr>
              <w:t>-45 934</w:t>
            </w:r>
          </w:p>
        </w:tc>
        <w:tc>
          <w:tcPr>
            <w:tcW w:type="dxa" w:w="2268"/>
            <w:vAlign w:val="center"/>
          </w:tcPr>
          <w:p>
            <w:pPr>
              <w:spacing w:before="20" w:after="20" w:line="240" w:lineRule="auto"/>
              <w:jc w:val="center"/>
            </w:pPr>
            <w:r>
              <w:rPr>
                <w:rFonts w:ascii="Times New Roman" w:hAnsi="Times New Roman" w:eastAsia="宋体"/>
                <w:b w:val="0"/>
                <w:i w:val="0"/>
                <w:sz w:val="18"/>
              </w:rPr>
              <w:t>-618.4</w:t>
            </w:r>
          </w:p>
        </w:tc>
        <w:tc>
          <w:tcPr>
            <w:tcW w:type="dxa" w:w="2268"/>
            <w:vAlign w:val="center"/>
          </w:tcPr>
          <w:p>
            <w:pPr>
              <w:spacing w:before="20" w:after="20" w:line="240" w:lineRule="auto"/>
              <w:jc w:val="center"/>
            </w:pPr>
            <w:r>
              <w:rPr>
                <w:rFonts w:ascii="Times New Roman" w:hAnsi="Times New Roman" w:eastAsia="宋体"/>
                <w:b w:val="0"/>
                <w:i w:val="0"/>
                <w:sz w:val="18"/>
              </w:rPr>
              <w:t>0.001</w:t>
            </w:r>
          </w:p>
        </w:tc>
      </w:tr>
    </w:tbl>
    <w:p>
      <w:pPr>
        <w:spacing w:after="0" w:line="240" w:lineRule="auto"/>
        <w:ind w:firstLine="480"/>
      </w:pPr>
      <w:r>
        <w:rPr>
          <w:rFonts w:ascii="Times New Roman" w:hAnsi="Times New Roman" w:eastAsia="宋体"/>
          <w:b w:val="0"/>
          <w:i w:val="0"/>
          <w:sz w:val="24"/>
        </w:rPr>
        <w:t>储能容量敏感性表明：容量从 0.25 倍增至 1 倍时成本、峰值与波动均大幅改善，增至 1.5 倍后指标基本不再变化，附件配置的储能容量已接近饱和需求，峰值改善上限由 D/E/F 外送能力（180/220/220 MW）决定；充放电效率敏感性表明效率对运行成本几乎无影响（储能充电主要利用本将弃掉的新能源），但对波动平抑能力影响显著（效率每提高 0.05，MAD 约下降一半）。</w:t>
      </w:r>
    </w:p>
    <w:p>
      <w:pPr>
        <w:pStyle w:val="Heading2"/>
      </w:pPr>
      <w:r>
        <w:t>5.4 问题四：多区域算—储—电协同优化模型</w:t>
      </w:r>
    </w:p>
    <w:p>
      <w:pPr>
        <w:pStyle w:val="Heading3"/>
      </w:pPr>
      <w:r>
        <w:t>5.4.1 双层协同优化框架</w:t>
      </w:r>
    </w:p>
    <w:p>
      <w:pPr>
        <w:spacing w:after="0" w:line="240" w:lineRule="auto"/>
        <w:ind w:firstLine="480"/>
      </w:pPr>
      <w:r>
        <w:rPr>
          <w:rFonts w:ascii="Times New Roman" w:hAnsi="Times New Roman" w:eastAsia="宋体"/>
          <w:b w:val="0"/>
          <w:i w:val="0"/>
          <w:sz w:val="24"/>
        </w:rPr>
        <w:t>问题四的关键在于“耦合”：任务调度决定区域逐时 AI 负荷，负荷进入下层能源—储能优化，决定购售电、充放电与新能源分配；下层优化的边际供应特性（该时段该区域新增 1 MW 负荷由弃电、外送、储能放电还是购电满足，及其边际成本、边际碳排与新能源消纳属性）再反馈到上层任务调度的评分函数。据此构建双层协同迭代结构：上层沿用问题二 WCRS 的滚动调度与加权评分，下层沿用问题三的区域储能 MILP。与问题二相比，评分函数中的边际成本、边际碳排与新能源消纳不再采用“先富余消纳、其余购电”的简化口径，而由下层边际供应栈给出，并增加电网余量压力项以引导削峰：</w:t>
      </w:r>
    </w:p>
    <w:p>
      <w:pPr>
        <w:tabs>
          <w:tab w:pos="4535" w:val="center"/>
          <w:tab w:pos="9071" w:val="right"/>
        </w:tabs>
        <w:spacing w:line="240" w:lineRule="auto" w:before="80" w:after="80"/>
      </w:pPr>
      <w:r>
        <w:rPr>
          <w:rFonts w:ascii="Times New Roman" w:hAnsi="Times New Roman" w:eastAsia="宋体"/>
          <w:b w:val="0"/>
          <w:i w:val="0"/>
          <w:sz w:val="24"/>
        </w:rPr>
        <w:tab/>
      </w:r>
      <w:r>
        <w:rPr>
          <w:rFonts w:ascii="Times New Roman" w:hAnsi="Times New Roman" w:eastAsia="宋体"/>
          <w:b w:val="0"/>
          <w:i w:val="0"/>
          <w:sz w:val="24"/>
        </w:rPr>
        <w:t>Score(i,r,s) = α·Cost + β·Carbon + γ·l</w:t>
      </w:r>
      <w:r>
        <w:rPr>
          <w:rFonts w:ascii="Times New Roman" w:hAnsi="Times New Roman" w:eastAsia="宋体"/>
          <w:b/>
          <w:i w:val="0"/>
          <w:sz w:val="24"/>
          <w:vertAlign w:val="subscript"/>
        </w:rPr>
        <w:t>i,r</w:t>
      </w:r>
      <w:r>
        <w:rPr>
          <w:rFonts w:ascii="Times New Roman" w:hAnsi="Times New Roman" w:eastAsia="宋体"/>
          <w:b w:val="0"/>
          <w:i w:val="0"/>
          <w:sz w:val="24"/>
        </w:rPr>
        <w:t>·κ</w:t>
      </w:r>
      <w:r>
        <w:rPr>
          <w:rFonts w:ascii="Times New Roman" w:hAnsi="Times New Roman" w:eastAsia="宋体"/>
          <w:b/>
          <w:i w:val="0"/>
          <w:sz w:val="24"/>
          <w:vertAlign w:val="subscript"/>
        </w:rPr>
        <w:t>type</w:t>
      </w:r>
      <w:r>
        <w:rPr>
          <w:rFonts w:ascii="Times New Roman" w:hAnsi="Times New Roman" w:eastAsia="宋体"/>
          <w:b w:val="0"/>
          <w:i w:val="0"/>
          <w:sz w:val="24"/>
        </w:rPr>
        <w:t xml:space="preserve"> − δ·RenewableBenefit + μ·Congestion + ν·PeakPressure</w:t>
      </w:r>
      <w:r>
        <w:rPr>
          <w:rFonts w:ascii="Times New Roman" w:hAnsi="Times New Roman" w:eastAsia="宋体"/>
          <w:b w:val="0"/>
          <w:i w:val="0"/>
          <w:sz w:val="24"/>
        </w:rPr>
        <w:tab/>
        <w:t>(7)</w:t>
      </w:r>
    </w:p>
    <w:p>
      <w:pPr>
        <w:spacing w:after="0" w:line="240" w:lineRule="auto"/>
        <w:ind w:firstLine="480"/>
      </w:pPr>
      <w:r>
        <w:rPr>
          <w:rFonts w:ascii="Times New Roman" w:hAnsi="Times New Roman" w:eastAsia="宋体"/>
          <w:b w:val="0"/>
          <w:i w:val="0"/>
          <w:sz w:val="24"/>
        </w:rPr>
        <w:t>其中 κ</w:t>
      </w:r>
      <w:r>
        <w:rPr>
          <w:rFonts w:ascii="Times New Roman" w:hAnsi="Times New Roman" w:eastAsia="宋体"/>
          <w:b/>
          <w:i w:val="0"/>
          <w:sz w:val="24"/>
          <w:vertAlign w:val="subscript"/>
        </w:rPr>
        <w:t>type</w:t>
      </w:r>
      <w:r>
        <w:rPr>
          <w:rFonts w:ascii="Times New Roman" w:hAnsi="Times New Roman" w:eastAsia="宋体"/>
          <w:b w:val="0"/>
          <w:i w:val="0"/>
          <w:sz w:val="24"/>
        </w:rPr>
        <w:t>为任务类型时延乘子（实时推理 3.0、批量推理 1.5、AI 训练 1.0），体现任务异构性对时延的敏感差异。边际供应栈按“弃电（零成本、零碳排、可消纳）→外送（售电价机会成本）→储能放电（视在成本）→购电（电价与碳强度）”的优先级构造，使上层调度能够“看见”储能与新能源的时空调配能力。两层交替迭代两次后调度与能源方案相互一致，作为最终协同方案。</w:t>
      </w:r>
    </w:p>
    <w:p>
      <w:pPr>
        <w:spacing w:after="0" w:line="240" w:lineRule="auto"/>
        <w:ind w:firstLine="480"/>
      </w:pPr>
      <w:r>
        <w:rPr>
          <w:rFonts w:ascii="Times New Roman" w:hAnsi="Times New Roman" w:eastAsia="宋体"/>
          <w:b w:val="0"/>
          <w:i w:val="0"/>
          <w:sz w:val="24"/>
        </w:rPr>
        <w:t>双层迭代的具体流程为：初始化边际供应栈为空，第一轮先按问题二的简化口径完成上层调度，随后由下层能源—储能 MILP 求解逐时购售电与充放电方案；第二轮以第一轮下层解重建边际供应栈，上层调度据此重新评分并修正任务迁移与开工决策，再更新下层能源方案。由于边际供应栈在第二轮已能够反映储能的时空调配能力，两层结果在两次迭代后趋于一致，实际运行中以两次迭代作为收敛判据。</w:t>
      </w:r>
    </w:p>
    <w:p>
      <w:pPr>
        <w:spacing w:after="0" w:line="240" w:lineRule="auto"/>
        <w:ind w:firstLine="480"/>
      </w:pPr>
      <w:r>
        <w:rPr>
          <w:rFonts w:ascii="Times New Roman" w:hAnsi="Times New Roman" w:eastAsia="宋体"/>
          <w:b w:val="0"/>
          <w:i w:val="0"/>
          <w:sz w:val="24"/>
        </w:rPr>
        <w:t>相比问题二，边际供应栈使上层调度能够“看见”新能源弃电、外送机会成本、储能视在成本与购电成本之间的优先级差异：当某时段某区域存在弃电时，新增任务以零边际成本消纳新能源；当外送受限时，储能放电成为次优电源；仅当上述资源耗尽时才启用购电。这一机制将储能与新能源的时空调配能力显式注入任务调度评分，实现了算、储、电三者的真正耦合。</w:t>
      </w:r>
    </w:p>
    <w:p>
      <w:pPr>
        <w:spacing w:after="0" w:line="240" w:lineRule="auto"/>
        <w:ind w:firstLine="480"/>
      </w:pPr>
      <w:r>
        <w:rPr>
          <w:rFonts w:ascii="Times New Roman" w:hAnsi="Times New Roman" w:eastAsia="宋体"/>
          <w:b w:val="0"/>
          <w:i w:val="0"/>
          <w:sz w:val="24"/>
        </w:rPr>
        <w:t>收敛性与计算复杂度方面，双层迭代在第二轮后调度方案与能源方案即保持一致：第一轮上层按简化口径调度、下层求解能源方案，第二轮上层依据边际供应栈修正决策，由于边际供应栈已包含储能与新能源的时空调配信息，第二轮修正幅度显著小于第一轮，实际以两次迭代作为收敛判据。计算上，上层 50 000 个任务的滚动调度为数分钟内完成的启发式过程，下层 6 个独立 MILP 可并行求解，整体求解时间约 15–20 分钟，满足竞赛场景下的可复现性要求。</w:t>
      </w:r>
    </w:p>
    <w:p>
      <w:pPr>
        <w:spacing w:after="0" w:line="240" w:lineRule="auto"/>
        <w:ind w:firstLine="480"/>
      </w:pPr>
      <w:r>
        <w:rPr>
          <w:rFonts w:ascii="Times New Roman" w:hAnsi="Times New Roman" w:eastAsia="宋体"/>
          <w:b w:val="0"/>
          <w:i w:val="0"/>
          <w:sz w:val="24"/>
        </w:rPr>
        <w:t>服务质量（QoS）方面，七种策略的 QoS 得分介于 0.951–0.989 之间，均处于较高水平；时延优先策略以最低迁移比例（1.5%）获得最高 QoS（0.989），而新能源优先策略因大规模西迁使 QoS 降至 0.951，但仍满足全部时延硬约束。这表明本文框架能够在服务质量与低碳目标之间提供平滑的权衡选择：在新能源激励较强时适当牺牲部分时延裕度，而在服务质量敏感场景下优先保证用户侧体验。</w:t>
      </w:r>
    </w:p>
    <w:p>
      <w:pPr>
        <w:pStyle w:val="Heading3"/>
      </w:pPr>
      <w:r>
        <w:t>5.4.2 多目标策略结果</w:t>
      </w:r>
    </w:p>
    <w:p>
      <w:pPr>
        <w:spacing w:after="0" w:line="240" w:lineRule="auto"/>
        <w:ind w:firstLine="480"/>
      </w:pPr>
      <w:r>
        <w:rPr>
          <w:rFonts w:ascii="Times New Roman" w:hAnsi="Times New Roman" w:eastAsia="宋体"/>
          <w:b w:val="0"/>
          <w:i w:val="0"/>
          <w:sz w:val="24"/>
        </w:rPr>
        <w:t>设置 7 组多目标策略，全部策略均实现 50 000/50 000 个任务的完整调度、调度率 100%，无时延、时限与容量违规，结果如表 11 所示。与附件基线相比，七种策略均实现成本由正转负、碳排放降为 0、新能源利用率提升至约 69.6%、峰值净购电由强购电转为弱购电或净外送，形成“零购电、强外送”的低碳经济运行点。</w:t>
      </w:r>
    </w:p>
    <w:p>
      <w:pPr>
        <w:spacing w:before="160" w:after="60"/>
        <w:jc w:val="center"/>
      </w:pPr>
      <w:r>
        <w:rPr>
          <w:rFonts w:ascii="Times New Roman" w:hAnsi="Times New Roman" w:eastAsia="宋体"/>
          <w:b/>
          <w:i w:val="0"/>
          <w:sz w:val="21"/>
        </w:rPr>
        <w:t>表 11  问题四七种策略关键指标对比（全时域 0–2406）</w:t>
      </w:r>
    </w:p>
    <w:tbl>
      <w:tblPr>
        <w:tblW w:type="dxa" w:w="9072"/>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firstColumn="1" w:firstRow="1" w:lastColumn="0" w:lastRow="0" w:noHBand="0" w:noVBand="1" w:val="04A0"/>
        <w:tblInd w:w="120" w:type="dxa"/>
        <w:tblCellMar>
          <w:top w:w="40" w:type="dxa"/>
          <w:start w:w="80" w:type="dxa"/>
          <w:bottom w:w="40" w:type="dxa"/>
          <w:end w:w="80" w:type="dxa"/>
        </w:tblCellMar>
      </w:tblPr>
      <w:tblGrid>
        <w:gridCol w:w="2100"/>
        <w:gridCol w:w="800"/>
        <w:gridCol w:w="1250"/>
        <w:gridCol w:w="1100"/>
        <w:gridCol w:w="1000"/>
        <w:gridCol w:w="800"/>
        <w:gridCol w:w="1050"/>
        <w:gridCol w:w="972"/>
      </w:tblGrid>
      <w:tr>
        <w:trPr>
          <w:tblHeader/>
        </w:trPr>
        <w:tc>
          <w:tcPr>
            <w:tcW w:type="dxa" w:w="21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策略</w:t>
            </w:r>
          </w:p>
        </w:tc>
        <w:tc>
          <w:tcPr>
            <w:tcW w:type="dxa" w:w="8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未调度</w:t>
            </w:r>
          </w:p>
        </w:tc>
        <w:tc>
          <w:tcPr>
            <w:tcW w:type="dxa" w:w="1250"/>
            <w:vAlign w:val="center"/>
            <w:tcBorders>
              <w:bottom w:val="single" w:sz="6" w:space="0" w:color="000000"/>
            </w:tcBorders>
          </w:tcPr>
          <w:p>
            <w:pPr>
              <w:spacing w:before="20" w:after="20" w:line="240" w:lineRule="auto"/>
              <w:jc w:val="center"/>
            </w:pPr>
            <w:r>
              <w:rPr>
                <w:rFonts w:ascii="Times New Roman" w:hAnsi="Times New Roman" w:eastAsia="宋体"/>
                <w:b/>
                <w:i w:val="0"/>
                <w:sz w:val="18"/>
              </w:rPr>
              <w:t>净运行成本</w:t>
              <w:br/>
              <w:t>（万元）</w:t>
            </w:r>
          </w:p>
        </w:tc>
        <w:tc>
          <w:tcPr>
            <w:tcW w:type="dxa" w:w="11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碳排放</w:t>
              <w:br/>
              <w:t>（tCO₂）</w:t>
            </w:r>
          </w:p>
        </w:tc>
        <w:tc>
          <w:tcPr>
            <w:tcW w:type="dxa" w:w="10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平均时延</w:t>
              <w:br/>
              <w:t>（ms）</w:t>
            </w:r>
          </w:p>
        </w:tc>
        <w:tc>
          <w:tcPr>
            <w:tcW w:type="dxa" w:w="8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QoS</w:t>
            </w:r>
          </w:p>
        </w:tc>
        <w:tc>
          <w:tcPr>
            <w:tcW w:type="dxa" w:w="1050"/>
            <w:vAlign w:val="center"/>
            <w:tcBorders>
              <w:bottom w:val="single" w:sz="6" w:space="0" w:color="000000"/>
            </w:tcBorders>
          </w:tcPr>
          <w:p>
            <w:pPr>
              <w:spacing w:before="20" w:after="20" w:line="240" w:lineRule="auto"/>
              <w:jc w:val="center"/>
            </w:pPr>
            <w:r>
              <w:rPr>
                <w:rFonts w:ascii="Times New Roman" w:hAnsi="Times New Roman" w:eastAsia="宋体"/>
                <w:b/>
                <w:i w:val="0"/>
                <w:sz w:val="18"/>
              </w:rPr>
              <w:t>新能源</w:t>
              <w:br/>
              <w:t>利用率</w:t>
            </w:r>
          </w:p>
        </w:tc>
        <w:tc>
          <w:tcPr>
            <w:tcW w:type="dxa" w:w="972"/>
            <w:vAlign w:val="center"/>
            <w:tcBorders>
              <w:bottom w:val="single" w:sz="6" w:space="0" w:color="000000"/>
            </w:tcBorders>
          </w:tcPr>
          <w:p>
            <w:pPr>
              <w:spacing w:before="20" w:after="20" w:line="240" w:lineRule="auto"/>
              <w:jc w:val="center"/>
            </w:pPr>
            <w:r>
              <w:rPr>
                <w:rFonts w:ascii="Times New Roman" w:hAnsi="Times New Roman" w:eastAsia="宋体"/>
                <w:b/>
                <w:i w:val="0"/>
                <w:sz w:val="18"/>
              </w:rPr>
              <w:t>峰值净购电</w:t>
              <w:br/>
              <w:t>（MW）</w:t>
            </w:r>
          </w:p>
        </w:tc>
      </w:tr>
      <w:tr>
        <w:tc>
          <w:tcPr>
            <w:tcW w:type="dxa" w:w="2100"/>
            <w:vAlign w:val="center"/>
          </w:tcPr>
          <w:p>
            <w:pPr>
              <w:spacing w:before="20" w:after="20" w:line="240" w:lineRule="auto"/>
              <w:jc w:val="left"/>
            </w:pPr>
            <w:r>
              <w:rPr>
                <w:rFonts w:ascii="Times New Roman" w:hAnsi="Times New Roman" w:eastAsia="宋体"/>
                <w:b w:val="0"/>
                <w:i w:val="0"/>
                <w:sz w:val="18"/>
              </w:rPr>
              <w:t>综合权衡 balanced</w:t>
            </w:r>
          </w:p>
        </w:tc>
        <w:tc>
          <w:tcPr>
            <w:tcW w:type="dxa" w:w="800"/>
            <w:vAlign w:val="center"/>
          </w:tcPr>
          <w:p>
            <w:pPr>
              <w:spacing w:before="20" w:after="20" w:line="240" w:lineRule="auto"/>
              <w:jc w:val="center"/>
            </w:pPr>
            <w:r>
              <w:rPr>
                <w:rFonts w:ascii="Times New Roman" w:hAnsi="Times New Roman" w:eastAsia="宋体"/>
                <w:b w:val="0"/>
                <w:i w:val="0"/>
                <w:sz w:val="18"/>
              </w:rPr>
              <w:t>0</w:t>
            </w:r>
          </w:p>
        </w:tc>
        <w:tc>
          <w:tcPr>
            <w:tcW w:type="dxa" w:w="1250"/>
            <w:vAlign w:val="center"/>
          </w:tcPr>
          <w:p>
            <w:pPr>
              <w:spacing w:before="20" w:after="20" w:line="240" w:lineRule="auto"/>
              <w:jc w:val="center"/>
            </w:pPr>
            <w:r>
              <w:rPr>
                <w:rFonts w:ascii="Times New Roman" w:hAnsi="Times New Roman" w:eastAsia="宋体"/>
                <w:b w:val="0"/>
                <w:i w:val="0"/>
                <w:sz w:val="18"/>
              </w:rPr>
              <w:t>-45 910.1</w:t>
            </w:r>
          </w:p>
        </w:tc>
        <w:tc>
          <w:tcPr>
            <w:tcW w:type="dxa" w:w="1100"/>
            <w:vAlign w:val="center"/>
          </w:tcPr>
          <w:p>
            <w:pPr>
              <w:spacing w:before="20" w:after="20" w:line="240" w:lineRule="auto"/>
              <w:jc w:val="center"/>
            </w:pPr>
            <w:r>
              <w:rPr>
                <w:rFonts w:ascii="Times New Roman" w:hAnsi="Times New Roman" w:eastAsia="宋体"/>
                <w:b w:val="0"/>
                <w:i w:val="0"/>
                <w:sz w:val="18"/>
              </w:rPr>
              <w:t>0</w:t>
            </w:r>
          </w:p>
        </w:tc>
        <w:tc>
          <w:tcPr>
            <w:tcW w:type="dxa" w:w="1000"/>
            <w:vAlign w:val="center"/>
          </w:tcPr>
          <w:p>
            <w:pPr>
              <w:spacing w:before="20" w:after="20" w:line="240" w:lineRule="auto"/>
              <w:jc w:val="center"/>
            </w:pPr>
            <w:r>
              <w:rPr>
                <w:rFonts w:ascii="Times New Roman" w:hAnsi="Times New Roman" w:eastAsia="宋体"/>
                <w:b w:val="0"/>
                <w:i w:val="0"/>
                <w:sz w:val="18"/>
              </w:rPr>
              <w:t>14.43</w:t>
            </w:r>
          </w:p>
        </w:tc>
        <w:tc>
          <w:tcPr>
            <w:tcW w:type="dxa" w:w="800"/>
            <w:vAlign w:val="center"/>
          </w:tcPr>
          <w:p>
            <w:pPr>
              <w:spacing w:before="20" w:after="20" w:line="240" w:lineRule="auto"/>
              <w:jc w:val="center"/>
            </w:pPr>
            <w:r>
              <w:rPr>
                <w:rFonts w:ascii="Times New Roman" w:hAnsi="Times New Roman" w:eastAsia="宋体"/>
                <w:b w:val="0"/>
                <w:i w:val="0"/>
                <w:sz w:val="18"/>
              </w:rPr>
              <w:t>0.971</w:t>
            </w:r>
          </w:p>
        </w:tc>
        <w:tc>
          <w:tcPr>
            <w:tcW w:type="dxa" w:w="1050"/>
            <w:vAlign w:val="center"/>
          </w:tcPr>
          <w:p>
            <w:pPr>
              <w:spacing w:before="20" w:after="20" w:line="240" w:lineRule="auto"/>
              <w:jc w:val="center"/>
            </w:pPr>
            <w:r>
              <w:rPr>
                <w:rFonts w:ascii="Times New Roman" w:hAnsi="Times New Roman" w:eastAsia="宋体"/>
                <w:b w:val="0"/>
                <w:i w:val="0"/>
                <w:sz w:val="18"/>
              </w:rPr>
              <w:t>69.6%</w:t>
            </w:r>
          </w:p>
        </w:tc>
        <w:tc>
          <w:tcPr>
            <w:tcW w:type="dxa" w:w="972"/>
            <w:vAlign w:val="center"/>
          </w:tcPr>
          <w:p>
            <w:pPr>
              <w:spacing w:before="20" w:after="20" w:line="240" w:lineRule="auto"/>
              <w:jc w:val="center"/>
            </w:pPr>
            <w:r>
              <w:rPr>
                <w:rFonts w:ascii="Times New Roman" w:hAnsi="Times New Roman" w:eastAsia="宋体"/>
                <w:b w:val="0"/>
                <w:i w:val="0"/>
                <w:sz w:val="18"/>
              </w:rPr>
              <w:t>-390.4</w:t>
            </w:r>
          </w:p>
        </w:tc>
      </w:tr>
      <w:tr>
        <w:tc>
          <w:tcPr>
            <w:tcW w:type="dxa" w:w="2100"/>
            <w:vAlign w:val="center"/>
          </w:tcPr>
          <w:p>
            <w:pPr>
              <w:spacing w:before="20" w:after="20" w:line="240" w:lineRule="auto"/>
              <w:jc w:val="left"/>
            </w:pPr>
            <w:r>
              <w:rPr>
                <w:rFonts w:ascii="Times New Roman" w:hAnsi="Times New Roman" w:eastAsia="宋体"/>
                <w:b w:val="0"/>
                <w:i w:val="0"/>
                <w:sz w:val="18"/>
              </w:rPr>
              <w:t>成本优先 cost_first</w:t>
            </w:r>
          </w:p>
        </w:tc>
        <w:tc>
          <w:tcPr>
            <w:tcW w:type="dxa" w:w="800"/>
            <w:vAlign w:val="center"/>
          </w:tcPr>
          <w:p>
            <w:pPr>
              <w:spacing w:before="20" w:after="20" w:line="240" w:lineRule="auto"/>
              <w:jc w:val="center"/>
            </w:pPr>
            <w:r>
              <w:rPr>
                <w:rFonts w:ascii="Times New Roman" w:hAnsi="Times New Roman" w:eastAsia="宋体"/>
                <w:b w:val="0"/>
                <w:i w:val="0"/>
                <w:sz w:val="18"/>
              </w:rPr>
              <w:t>0</w:t>
            </w:r>
          </w:p>
        </w:tc>
        <w:tc>
          <w:tcPr>
            <w:tcW w:type="dxa" w:w="1250"/>
            <w:vAlign w:val="center"/>
          </w:tcPr>
          <w:p>
            <w:pPr>
              <w:spacing w:before="20" w:after="20" w:line="240" w:lineRule="auto"/>
              <w:jc w:val="center"/>
            </w:pPr>
            <w:r>
              <w:rPr>
                <w:rFonts w:ascii="Times New Roman" w:hAnsi="Times New Roman" w:eastAsia="宋体"/>
                <w:b w:val="0"/>
                <w:i w:val="0"/>
                <w:sz w:val="18"/>
              </w:rPr>
              <w:t>-45 908.4</w:t>
            </w:r>
          </w:p>
        </w:tc>
        <w:tc>
          <w:tcPr>
            <w:tcW w:type="dxa" w:w="1100"/>
            <w:vAlign w:val="center"/>
          </w:tcPr>
          <w:p>
            <w:pPr>
              <w:spacing w:before="20" w:after="20" w:line="240" w:lineRule="auto"/>
              <w:jc w:val="center"/>
            </w:pPr>
            <w:r>
              <w:rPr>
                <w:rFonts w:ascii="Times New Roman" w:hAnsi="Times New Roman" w:eastAsia="宋体"/>
                <w:b w:val="0"/>
                <w:i w:val="0"/>
                <w:sz w:val="18"/>
              </w:rPr>
              <w:t>0</w:t>
            </w:r>
          </w:p>
        </w:tc>
        <w:tc>
          <w:tcPr>
            <w:tcW w:type="dxa" w:w="1000"/>
            <w:vAlign w:val="center"/>
          </w:tcPr>
          <w:p>
            <w:pPr>
              <w:spacing w:before="20" w:after="20" w:line="240" w:lineRule="auto"/>
              <w:jc w:val="center"/>
            </w:pPr>
            <w:r>
              <w:rPr>
                <w:rFonts w:ascii="Times New Roman" w:hAnsi="Times New Roman" w:eastAsia="宋体"/>
                <w:b w:val="0"/>
                <w:i w:val="0"/>
                <w:sz w:val="18"/>
              </w:rPr>
              <w:t>12.20</w:t>
            </w:r>
          </w:p>
        </w:tc>
        <w:tc>
          <w:tcPr>
            <w:tcW w:type="dxa" w:w="800"/>
            <w:vAlign w:val="center"/>
          </w:tcPr>
          <w:p>
            <w:pPr>
              <w:spacing w:before="20" w:after="20" w:line="240" w:lineRule="auto"/>
              <w:jc w:val="center"/>
            </w:pPr>
            <w:r>
              <w:rPr>
                <w:rFonts w:ascii="Times New Roman" w:hAnsi="Times New Roman" w:eastAsia="宋体"/>
                <w:b w:val="0"/>
                <w:i w:val="0"/>
                <w:sz w:val="18"/>
              </w:rPr>
              <w:t>0.976</w:t>
            </w:r>
          </w:p>
        </w:tc>
        <w:tc>
          <w:tcPr>
            <w:tcW w:type="dxa" w:w="1050"/>
            <w:vAlign w:val="center"/>
          </w:tcPr>
          <w:p>
            <w:pPr>
              <w:spacing w:before="20" w:after="20" w:line="240" w:lineRule="auto"/>
              <w:jc w:val="center"/>
            </w:pPr>
            <w:r>
              <w:rPr>
                <w:rFonts w:ascii="Times New Roman" w:hAnsi="Times New Roman" w:eastAsia="宋体"/>
                <w:b w:val="0"/>
                <w:i w:val="0"/>
                <w:sz w:val="18"/>
              </w:rPr>
              <w:t>69.6%</w:t>
            </w:r>
          </w:p>
        </w:tc>
        <w:tc>
          <w:tcPr>
            <w:tcW w:type="dxa" w:w="972"/>
            <w:vAlign w:val="center"/>
          </w:tcPr>
          <w:p>
            <w:pPr>
              <w:spacing w:before="20" w:after="20" w:line="240" w:lineRule="auto"/>
              <w:jc w:val="center"/>
            </w:pPr>
            <w:r>
              <w:rPr>
                <w:rFonts w:ascii="Times New Roman" w:hAnsi="Times New Roman" w:eastAsia="宋体"/>
                <w:b w:val="0"/>
                <w:i w:val="0"/>
                <w:sz w:val="18"/>
              </w:rPr>
              <w:t>-38.3</w:t>
            </w:r>
          </w:p>
        </w:tc>
      </w:tr>
      <w:tr>
        <w:tc>
          <w:tcPr>
            <w:tcW w:type="dxa" w:w="2100"/>
            <w:vAlign w:val="center"/>
          </w:tcPr>
          <w:p>
            <w:pPr>
              <w:spacing w:before="20" w:after="20" w:line="240" w:lineRule="auto"/>
              <w:jc w:val="left"/>
            </w:pPr>
            <w:r>
              <w:rPr>
                <w:rFonts w:ascii="Times New Roman" w:hAnsi="Times New Roman" w:eastAsia="宋体"/>
                <w:b w:val="0"/>
                <w:i w:val="0"/>
                <w:sz w:val="18"/>
              </w:rPr>
              <w:t>低碳优先 carbon_first</w:t>
            </w:r>
          </w:p>
        </w:tc>
        <w:tc>
          <w:tcPr>
            <w:tcW w:type="dxa" w:w="800"/>
            <w:vAlign w:val="center"/>
          </w:tcPr>
          <w:p>
            <w:pPr>
              <w:spacing w:before="20" w:after="20" w:line="240" w:lineRule="auto"/>
              <w:jc w:val="center"/>
            </w:pPr>
            <w:r>
              <w:rPr>
                <w:rFonts w:ascii="Times New Roman" w:hAnsi="Times New Roman" w:eastAsia="宋体"/>
                <w:b w:val="0"/>
                <w:i w:val="0"/>
                <w:sz w:val="18"/>
              </w:rPr>
              <w:t>0</w:t>
            </w:r>
          </w:p>
        </w:tc>
        <w:tc>
          <w:tcPr>
            <w:tcW w:type="dxa" w:w="1250"/>
            <w:vAlign w:val="center"/>
          </w:tcPr>
          <w:p>
            <w:pPr>
              <w:spacing w:before="20" w:after="20" w:line="240" w:lineRule="auto"/>
              <w:jc w:val="center"/>
            </w:pPr>
            <w:r>
              <w:rPr>
                <w:rFonts w:ascii="Times New Roman" w:hAnsi="Times New Roman" w:eastAsia="宋体"/>
                <w:b w:val="0"/>
                <w:i w:val="0"/>
                <w:sz w:val="18"/>
              </w:rPr>
              <w:t>-45 909.9</w:t>
            </w:r>
          </w:p>
        </w:tc>
        <w:tc>
          <w:tcPr>
            <w:tcW w:type="dxa" w:w="1100"/>
            <w:vAlign w:val="center"/>
          </w:tcPr>
          <w:p>
            <w:pPr>
              <w:spacing w:before="20" w:after="20" w:line="240" w:lineRule="auto"/>
              <w:jc w:val="center"/>
            </w:pPr>
            <w:r>
              <w:rPr>
                <w:rFonts w:ascii="Times New Roman" w:hAnsi="Times New Roman" w:eastAsia="宋体"/>
                <w:b w:val="0"/>
                <w:i w:val="0"/>
                <w:sz w:val="18"/>
              </w:rPr>
              <w:t>0</w:t>
            </w:r>
          </w:p>
        </w:tc>
        <w:tc>
          <w:tcPr>
            <w:tcW w:type="dxa" w:w="1000"/>
            <w:vAlign w:val="center"/>
          </w:tcPr>
          <w:p>
            <w:pPr>
              <w:spacing w:before="20" w:after="20" w:line="240" w:lineRule="auto"/>
              <w:jc w:val="center"/>
            </w:pPr>
            <w:r>
              <w:rPr>
                <w:rFonts w:ascii="Times New Roman" w:hAnsi="Times New Roman" w:eastAsia="宋体"/>
                <w:b w:val="0"/>
                <w:i w:val="0"/>
                <w:sz w:val="18"/>
              </w:rPr>
              <w:t>15.97</w:t>
            </w:r>
          </w:p>
        </w:tc>
        <w:tc>
          <w:tcPr>
            <w:tcW w:type="dxa" w:w="800"/>
            <w:vAlign w:val="center"/>
          </w:tcPr>
          <w:p>
            <w:pPr>
              <w:spacing w:before="20" w:after="20" w:line="240" w:lineRule="auto"/>
              <w:jc w:val="center"/>
            </w:pPr>
            <w:r>
              <w:rPr>
                <w:rFonts w:ascii="Times New Roman" w:hAnsi="Times New Roman" w:eastAsia="宋体"/>
                <w:b w:val="0"/>
                <w:i w:val="0"/>
                <w:sz w:val="18"/>
              </w:rPr>
              <w:t>0.968</w:t>
            </w:r>
          </w:p>
        </w:tc>
        <w:tc>
          <w:tcPr>
            <w:tcW w:type="dxa" w:w="1050"/>
            <w:vAlign w:val="center"/>
          </w:tcPr>
          <w:p>
            <w:pPr>
              <w:spacing w:before="20" w:after="20" w:line="240" w:lineRule="auto"/>
              <w:jc w:val="center"/>
            </w:pPr>
            <w:r>
              <w:rPr>
                <w:rFonts w:ascii="Times New Roman" w:hAnsi="Times New Roman" w:eastAsia="宋体"/>
                <w:b w:val="0"/>
                <w:i w:val="0"/>
                <w:sz w:val="18"/>
              </w:rPr>
              <w:t>69.6%</w:t>
            </w:r>
          </w:p>
        </w:tc>
        <w:tc>
          <w:tcPr>
            <w:tcW w:type="dxa" w:w="972"/>
            <w:vAlign w:val="center"/>
          </w:tcPr>
          <w:p>
            <w:pPr>
              <w:spacing w:before="20" w:after="20" w:line="240" w:lineRule="auto"/>
              <w:jc w:val="center"/>
            </w:pPr>
            <w:r>
              <w:rPr>
                <w:rFonts w:ascii="Times New Roman" w:hAnsi="Times New Roman" w:eastAsia="宋体"/>
                <w:b w:val="0"/>
                <w:i w:val="0"/>
                <w:sz w:val="18"/>
              </w:rPr>
              <w:t>-31.4</w:t>
            </w:r>
          </w:p>
        </w:tc>
      </w:tr>
      <w:tr>
        <w:tc>
          <w:tcPr>
            <w:tcW w:type="dxa" w:w="2100"/>
            <w:vAlign w:val="center"/>
          </w:tcPr>
          <w:p>
            <w:pPr>
              <w:spacing w:before="20" w:after="20" w:line="240" w:lineRule="auto"/>
              <w:jc w:val="left"/>
            </w:pPr>
            <w:r>
              <w:rPr>
                <w:rFonts w:ascii="Times New Roman" w:hAnsi="Times New Roman" w:eastAsia="宋体"/>
                <w:b w:val="0"/>
                <w:i w:val="0"/>
                <w:sz w:val="18"/>
              </w:rPr>
              <w:t>时延优先 latency_first</w:t>
            </w:r>
          </w:p>
        </w:tc>
        <w:tc>
          <w:tcPr>
            <w:tcW w:type="dxa" w:w="800"/>
            <w:vAlign w:val="center"/>
          </w:tcPr>
          <w:p>
            <w:pPr>
              <w:spacing w:before="20" w:after="20" w:line="240" w:lineRule="auto"/>
              <w:jc w:val="center"/>
            </w:pPr>
            <w:r>
              <w:rPr>
                <w:rFonts w:ascii="Times New Roman" w:hAnsi="Times New Roman" w:eastAsia="宋体"/>
                <w:b w:val="0"/>
                <w:i w:val="0"/>
                <w:sz w:val="18"/>
              </w:rPr>
              <w:t>0</w:t>
            </w:r>
          </w:p>
        </w:tc>
        <w:tc>
          <w:tcPr>
            <w:tcW w:type="dxa" w:w="1250"/>
            <w:vAlign w:val="center"/>
          </w:tcPr>
          <w:p>
            <w:pPr>
              <w:spacing w:before="20" w:after="20" w:line="240" w:lineRule="auto"/>
              <w:jc w:val="center"/>
            </w:pPr>
            <w:r>
              <w:rPr>
                <w:rFonts w:ascii="Times New Roman" w:hAnsi="Times New Roman" w:eastAsia="宋体"/>
                <w:b w:val="0"/>
                <w:i w:val="0"/>
                <w:sz w:val="18"/>
              </w:rPr>
              <w:t>-45 915.6</w:t>
            </w:r>
          </w:p>
        </w:tc>
        <w:tc>
          <w:tcPr>
            <w:tcW w:type="dxa" w:w="1100"/>
            <w:vAlign w:val="center"/>
          </w:tcPr>
          <w:p>
            <w:pPr>
              <w:spacing w:before="20" w:after="20" w:line="240" w:lineRule="auto"/>
              <w:jc w:val="center"/>
            </w:pPr>
            <w:r>
              <w:rPr>
                <w:rFonts w:ascii="Times New Roman" w:hAnsi="Times New Roman" w:eastAsia="宋体"/>
                <w:b w:val="0"/>
                <w:i w:val="0"/>
                <w:sz w:val="18"/>
              </w:rPr>
              <w:t>0</w:t>
            </w:r>
          </w:p>
        </w:tc>
        <w:tc>
          <w:tcPr>
            <w:tcW w:type="dxa" w:w="1000"/>
            <w:vAlign w:val="center"/>
          </w:tcPr>
          <w:p>
            <w:pPr>
              <w:spacing w:before="20" w:after="20" w:line="240" w:lineRule="auto"/>
              <w:jc w:val="center"/>
            </w:pPr>
            <w:r>
              <w:rPr>
                <w:rFonts w:ascii="Times New Roman" w:hAnsi="Times New Roman" w:eastAsia="宋体"/>
                <w:b w:val="0"/>
                <w:i w:val="0"/>
                <w:sz w:val="18"/>
              </w:rPr>
              <w:t>5.33</w:t>
            </w:r>
          </w:p>
        </w:tc>
        <w:tc>
          <w:tcPr>
            <w:tcW w:type="dxa" w:w="800"/>
            <w:vAlign w:val="center"/>
          </w:tcPr>
          <w:p>
            <w:pPr>
              <w:spacing w:before="20" w:after="20" w:line="240" w:lineRule="auto"/>
              <w:jc w:val="center"/>
            </w:pPr>
            <w:r>
              <w:rPr>
                <w:rFonts w:ascii="Times New Roman" w:hAnsi="Times New Roman" w:eastAsia="宋体"/>
                <w:b w:val="0"/>
                <w:i w:val="0"/>
                <w:sz w:val="18"/>
              </w:rPr>
              <w:t>0.989</w:t>
            </w:r>
          </w:p>
        </w:tc>
        <w:tc>
          <w:tcPr>
            <w:tcW w:type="dxa" w:w="1050"/>
            <w:vAlign w:val="center"/>
          </w:tcPr>
          <w:p>
            <w:pPr>
              <w:spacing w:before="20" w:after="20" w:line="240" w:lineRule="auto"/>
              <w:jc w:val="center"/>
            </w:pPr>
            <w:r>
              <w:rPr>
                <w:rFonts w:ascii="Times New Roman" w:hAnsi="Times New Roman" w:eastAsia="宋体"/>
                <w:b w:val="0"/>
                <w:i w:val="0"/>
                <w:sz w:val="18"/>
              </w:rPr>
              <w:t>69.4%</w:t>
            </w:r>
          </w:p>
        </w:tc>
        <w:tc>
          <w:tcPr>
            <w:tcW w:type="dxa" w:w="972"/>
            <w:vAlign w:val="center"/>
          </w:tcPr>
          <w:p>
            <w:pPr>
              <w:spacing w:before="20" w:after="20" w:line="240" w:lineRule="auto"/>
              <w:jc w:val="center"/>
            </w:pPr>
            <w:r>
              <w:rPr>
                <w:rFonts w:ascii="Times New Roman" w:hAnsi="Times New Roman" w:eastAsia="宋体"/>
                <w:b w:val="0"/>
                <w:i w:val="0"/>
                <w:sz w:val="18"/>
              </w:rPr>
              <w:t>-186.3</w:t>
            </w:r>
          </w:p>
        </w:tc>
      </w:tr>
      <w:tr>
        <w:tc>
          <w:tcPr>
            <w:tcW w:type="dxa" w:w="2100"/>
            <w:vAlign w:val="center"/>
          </w:tcPr>
          <w:p>
            <w:pPr>
              <w:spacing w:before="20" w:after="20" w:line="240" w:lineRule="auto"/>
              <w:jc w:val="left"/>
            </w:pPr>
            <w:r>
              <w:rPr>
                <w:rFonts w:ascii="Times New Roman" w:hAnsi="Times New Roman" w:eastAsia="宋体"/>
                <w:b w:val="0"/>
                <w:i w:val="0"/>
                <w:sz w:val="18"/>
              </w:rPr>
              <w:t>新能源优先 renewable_first</w:t>
            </w:r>
          </w:p>
        </w:tc>
        <w:tc>
          <w:tcPr>
            <w:tcW w:type="dxa" w:w="800"/>
            <w:vAlign w:val="center"/>
          </w:tcPr>
          <w:p>
            <w:pPr>
              <w:spacing w:before="20" w:after="20" w:line="240" w:lineRule="auto"/>
              <w:jc w:val="center"/>
            </w:pPr>
            <w:r>
              <w:rPr>
                <w:rFonts w:ascii="Times New Roman" w:hAnsi="Times New Roman" w:eastAsia="宋体"/>
                <w:b w:val="0"/>
                <w:i w:val="0"/>
                <w:sz w:val="18"/>
              </w:rPr>
              <w:t>0</w:t>
            </w:r>
          </w:p>
        </w:tc>
        <w:tc>
          <w:tcPr>
            <w:tcW w:type="dxa" w:w="1250"/>
            <w:vAlign w:val="center"/>
          </w:tcPr>
          <w:p>
            <w:pPr>
              <w:spacing w:before="20" w:after="20" w:line="240" w:lineRule="auto"/>
              <w:jc w:val="center"/>
            </w:pPr>
            <w:r>
              <w:rPr>
                <w:rFonts w:ascii="Times New Roman" w:hAnsi="Times New Roman" w:eastAsia="宋体"/>
                <w:b w:val="0"/>
                <w:i w:val="0"/>
                <w:sz w:val="18"/>
              </w:rPr>
              <w:t>-45 916.7</w:t>
            </w:r>
          </w:p>
        </w:tc>
        <w:tc>
          <w:tcPr>
            <w:tcW w:type="dxa" w:w="1100"/>
            <w:vAlign w:val="center"/>
          </w:tcPr>
          <w:p>
            <w:pPr>
              <w:spacing w:before="20" w:after="20" w:line="240" w:lineRule="auto"/>
              <w:jc w:val="center"/>
            </w:pPr>
            <w:r>
              <w:rPr>
                <w:rFonts w:ascii="Times New Roman" w:hAnsi="Times New Roman" w:eastAsia="宋体"/>
                <w:b w:val="0"/>
                <w:i w:val="0"/>
                <w:sz w:val="18"/>
              </w:rPr>
              <w:t>0</w:t>
            </w:r>
          </w:p>
        </w:tc>
        <w:tc>
          <w:tcPr>
            <w:tcW w:type="dxa" w:w="1000"/>
            <w:vAlign w:val="center"/>
          </w:tcPr>
          <w:p>
            <w:pPr>
              <w:spacing w:before="20" w:after="20" w:line="240" w:lineRule="auto"/>
              <w:jc w:val="center"/>
            </w:pPr>
            <w:r>
              <w:rPr>
                <w:rFonts w:ascii="Times New Roman" w:hAnsi="Times New Roman" w:eastAsia="宋体"/>
                <w:b w:val="0"/>
                <w:i w:val="0"/>
                <w:sz w:val="18"/>
              </w:rPr>
              <w:t>24.44</w:t>
            </w:r>
          </w:p>
        </w:tc>
        <w:tc>
          <w:tcPr>
            <w:tcW w:type="dxa" w:w="800"/>
            <w:vAlign w:val="center"/>
          </w:tcPr>
          <w:p>
            <w:pPr>
              <w:spacing w:before="20" w:after="20" w:line="240" w:lineRule="auto"/>
              <w:jc w:val="center"/>
            </w:pPr>
            <w:r>
              <w:rPr>
                <w:rFonts w:ascii="Times New Roman" w:hAnsi="Times New Roman" w:eastAsia="宋体"/>
                <w:b w:val="0"/>
                <w:i w:val="0"/>
                <w:sz w:val="18"/>
              </w:rPr>
              <w:t>0.951</w:t>
            </w:r>
          </w:p>
        </w:tc>
        <w:tc>
          <w:tcPr>
            <w:tcW w:type="dxa" w:w="1050"/>
            <w:vAlign w:val="center"/>
          </w:tcPr>
          <w:p>
            <w:pPr>
              <w:spacing w:before="20" w:after="20" w:line="240" w:lineRule="auto"/>
              <w:jc w:val="center"/>
            </w:pPr>
            <w:r>
              <w:rPr>
                <w:rFonts w:ascii="Times New Roman" w:hAnsi="Times New Roman" w:eastAsia="宋体"/>
                <w:b w:val="0"/>
                <w:i w:val="0"/>
                <w:sz w:val="18"/>
              </w:rPr>
              <w:t>69.6%</w:t>
            </w:r>
          </w:p>
        </w:tc>
        <w:tc>
          <w:tcPr>
            <w:tcW w:type="dxa" w:w="972"/>
            <w:vAlign w:val="center"/>
          </w:tcPr>
          <w:p>
            <w:pPr>
              <w:spacing w:before="20" w:after="20" w:line="240" w:lineRule="auto"/>
              <w:jc w:val="center"/>
            </w:pPr>
            <w:r>
              <w:rPr>
                <w:rFonts w:ascii="Times New Roman" w:hAnsi="Times New Roman" w:eastAsia="宋体"/>
                <w:b w:val="0"/>
                <w:i w:val="0"/>
                <w:sz w:val="18"/>
              </w:rPr>
              <w:t>-180.0</w:t>
            </w:r>
          </w:p>
        </w:tc>
      </w:tr>
      <w:tr>
        <w:tc>
          <w:tcPr>
            <w:tcW w:type="dxa" w:w="2100"/>
            <w:vAlign w:val="center"/>
          </w:tcPr>
          <w:p>
            <w:pPr>
              <w:spacing w:before="20" w:after="20" w:line="240" w:lineRule="auto"/>
              <w:jc w:val="left"/>
            </w:pPr>
            <w:r>
              <w:rPr>
                <w:rFonts w:ascii="Times New Roman" w:hAnsi="Times New Roman" w:eastAsia="宋体"/>
                <w:b w:val="0"/>
                <w:i w:val="0"/>
                <w:sz w:val="18"/>
              </w:rPr>
              <w:t>削峰优先 peak_first</w:t>
            </w:r>
          </w:p>
        </w:tc>
        <w:tc>
          <w:tcPr>
            <w:tcW w:type="dxa" w:w="800"/>
            <w:vAlign w:val="center"/>
          </w:tcPr>
          <w:p>
            <w:pPr>
              <w:spacing w:before="20" w:after="20" w:line="240" w:lineRule="auto"/>
              <w:jc w:val="center"/>
            </w:pPr>
            <w:r>
              <w:rPr>
                <w:rFonts w:ascii="Times New Roman" w:hAnsi="Times New Roman" w:eastAsia="宋体"/>
                <w:b w:val="0"/>
                <w:i w:val="0"/>
                <w:sz w:val="18"/>
              </w:rPr>
              <w:t>0</w:t>
            </w:r>
          </w:p>
        </w:tc>
        <w:tc>
          <w:tcPr>
            <w:tcW w:type="dxa" w:w="1250"/>
            <w:vAlign w:val="center"/>
          </w:tcPr>
          <w:p>
            <w:pPr>
              <w:spacing w:before="20" w:after="20" w:line="240" w:lineRule="auto"/>
              <w:jc w:val="center"/>
            </w:pPr>
            <w:r>
              <w:rPr>
                <w:rFonts w:ascii="Times New Roman" w:hAnsi="Times New Roman" w:eastAsia="宋体"/>
                <w:b w:val="0"/>
                <w:i w:val="0"/>
                <w:sz w:val="18"/>
              </w:rPr>
              <w:t>-45 904.2</w:t>
            </w:r>
          </w:p>
        </w:tc>
        <w:tc>
          <w:tcPr>
            <w:tcW w:type="dxa" w:w="1100"/>
            <w:vAlign w:val="center"/>
          </w:tcPr>
          <w:p>
            <w:pPr>
              <w:spacing w:before="20" w:after="20" w:line="240" w:lineRule="auto"/>
              <w:jc w:val="center"/>
            </w:pPr>
            <w:r>
              <w:rPr>
                <w:rFonts w:ascii="Times New Roman" w:hAnsi="Times New Roman" w:eastAsia="宋体"/>
                <w:b w:val="0"/>
                <w:i w:val="0"/>
                <w:sz w:val="18"/>
              </w:rPr>
              <w:t>0</w:t>
            </w:r>
          </w:p>
        </w:tc>
        <w:tc>
          <w:tcPr>
            <w:tcW w:type="dxa" w:w="1000"/>
            <w:vAlign w:val="center"/>
          </w:tcPr>
          <w:p>
            <w:pPr>
              <w:spacing w:before="20" w:after="20" w:line="240" w:lineRule="auto"/>
              <w:jc w:val="center"/>
            </w:pPr>
            <w:r>
              <w:rPr>
                <w:rFonts w:ascii="Times New Roman" w:hAnsi="Times New Roman" w:eastAsia="宋体"/>
                <w:b w:val="0"/>
                <w:i w:val="0"/>
                <w:sz w:val="18"/>
              </w:rPr>
              <w:t>14.53</w:t>
            </w:r>
          </w:p>
        </w:tc>
        <w:tc>
          <w:tcPr>
            <w:tcW w:type="dxa" w:w="800"/>
            <w:vAlign w:val="center"/>
          </w:tcPr>
          <w:p>
            <w:pPr>
              <w:spacing w:before="20" w:after="20" w:line="240" w:lineRule="auto"/>
              <w:jc w:val="center"/>
            </w:pPr>
            <w:r>
              <w:rPr>
                <w:rFonts w:ascii="Times New Roman" w:hAnsi="Times New Roman" w:eastAsia="宋体"/>
                <w:b w:val="0"/>
                <w:i w:val="0"/>
                <w:sz w:val="18"/>
              </w:rPr>
              <w:t>0.971</w:t>
            </w:r>
          </w:p>
        </w:tc>
        <w:tc>
          <w:tcPr>
            <w:tcW w:type="dxa" w:w="1050"/>
            <w:vAlign w:val="center"/>
          </w:tcPr>
          <w:p>
            <w:pPr>
              <w:spacing w:before="20" w:after="20" w:line="240" w:lineRule="auto"/>
              <w:jc w:val="center"/>
            </w:pPr>
            <w:r>
              <w:rPr>
                <w:rFonts w:ascii="Times New Roman" w:hAnsi="Times New Roman" w:eastAsia="宋体"/>
                <w:b w:val="0"/>
                <w:i w:val="0"/>
                <w:sz w:val="18"/>
              </w:rPr>
              <w:t>69.6%</w:t>
            </w:r>
          </w:p>
        </w:tc>
        <w:tc>
          <w:tcPr>
            <w:tcW w:type="dxa" w:w="972"/>
            <w:vAlign w:val="center"/>
          </w:tcPr>
          <w:p>
            <w:pPr>
              <w:spacing w:before="20" w:after="20" w:line="240" w:lineRule="auto"/>
              <w:jc w:val="center"/>
            </w:pPr>
            <w:r>
              <w:rPr>
                <w:rFonts w:ascii="Times New Roman" w:hAnsi="Times New Roman" w:eastAsia="宋体"/>
                <w:b w:val="0"/>
                <w:i w:val="0"/>
                <w:sz w:val="18"/>
              </w:rPr>
              <w:t>-384.4</w:t>
            </w:r>
          </w:p>
        </w:tc>
      </w:tr>
      <w:tr>
        <w:tc>
          <w:tcPr>
            <w:tcW w:type="dxa" w:w="2100"/>
            <w:vAlign w:val="center"/>
          </w:tcPr>
          <w:p>
            <w:pPr>
              <w:spacing w:before="20" w:after="20" w:line="240" w:lineRule="auto"/>
              <w:jc w:val="left"/>
            </w:pPr>
            <w:r>
              <w:rPr>
                <w:rFonts w:ascii="Times New Roman" w:hAnsi="Times New Roman" w:eastAsia="宋体"/>
                <w:b w:val="0"/>
                <w:i w:val="0"/>
                <w:sz w:val="18"/>
              </w:rPr>
              <w:t>负载均衡 load_balanced</w:t>
            </w:r>
          </w:p>
        </w:tc>
        <w:tc>
          <w:tcPr>
            <w:tcW w:type="dxa" w:w="800"/>
            <w:vAlign w:val="center"/>
          </w:tcPr>
          <w:p>
            <w:pPr>
              <w:spacing w:before="20" w:after="20" w:line="240" w:lineRule="auto"/>
              <w:jc w:val="center"/>
            </w:pPr>
            <w:r>
              <w:rPr>
                <w:rFonts w:ascii="Times New Roman" w:hAnsi="Times New Roman" w:eastAsia="宋体"/>
                <w:b w:val="0"/>
                <w:i w:val="0"/>
                <w:sz w:val="18"/>
              </w:rPr>
              <w:t>0</w:t>
            </w:r>
          </w:p>
        </w:tc>
        <w:tc>
          <w:tcPr>
            <w:tcW w:type="dxa" w:w="1250"/>
            <w:vAlign w:val="center"/>
          </w:tcPr>
          <w:p>
            <w:pPr>
              <w:spacing w:before="20" w:after="20" w:line="240" w:lineRule="auto"/>
              <w:jc w:val="center"/>
            </w:pPr>
            <w:r>
              <w:rPr>
                <w:rFonts w:ascii="Times New Roman" w:hAnsi="Times New Roman" w:eastAsia="宋体"/>
                <w:b w:val="0"/>
                <w:i w:val="0"/>
                <w:sz w:val="18"/>
              </w:rPr>
              <w:t>-45 911.2</w:t>
            </w:r>
          </w:p>
        </w:tc>
        <w:tc>
          <w:tcPr>
            <w:tcW w:type="dxa" w:w="1100"/>
            <w:vAlign w:val="center"/>
          </w:tcPr>
          <w:p>
            <w:pPr>
              <w:spacing w:before="20" w:after="20" w:line="240" w:lineRule="auto"/>
              <w:jc w:val="center"/>
            </w:pPr>
            <w:r>
              <w:rPr>
                <w:rFonts w:ascii="Times New Roman" w:hAnsi="Times New Roman" w:eastAsia="宋体"/>
                <w:b w:val="0"/>
                <w:i w:val="0"/>
                <w:sz w:val="18"/>
              </w:rPr>
              <w:t>0</w:t>
            </w:r>
          </w:p>
        </w:tc>
        <w:tc>
          <w:tcPr>
            <w:tcW w:type="dxa" w:w="1000"/>
            <w:vAlign w:val="center"/>
          </w:tcPr>
          <w:p>
            <w:pPr>
              <w:spacing w:before="20" w:after="20" w:line="240" w:lineRule="auto"/>
              <w:jc w:val="center"/>
            </w:pPr>
            <w:r>
              <w:rPr>
                <w:rFonts w:ascii="Times New Roman" w:hAnsi="Times New Roman" w:eastAsia="宋体"/>
                <w:b w:val="0"/>
                <w:i w:val="0"/>
                <w:sz w:val="18"/>
              </w:rPr>
              <w:t>18.17</w:t>
            </w:r>
          </w:p>
        </w:tc>
        <w:tc>
          <w:tcPr>
            <w:tcW w:type="dxa" w:w="800"/>
            <w:vAlign w:val="center"/>
          </w:tcPr>
          <w:p>
            <w:pPr>
              <w:spacing w:before="20" w:after="20" w:line="240" w:lineRule="auto"/>
              <w:jc w:val="center"/>
            </w:pPr>
            <w:r>
              <w:rPr>
                <w:rFonts w:ascii="Times New Roman" w:hAnsi="Times New Roman" w:eastAsia="宋体"/>
                <w:b w:val="0"/>
                <w:i w:val="0"/>
                <w:sz w:val="18"/>
              </w:rPr>
              <w:t>0.964</w:t>
            </w:r>
          </w:p>
        </w:tc>
        <w:tc>
          <w:tcPr>
            <w:tcW w:type="dxa" w:w="1050"/>
            <w:vAlign w:val="center"/>
          </w:tcPr>
          <w:p>
            <w:pPr>
              <w:spacing w:before="20" w:after="20" w:line="240" w:lineRule="auto"/>
              <w:jc w:val="center"/>
            </w:pPr>
            <w:r>
              <w:rPr>
                <w:rFonts w:ascii="Times New Roman" w:hAnsi="Times New Roman" w:eastAsia="宋体"/>
                <w:b w:val="0"/>
                <w:i w:val="0"/>
                <w:sz w:val="18"/>
              </w:rPr>
              <w:t>69.6%</w:t>
            </w:r>
          </w:p>
        </w:tc>
        <w:tc>
          <w:tcPr>
            <w:tcW w:type="dxa" w:w="972"/>
            <w:vAlign w:val="center"/>
          </w:tcPr>
          <w:p>
            <w:pPr>
              <w:spacing w:before="20" w:after="20" w:line="240" w:lineRule="auto"/>
              <w:jc w:val="center"/>
            </w:pPr>
            <w:r>
              <w:rPr>
                <w:rFonts w:ascii="Times New Roman" w:hAnsi="Times New Roman" w:eastAsia="宋体"/>
                <w:b w:val="0"/>
                <w:i w:val="0"/>
                <w:sz w:val="18"/>
              </w:rPr>
              <w:t>-393.8</w:t>
            </w:r>
          </w:p>
        </w:tc>
      </w:tr>
    </w:tbl>
    <w:p>
      <w:pPr>
        <w:spacing w:after="0" w:line="240" w:lineRule="auto"/>
        <w:ind w:firstLine="480"/>
      </w:pPr>
      <w:r>
        <w:rPr>
          <w:rFonts w:ascii="Times New Roman" w:hAnsi="Times New Roman" w:eastAsia="宋体"/>
          <w:b w:val="0"/>
          <w:i w:val="0"/>
          <w:sz w:val="24"/>
        </w:rPr>
        <w:t>多目标权衡关系（图 6）表明：时延优先策略迁移比例仅 1.5%、平均时延 5.33 ms、QoS 最高，但新能源利用相对较少；新能源优先策略将 48.2% 的任务迁往西部，利用率最高但时延升至 24.44 ms、QoS 降至 0.951；削峰优先与负载均衡策略的峰值净购电最优（约 -384/-394 MW），且与综合权衡的成本差异不足 7 万元，说明本数据条件下削减高峰购电与最大化新能源外送收益方向一致。</w:t>
      </w:r>
    </w:p>
    <w:p>
      <w:pPr>
        <w:spacing w:before="120"/>
        <w:jc w:val="center"/>
      </w:pPr>
      <w:r>
        <w:drawing>
          <wp:inline xmlns:a="http://schemas.openxmlformats.org/drawingml/2006/main" xmlns:pic="http://schemas.openxmlformats.org/drawingml/2006/picture">
            <wp:extent cx="4500000" cy="3471429"/>
            <wp:docPr id="6" name="Picture 6" descr="问题四多目标权衡散点图" title="问题四多目标权衡散点图"/>
            <wp:cNvGraphicFramePr>
              <a:graphicFrameLocks noChangeAspect="1"/>
            </wp:cNvGraphicFramePr>
            <a:graphic>
              <a:graphicData uri="http://schemas.openxmlformats.org/drawingml/2006/picture">
                <pic:pic>
                  <pic:nvPicPr>
                    <pic:cNvPr id="0" name="pareto_scatter.png"/>
                    <pic:cNvPicPr/>
                  </pic:nvPicPr>
                  <pic:blipFill>
                    <a:blip r:embed="rId14"/>
                    <a:stretch>
                      <a:fillRect/>
                    </a:stretch>
                  </pic:blipFill>
                  <pic:spPr>
                    <a:xfrm>
                      <a:off x="0" y="0"/>
                      <a:ext cx="4500000" cy="3471429"/>
                    </a:xfrm>
                    <a:prstGeom prst="rect"/>
                  </pic:spPr>
                </pic:pic>
              </a:graphicData>
            </a:graphic>
          </wp:inline>
        </w:drawing>
      </w:r>
    </w:p>
    <w:p>
      <w:pPr>
        <w:spacing w:after="200"/>
        <w:jc w:val="center"/>
      </w:pPr>
      <w:r>
        <w:rPr>
          <w:rFonts w:ascii="Times New Roman" w:hAnsi="Times New Roman" w:eastAsia="宋体"/>
          <w:b/>
          <w:i w:val="0"/>
          <w:sz w:val="21"/>
        </w:rPr>
        <w:t>图 6  问题四多目标权衡散点图</w:t>
      </w:r>
    </w:p>
    <w:p>
      <w:pPr>
        <w:pStyle w:val="Heading3"/>
      </w:pPr>
      <w:r>
        <w:t>5.4.3 场景对比分析</w:t>
      </w:r>
    </w:p>
    <w:p>
      <w:pPr>
        <w:spacing w:after="0" w:line="240" w:lineRule="auto"/>
        <w:ind w:firstLine="480"/>
      </w:pPr>
      <w:r>
        <w:rPr>
          <w:rFonts w:ascii="Times New Roman" w:hAnsi="Times New Roman" w:eastAsia="宋体"/>
          <w:b w:val="0"/>
          <w:i w:val="0"/>
          <w:sz w:val="24"/>
        </w:rPr>
        <w:t>碳约束场景复用综合权衡调度、仅重解能源层，考察碳预算对能源运行的影响。基准（新能源 1.0×）下四种碳上限（0、200、1 000、5 000 tCO₂）的实际碳排均为 0，净运行成本与新能源利用率几乎不变（表 12），碳约束均为非紧约束，说明“零购电”运行点已天然满足任意不高于 5 000 tCO₂ 的碳预算。而在新能源出力减少 20% 的场景下，系统存在约 1 630 tCO₂ 的碳排可行下限：碳上限 1 000/200 tCO₂ 时输出最低碳解（碳排 1 629.8 tCO₂），碳上限 5 000 tCO₂ 时碳排升至 1 658.8 tCO₂、成本略降，低于下限则判定不可满足。这说明碳约束机制在新能源不足、购电无法归零的场景下才会发挥实际约束作用。</w:t>
      </w:r>
    </w:p>
    <w:p>
      <w:pPr>
        <w:spacing w:before="160" w:after="60"/>
        <w:jc w:val="center"/>
      </w:pPr>
      <w:r>
        <w:rPr>
          <w:rFonts w:ascii="Times New Roman" w:hAnsi="Times New Roman" w:eastAsia="宋体"/>
          <w:b/>
          <w:i w:val="0"/>
          <w:sz w:val="21"/>
        </w:rPr>
        <w:t>表 12  全局碳约束场景（复用 balanced 调度，仅重解能源层）</w:t>
      </w:r>
    </w:p>
    <w:tbl>
      <w:tblPr>
        <w:tblW w:type="dxa" w:w="9072"/>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firstColumn="1" w:firstRow="1" w:lastColumn="0" w:lastRow="0" w:noHBand="0" w:noVBand="1" w:val="04A0"/>
        <w:tblInd w:w="120" w:type="dxa"/>
        <w:tblCellMar>
          <w:top w:w="40" w:type="dxa"/>
          <w:start w:w="80" w:type="dxa"/>
          <w:bottom w:w="40" w:type="dxa"/>
          <w:end w:w="80" w:type="dxa"/>
        </w:tblCellMar>
      </w:tblPr>
      <w:tblGrid>
        <w:gridCol w:w="1900"/>
        <w:gridCol w:w="1700"/>
        <w:gridCol w:w="2100"/>
        <w:gridCol w:w="1700"/>
        <w:gridCol w:w="1672"/>
      </w:tblGrid>
      <w:tr>
        <w:trPr>
          <w:tblHeader/>
        </w:trPr>
        <w:tc>
          <w:tcPr>
            <w:tcW w:type="dxa" w:w="19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碳上限（tCO₂）</w:t>
            </w:r>
          </w:p>
        </w:tc>
        <w:tc>
          <w:tcPr>
            <w:tcW w:type="dxa" w:w="17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实际碳排（tCO₂）</w:t>
            </w:r>
          </w:p>
        </w:tc>
        <w:tc>
          <w:tcPr>
            <w:tcW w:type="dxa" w:w="21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净运行成本（万元）</w:t>
            </w:r>
          </w:p>
        </w:tc>
        <w:tc>
          <w:tcPr>
            <w:tcW w:type="dxa" w:w="17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新能源利用率</w:t>
            </w:r>
          </w:p>
        </w:tc>
        <w:tc>
          <w:tcPr>
            <w:tcW w:type="dxa" w:w="1672"/>
            <w:vAlign w:val="center"/>
            <w:tcBorders>
              <w:bottom w:val="single" w:sz="6" w:space="0" w:color="000000"/>
            </w:tcBorders>
          </w:tcPr>
          <w:p>
            <w:pPr>
              <w:spacing w:before="20" w:after="20" w:line="240" w:lineRule="auto"/>
              <w:jc w:val="center"/>
            </w:pPr>
            <w:r>
              <w:rPr>
                <w:rFonts w:ascii="Times New Roman" w:hAnsi="Times New Roman" w:eastAsia="宋体"/>
                <w:b/>
                <w:i w:val="0"/>
                <w:sz w:val="18"/>
              </w:rPr>
              <w:t>峰值净购电（MW）</w:t>
            </w:r>
          </w:p>
        </w:tc>
      </w:tr>
      <w:tr>
        <w:tc>
          <w:tcPr>
            <w:tcW w:type="dxa" w:w="1900"/>
            <w:vAlign w:val="center"/>
          </w:tcPr>
          <w:p>
            <w:pPr>
              <w:spacing w:before="20" w:after="20" w:line="240" w:lineRule="auto"/>
              <w:jc w:val="left"/>
            </w:pPr>
            <w:r>
              <w:rPr>
                <w:rFonts w:ascii="Times New Roman" w:hAnsi="Times New Roman" w:eastAsia="宋体"/>
                <w:b w:val="0"/>
                <w:i w:val="0"/>
                <w:sz w:val="18"/>
              </w:rPr>
              <w:t>基准 1.0×：0</w:t>
            </w:r>
          </w:p>
        </w:tc>
        <w:tc>
          <w:tcPr>
            <w:tcW w:type="dxa" w:w="1700"/>
            <w:vAlign w:val="center"/>
          </w:tcPr>
          <w:p>
            <w:pPr>
              <w:spacing w:before="20" w:after="20" w:line="240" w:lineRule="auto"/>
              <w:jc w:val="center"/>
            </w:pPr>
            <w:r>
              <w:rPr>
                <w:rFonts w:ascii="Times New Roman" w:hAnsi="Times New Roman" w:eastAsia="宋体"/>
                <w:b w:val="0"/>
                <w:i w:val="0"/>
                <w:sz w:val="18"/>
              </w:rPr>
              <w:t>0</w:t>
            </w:r>
          </w:p>
        </w:tc>
        <w:tc>
          <w:tcPr>
            <w:tcW w:type="dxa" w:w="2100"/>
            <w:vAlign w:val="center"/>
          </w:tcPr>
          <w:p>
            <w:pPr>
              <w:spacing w:before="20" w:after="20" w:line="240" w:lineRule="auto"/>
              <w:jc w:val="center"/>
            </w:pPr>
            <w:r>
              <w:rPr>
                <w:rFonts w:ascii="Times New Roman" w:hAnsi="Times New Roman" w:eastAsia="宋体"/>
                <w:b w:val="0"/>
                <w:i w:val="0"/>
                <w:sz w:val="18"/>
              </w:rPr>
              <w:t>-45 904.0</w:t>
            </w:r>
          </w:p>
        </w:tc>
        <w:tc>
          <w:tcPr>
            <w:tcW w:type="dxa" w:w="1700"/>
            <w:vAlign w:val="center"/>
          </w:tcPr>
          <w:p>
            <w:pPr>
              <w:spacing w:before="20" w:after="20" w:line="240" w:lineRule="auto"/>
              <w:jc w:val="center"/>
            </w:pPr>
            <w:r>
              <w:rPr>
                <w:rFonts w:ascii="Times New Roman" w:hAnsi="Times New Roman" w:eastAsia="宋体"/>
                <w:b w:val="0"/>
                <w:i w:val="0"/>
                <w:sz w:val="18"/>
              </w:rPr>
              <w:t>69.6%</w:t>
            </w:r>
          </w:p>
        </w:tc>
        <w:tc>
          <w:tcPr>
            <w:tcW w:type="dxa" w:w="1672"/>
            <w:vAlign w:val="center"/>
          </w:tcPr>
          <w:p>
            <w:pPr>
              <w:spacing w:before="20" w:after="20" w:line="240" w:lineRule="auto"/>
              <w:jc w:val="center"/>
            </w:pPr>
            <w:r>
              <w:rPr>
                <w:rFonts w:ascii="Times New Roman" w:hAnsi="Times New Roman" w:eastAsia="宋体"/>
                <w:b w:val="0"/>
                <w:i w:val="0"/>
                <w:sz w:val="18"/>
              </w:rPr>
              <w:t>-390.4</w:t>
            </w:r>
          </w:p>
        </w:tc>
      </w:tr>
      <w:tr>
        <w:tc>
          <w:tcPr>
            <w:tcW w:type="dxa" w:w="1900"/>
            <w:vAlign w:val="center"/>
          </w:tcPr>
          <w:p>
            <w:pPr>
              <w:spacing w:before="20" w:after="20" w:line="240" w:lineRule="auto"/>
              <w:jc w:val="left"/>
            </w:pPr>
            <w:r>
              <w:rPr>
                <w:rFonts w:ascii="Times New Roman" w:hAnsi="Times New Roman" w:eastAsia="宋体"/>
                <w:b w:val="0"/>
                <w:i w:val="0"/>
                <w:sz w:val="18"/>
              </w:rPr>
              <w:t>基准 1.0×：200</w:t>
            </w:r>
          </w:p>
        </w:tc>
        <w:tc>
          <w:tcPr>
            <w:tcW w:type="dxa" w:w="1700"/>
            <w:vAlign w:val="center"/>
          </w:tcPr>
          <w:p>
            <w:pPr>
              <w:spacing w:before="20" w:after="20" w:line="240" w:lineRule="auto"/>
              <w:jc w:val="center"/>
            </w:pPr>
            <w:r>
              <w:rPr>
                <w:rFonts w:ascii="Times New Roman" w:hAnsi="Times New Roman" w:eastAsia="宋体"/>
                <w:b w:val="0"/>
                <w:i w:val="0"/>
                <w:sz w:val="18"/>
              </w:rPr>
              <w:t>0</w:t>
            </w:r>
          </w:p>
        </w:tc>
        <w:tc>
          <w:tcPr>
            <w:tcW w:type="dxa" w:w="2100"/>
            <w:vAlign w:val="center"/>
          </w:tcPr>
          <w:p>
            <w:pPr>
              <w:spacing w:before="20" w:after="20" w:line="240" w:lineRule="auto"/>
              <w:jc w:val="center"/>
            </w:pPr>
            <w:r>
              <w:rPr>
                <w:rFonts w:ascii="Times New Roman" w:hAnsi="Times New Roman" w:eastAsia="宋体"/>
                <w:b w:val="0"/>
                <w:i w:val="0"/>
                <w:sz w:val="18"/>
              </w:rPr>
              <w:t>-45 904.0</w:t>
            </w:r>
          </w:p>
        </w:tc>
        <w:tc>
          <w:tcPr>
            <w:tcW w:type="dxa" w:w="1700"/>
            <w:vAlign w:val="center"/>
          </w:tcPr>
          <w:p>
            <w:pPr>
              <w:spacing w:before="20" w:after="20" w:line="240" w:lineRule="auto"/>
              <w:jc w:val="center"/>
            </w:pPr>
            <w:r>
              <w:rPr>
                <w:rFonts w:ascii="Times New Roman" w:hAnsi="Times New Roman" w:eastAsia="宋体"/>
                <w:b w:val="0"/>
                <w:i w:val="0"/>
                <w:sz w:val="18"/>
              </w:rPr>
              <w:t>69.6%</w:t>
            </w:r>
          </w:p>
        </w:tc>
        <w:tc>
          <w:tcPr>
            <w:tcW w:type="dxa" w:w="1672"/>
            <w:vAlign w:val="center"/>
          </w:tcPr>
          <w:p>
            <w:pPr>
              <w:spacing w:before="20" w:after="20" w:line="240" w:lineRule="auto"/>
              <w:jc w:val="center"/>
            </w:pPr>
            <w:r>
              <w:rPr>
                <w:rFonts w:ascii="Times New Roman" w:hAnsi="Times New Roman" w:eastAsia="宋体"/>
                <w:b w:val="0"/>
                <w:i w:val="0"/>
                <w:sz w:val="18"/>
              </w:rPr>
              <w:t>-390.4</w:t>
            </w:r>
          </w:p>
        </w:tc>
      </w:tr>
      <w:tr>
        <w:tc>
          <w:tcPr>
            <w:tcW w:type="dxa" w:w="1900"/>
            <w:vAlign w:val="center"/>
          </w:tcPr>
          <w:p>
            <w:pPr>
              <w:spacing w:before="20" w:after="20" w:line="240" w:lineRule="auto"/>
              <w:jc w:val="left"/>
            </w:pPr>
            <w:r>
              <w:rPr>
                <w:rFonts w:ascii="Times New Roman" w:hAnsi="Times New Roman" w:eastAsia="宋体"/>
                <w:b w:val="0"/>
                <w:i w:val="0"/>
                <w:sz w:val="18"/>
              </w:rPr>
              <w:t>基准 1.0×：1 000</w:t>
            </w:r>
          </w:p>
        </w:tc>
        <w:tc>
          <w:tcPr>
            <w:tcW w:type="dxa" w:w="1700"/>
            <w:vAlign w:val="center"/>
          </w:tcPr>
          <w:p>
            <w:pPr>
              <w:spacing w:before="20" w:after="20" w:line="240" w:lineRule="auto"/>
              <w:jc w:val="center"/>
            </w:pPr>
            <w:r>
              <w:rPr>
                <w:rFonts w:ascii="Times New Roman" w:hAnsi="Times New Roman" w:eastAsia="宋体"/>
                <w:b w:val="0"/>
                <w:i w:val="0"/>
                <w:sz w:val="18"/>
              </w:rPr>
              <w:t>0</w:t>
            </w:r>
          </w:p>
        </w:tc>
        <w:tc>
          <w:tcPr>
            <w:tcW w:type="dxa" w:w="2100"/>
            <w:vAlign w:val="center"/>
          </w:tcPr>
          <w:p>
            <w:pPr>
              <w:spacing w:before="20" w:after="20" w:line="240" w:lineRule="auto"/>
              <w:jc w:val="center"/>
            </w:pPr>
            <w:r>
              <w:rPr>
                <w:rFonts w:ascii="Times New Roman" w:hAnsi="Times New Roman" w:eastAsia="宋体"/>
                <w:b w:val="0"/>
                <w:i w:val="0"/>
                <w:sz w:val="18"/>
              </w:rPr>
              <w:t>-45 904.0</w:t>
            </w:r>
          </w:p>
        </w:tc>
        <w:tc>
          <w:tcPr>
            <w:tcW w:type="dxa" w:w="1700"/>
            <w:vAlign w:val="center"/>
          </w:tcPr>
          <w:p>
            <w:pPr>
              <w:spacing w:before="20" w:after="20" w:line="240" w:lineRule="auto"/>
              <w:jc w:val="center"/>
            </w:pPr>
            <w:r>
              <w:rPr>
                <w:rFonts w:ascii="Times New Roman" w:hAnsi="Times New Roman" w:eastAsia="宋体"/>
                <w:b w:val="0"/>
                <w:i w:val="0"/>
                <w:sz w:val="18"/>
              </w:rPr>
              <w:t>69.6%</w:t>
            </w:r>
          </w:p>
        </w:tc>
        <w:tc>
          <w:tcPr>
            <w:tcW w:type="dxa" w:w="1672"/>
            <w:vAlign w:val="center"/>
          </w:tcPr>
          <w:p>
            <w:pPr>
              <w:spacing w:before="20" w:after="20" w:line="240" w:lineRule="auto"/>
              <w:jc w:val="center"/>
            </w:pPr>
            <w:r>
              <w:rPr>
                <w:rFonts w:ascii="Times New Roman" w:hAnsi="Times New Roman" w:eastAsia="宋体"/>
                <w:b w:val="0"/>
                <w:i w:val="0"/>
                <w:sz w:val="18"/>
              </w:rPr>
              <w:t>-390.4</w:t>
            </w:r>
          </w:p>
        </w:tc>
      </w:tr>
      <w:tr>
        <w:tc>
          <w:tcPr>
            <w:tcW w:type="dxa" w:w="1900"/>
            <w:vAlign w:val="center"/>
          </w:tcPr>
          <w:p>
            <w:pPr>
              <w:spacing w:before="20" w:after="20" w:line="240" w:lineRule="auto"/>
              <w:jc w:val="left"/>
            </w:pPr>
            <w:r>
              <w:rPr>
                <w:rFonts w:ascii="Times New Roman" w:hAnsi="Times New Roman" w:eastAsia="宋体"/>
                <w:b w:val="0"/>
                <w:i w:val="0"/>
                <w:sz w:val="18"/>
              </w:rPr>
              <w:t>基准 1.0×：5 000</w:t>
            </w:r>
          </w:p>
        </w:tc>
        <w:tc>
          <w:tcPr>
            <w:tcW w:type="dxa" w:w="1700"/>
            <w:vAlign w:val="center"/>
          </w:tcPr>
          <w:p>
            <w:pPr>
              <w:spacing w:before="20" w:after="20" w:line="240" w:lineRule="auto"/>
              <w:jc w:val="center"/>
            </w:pPr>
            <w:r>
              <w:rPr>
                <w:rFonts w:ascii="Times New Roman" w:hAnsi="Times New Roman" w:eastAsia="宋体"/>
                <w:b w:val="0"/>
                <w:i w:val="0"/>
                <w:sz w:val="18"/>
              </w:rPr>
              <w:t>0</w:t>
            </w:r>
          </w:p>
        </w:tc>
        <w:tc>
          <w:tcPr>
            <w:tcW w:type="dxa" w:w="2100"/>
            <w:vAlign w:val="center"/>
          </w:tcPr>
          <w:p>
            <w:pPr>
              <w:spacing w:before="20" w:after="20" w:line="240" w:lineRule="auto"/>
              <w:jc w:val="center"/>
            </w:pPr>
            <w:r>
              <w:rPr>
                <w:rFonts w:ascii="Times New Roman" w:hAnsi="Times New Roman" w:eastAsia="宋体"/>
                <w:b w:val="0"/>
                <w:i w:val="0"/>
                <w:sz w:val="18"/>
              </w:rPr>
              <w:t>-45 904.0</w:t>
            </w:r>
          </w:p>
        </w:tc>
        <w:tc>
          <w:tcPr>
            <w:tcW w:type="dxa" w:w="1700"/>
            <w:vAlign w:val="center"/>
          </w:tcPr>
          <w:p>
            <w:pPr>
              <w:spacing w:before="20" w:after="20" w:line="240" w:lineRule="auto"/>
              <w:jc w:val="center"/>
            </w:pPr>
            <w:r>
              <w:rPr>
                <w:rFonts w:ascii="Times New Roman" w:hAnsi="Times New Roman" w:eastAsia="宋体"/>
                <w:b w:val="0"/>
                <w:i w:val="0"/>
                <w:sz w:val="18"/>
              </w:rPr>
              <w:t>69.6%</w:t>
            </w:r>
          </w:p>
        </w:tc>
        <w:tc>
          <w:tcPr>
            <w:tcW w:type="dxa" w:w="1672"/>
            <w:vAlign w:val="center"/>
          </w:tcPr>
          <w:p>
            <w:pPr>
              <w:spacing w:before="20" w:after="20" w:line="240" w:lineRule="auto"/>
              <w:jc w:val="center"/>
            </w:pPr>
            <w:r>
              <w:rPr>
                <w:rFonts w:ascii="Times New Roman" w:hAnsi="Times New Roman" w:eastAsia="宋体"/>
                <w:b w:val="0"/>
                <w:i w:val="0"/>
                <w:sz w:val="18"/>
              </w:rPr>
              <w:t>-390.4</w:t>
            </w:r>
          </w:p>
        </w:tc>
      </w:tr>
      <w:tr>
        <w:tc>
          <w:tcPr>
            <w:tcW w:type="dxa" w:w="1900"/>
            <w:vAlign w:val="center"/>
          </w:tcPr>
          <w:p>
            <w:pPr>
              <w:spacing w:before="20" w:after="20" w:line="240" w:lineRule="auto"/>
              <w:jc w:val="left"/>
            </w:pPr>
            <w:r>
              <w:rPr>
                <w:rFonts w:ascii="Times New Roman" w:hAnsi="Times New Roman" w:eastAsia="宋体"/>
                <w:b w:val="0"/>
                <w:i w:val="0"/>
                <w:sz w:val="18"/>
              </w:rPr>
              <w:t>新能源 0.8×：1 000/200</w:t>
            </w:r>
          </w:p>
        </w:tc>
        <w:tc>
          <w:tcPr>
            <w:tcW w:type="dxa" w:w="1700"/>
            <w:vAlign w:val="center"/>
          </w:tcPr>
          <w:p>
            <w:pPr>
              <w:spacing w:before="20" w:after="20" w:line="240" w:lineRule="auto"/>
              <w:jc w:val="center"/>
            </w:pPr>
            <w:r>
              <w:rPr>
                <w:rFonts w:ascii="Times New Roman" w:hAnsi="Times New Roman" w:eastAsia="宋体"/>
                <w:b w:val="0"/>
                <w:i w:val="0"/>
                <w:sz w:val="18"/>
              </w:rPr>
              <w:t>1 629.8</w:t>
            </w:r>
          </w:p>
        </w:tc>
        <w:tc>
          <w:tcPr>
            <w:tcW w:type="dxa" w:w="2100"/>
            <w:vAlign w:val="center"/>
          </w:tcPr>
          <w:p>
            <w:pPr>
              <w:spacing w:before="20" w:after="20" w:line="240" w:lineRule="auto"/>
              <w:jc w:val="center"/>
            </w:pPr>
            <w:r>
              <w:rPr>
                <w:rFonts w:ascii="Times New Roman" w:hAnsi="Times New Roman" w:eastAsia="宋体"/>
                <w:b w:val="0"/>
                <w:i w:val="0"/>
                <w:sz w:val="18"/>
              </w:rPr>
              <w:t>-43 080.3</w:t>
            </w:r>
          </w:p>
        </w:tc>
        <w:tc>
          <w:tcPr>
            <w:tcW w:type="dxa" w:w="1700"/>
            <w:vAlign w:val="center"/>
          </w:tcPr>
          <w:p>
            <w:pPr>
              <w:spacing w:before="20" w:after="20" w:line="240" w:lineRule="auto"/>
              <w:jc w:val="center"/>
            </w:pPr>
            <w:r>
              <w:rPr>
                <w:rFonts w:ascii="Times New Roman" w:hAnsi="Times New Roman" w:eastAsia="宋体"/>
                <w:b w:val="0"/>
                <w:i w:val="0"/>
                <w:sz w:val="18"/>
              </w:rPr>
              <w:t>85.8%</w:t>
            </w:r>
          </w:p>
        </w:tc>
        <w:tc>
          <w:tcPr>
            <w:tcW w:type="dxa" w:w="1672"/>
            <w:vAlign w:val="center"/>
          </w:tcPr>
          <w:p>
            <w:pPr>
              <w:spacing w:before="20" w:after="20" w:line="240" w:lineRule="auto"/>
              <w:jc w:val="center"/>
            </w:pPr>
            <w:r>
              <w:rPr>
                <w:rFonts w:ascii="Times New Roman" w:hAnsi="Times New Roman" w:eastAsia="宋体"/>
                <w:b w:val="0"/>
                <w:i w:val="0"/>
                <w:sz w:val="18"/>
              </w:rPr>
              <w:t>+274.0</w:t>
            </w:r>
          </w:p>
        </w:tc>
      </w:tr>
      <w:tr>
        <w:tc>
          <w:tcPr>
            <w:tcW w:type="dxa" w:w="1900"/>
            <w:vAlign w:val="center"/>
          </w:tcPr>
          <w:p>
            <w:pPr>
              <w:spacing w:before="20" w:after="20" w:line="240" w:lineRule="auto"/>
              <w:jc w:val="left"/>
            </w:pPr>
            <w:r>
              <w:rPr>
                <w:rFonts w:ascii="Times New Roman" w:hAnsi="Times New Roman" w:eastAsia="宋体"/>
                <w:b w:val="0"/>
                <w:i w:val="0"/>
                <w:sz w:val="18"/>
              </w:rPr>
              <w:t>新能源 0.8×：5 000</w:t>
            </w:r>
          </w:p>
        </w:tc>
        <w:tc>
          <w:tcPr>
            <w:tcW w:type="dxa" w:w="1700"/>
            <w:vAlign w:val="center"/>
          </w:tcPr>
          <w:p>
            <w:pPr>
              <w:spacing w:before="20" w:after="20" w:line="240" w:lineRule="auto"/>
              <w:jc w:val="center"/>
            </w:pPr>
            <w:r>
              <w:rPr>
                <w:rFonts w:ascii="Times New Roman" w:hAnsi="Times New Roman" w:eastAsia="宋体"/>
                <w:b w:val="0"/>
                <w:i w:val="0"/>
                <w:sz w:val="18"/>
              </w:rPr>
              <w:t>1 658.8</w:t>
            </w:r>
          </w:p>
        </w:tc>
        <w:tc>
          <w:tcPr>
            <w:tcW w:type="dxa" w:w="2100"/>
            <w:vAlign w:val="center"/>
          </w:tcPr>
          <w:p>
            <w:pPr>
              <w:spacing w:before="20" w:after="20" w:line="240" w:lineRule="auto"/>
              <w:jc w:val="center"/>
            </w:pPr>
            <w:r>
              <w:rPr>
                <w:rFonts w:ascii="Times New Roman" w:hAnsi="Times New Roman" w:eastAsia="宋体"/>
                <w:b w:val="0"/>
                <w:i w:val="0"/>
                <w:sz w:val="18"/>
              </w:rPr>
              <w:t>-43 132.2</w:t>
            </w:r>
          </w:p>
        </w:tc>
        <w:tc>
          <w:tcPr>
            <w:tcW w:type="dxa" w:w="1700"/>
            <w:vAlign w:val="center"/>
          </w:tcPr>
          <w:p>
            <w:pPr>
              <w:spacing w:before="20" w:after="20" w:line="240" w:lineRule="auto"/>
              <w:jc w:val="center"/>
            </w:pPr>
            <w:r>
              <w:rPr>
                <w:rFonts w:ascii="Times New Roman" w:hAnsi="Times New Roman" w:eastAsia="宋体"/>
                <w:b w:val="0"/>
                <w:i w:val="0"/>
                <w:sz w:val="18"/>
              </w:rPr>
              <w:t>85.8%</w:t>
            </w:r>
          </w:p>
        </w:tc>
        <w:tc>
          <w:tcPr>
            <w:tcW w:type="dxa" w:w="1672"/>
            <w:vAlign w:val="center"/>
          </w:tcPr>
          <w:p>
            <w:pPr>
              <w:spacing w:before="20" w:after="20" w:line="240" w:lineRule="auto"/>
              <w:jc w:val="center"/>
            </w:pPr>
            <w:r>
              <w:rPr>
                <w:rFonts w:ascii="Times New Roman" w:hAnsi="Times New Roman" w:eastAsia="宋体"/>
                <w:b w:val="0"/>
                <w:i w:val="0"/>
                <w:sz w:val="18"/>
              </w:rPr>
              <w:t>+100.3</w:t>
            </w:r>
          </w:p>
        </w:tc>
      </w:tr>
    </w:tbl>
    <w:p>
      <w:pPr>
        <w:spacing w:after="0" w:line="240" w:lineRule="auto"/>
        <w:ind w:firstLine="480"/>
      </w:pPr>
      <w:r>
        <w:rPr>
          <w:rFonts w:ascii="Times New Roman" w:hAnsi="Times New Roman" w:eastAsia="宋体"/>
          <w:b w:val="0"/>
          <w:i w:val="0"/>
          <w:sz w:val="24"/>
        </w:rPr>
        <w:t>电价机制场景（表 13）表明价格信号对调度行为影响有限（成本差异不足 9 万元）；固定电价消除了峰谷价差、储能套利动机减弱，个别时段出现少量购电（购电 84 MWh、碳排 19.8 tCO₂），说明电价结构是储能经济性与零购电运行点的支撑条件之一；碳价并入购电成本后因边际碳排已为 0 而不改变策略。</w:t>
      </w:r>
    </w:p>
    <w:p>
      <w:pPr>
        <w:spacing w:before="160" w:after="60"/>
        <w:jc w:val="center"/>
      </w:pPr>
      <w:r>
        <w:rPr>
          <w:rFonts w:ascii="Times New Roman" w:hAnsi="Times New Roman" w:eastAsia="宋体"/>
          <w:b/>
          <w:i w:val="0"/>
          <w:sz w:val="21"/>
        </w:rPr>
        <w:t>表 13  电价机制场景对比</w:t>
      </w:r>
    </w:p>
    <w:tbl>
      <w:tblPr>
        <w:tblW w:type="dxa" w:w="9072"/>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firstColumn="1" w:firstRow="1" w:lastColumn="0" w:lastRow="0" w:noHBand="0" w:noVBand="1" w:val="04A0"/>
        <w:tblInd w:w="120" w:type="dxa"/>
        <w:tblCellMar>
          <w:top w:w="40" w:type="dxa"/>
          <w:start w:w="80" w:type="dxa"/>
          <w:bottom w:w="40" w:type="dxa"/>
          <w:end w:w="80" w:type="dxa"/>
        </w:tblCellMar>
      </w:tblPr>
      <w:tblGrid>
        <w:gridCol w:w="2500"/>
        <w:gridCol w:w="2000"/>
        <w:gridCol w:w="1600"/>
        <w:gridCol w:w="1500"/>
        <w:gridCol w:w="1472"/>
      </w:tblGrid>
      <w:tr>
        <w:trPr>
          <w:tblHeader/>
        </w:trPr>
        <w:tc>
          <w:tcPr>
            <w:tcW w:type="dxa" w:w="25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机制</w:t>
            </w:r>
          </w:p>
        </w:tc>
        <w:tc>
          <w:tcPr>
            <w:tcW w:type="dxa" w:w="20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净运行成本（万元）</w:t>
            </w:r>
          </w:p>
        </w:tc>
        <w:tc>
          <w:tcPr>
            <w:tcW w:type="dxa" w:w="16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碳排放（tCO₂）</w:t>
            </w:r>
          </w:p>
        </w:tc>
        <w:tc>
          <w:tcPr>
            <w:tcW w:type="dxa" w:w="15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新能源利用率</w:t>
            </w:r>
          </w:p>
        </w:tc>
        <w:tc>
          <w:tcPr>
            <w:tcW w:type="dxa" w:w="1472"/>
            <w:vAlign w:val="center"/>
            <w:tcBorders>
              <w:bottom w:val="single" w:sz="6" w:space="0" w:color="000000"/>
            </w:tcBorders>
          </w:tcPr>
          <w:p>
            <w:pPr>
              <w:spacing w:before="20" w:after="20" w:line="240" w:lineRule="auto"/>
              <w:jc w:val="center"/>
            </w:pPr>
            <w:r>
              <w:rPr>
                <w:rFonts w:ascii="Times New Roman" w:hAnsi="Times New Roman" w:eastAsia="宋体"/>
                <w:b/>
                <w:i w:val="0"/>
                <w:sz w:val="18"/>
              </w:rPr>
              <w:t>峰值净购电（MW）</w:t>
            </w:r>
          </w:p>
        </w:tc>
      </w:tr>
      <w:tr>
        <w:tc>
          <w:tcPr>
            <w:tcW w:type="dxa" w:w="2500"/>
            <w:vAlign w:val="center"/>
          </w:tcPr>
          <w:p>
            <w:pPr>
              <w:spacing w:before="20" w:after="20" w:line="240" w:lineRule="auto"/>
              <w:jc w:val="left"/>
            </w:pPr>
            <w:r>
              <w:rPr>
                <w:rFonts w:ascii="Times New Roman" w:hAnsi="Times New Roman" w:eastAsia="宋体"/>
                <w:b w:val="0"/>
                <w:i w:val="0"/>
                <w:sz w:val="18"/>
              </w:rPr>
              <w:t>实时电价（基准）</w:t>
            </w:r>
          </w:p>
        </w:tc>
        <w:tc>
          <w:tcPr>
            <w:tcW w:type="dxa" w:w="2000"/>
            <w:vAlign w:val="center"/>
          </w:tcPr>
          <w:p>
            <w:pPr>
              <w:spacing w:before="20" w:after="20" w:line="240" w:lineRule="auto"/>
              <w:jc w:val="center"/>
            </w:pPr>
            <w:r>
              <w:rPr>
                <w:rFonts w:ascii="Times New Roman" w:hAnsi="Times New Roman" w:eastAsia="宋体"/>
                <w:b w:val="0"/>
                <w:i w:val="0"/>
                <w:sz w:val="18"/>
              </w:rPr>
              <w:t>-45 910.1</w:t>
            </w:r>
          </w:p>
        </w:tc>
        <w:tc>
          <w:tcPr>
            <w:tcW w:type="dxa" w:w="1600"/>
            <w:vAlign w:val="center"/>
          </w:tcPr>
          <w:p>
            <w:pPr>
              <w:spacing w:before="20" w:after="20" w:line="240" w:lineRule="auto"/>
              <w:jc w:val="center"/>
            </w:pPr>
            <w:r>
              <w:rPr>
                <w:rFonts w:ascii="Times New Roman" w:hAnsi="Times New Roman" w:eastAsia="宋体"/>
                <w:b w:val="0"/>
                <w:i w:val="0"/>
                <w:sz w:val="18"/>
              </w:rPr>
              <w:t>0</w:t>
            </w:r>
          </w:p>
        </w:tc>
        <w:tc>
          <w:tcPr>
            <w:tcW w:type="dxa" w:w="1500"/>
            <w:vAlign w:val="center"/>
          </w:tcPr>
          <w:p>
            <w:pPr>
              <w:spacing w:before="20" w:after="20" w:line="240" w:lineRule="auto"/>
              <w:jc w:val="center"/>
            </w:pPr>
            <w:r>
              <w:rPr>
                <w:rFonts w:ascii="Times New Roman" w:hAnsi="Times New Roman" w:eastAsia="宋体"/>
                <w:b w:val="0"/>
                <w:i w:val="0"/>
                <w:sz w:val="18"/>
              </w:rPr>
              <w:t>69.6%</w:t>
            </w:r>
          </w:p>
        </w:tc>
        <w:tc>
          <w:tcPr>
            <w:tcW w:type="dxa" w:w="1472"/>
            <w:vAlign w:val="center"/>
          </w:tcPr>
          <w:p>
            <w:pPr>
              <w:spacing w:before="20" w:after="20" w:line="240" w:lineRule="auto"/>
              <w:jc w:val="center"/>
            </w:pPr>
            <w:r>
              <w:rPr>
                <w:rFonts w:ascii="Times New Roman" w:hAnsi="Times New Roman" w:eastAsia="宋体"/>
                <w:b w:val="0"/>
                <w:i w:val="0"/>
                <w:sz w:val="18"/>
              </w:rPr>
              <w:t>-390.4</w:t>
            </w:r>
          </w:p>
        </w:tc>
      </w:tr>
      <w:tr>
        <w:tc>
          <w:tcPr>
            <w:tcW w:type="dxa" w:w="2500"/>
            <w:vAlign w:val="center"/>
          </w:tcPr>
          <w:p>
            <w:pPr>
              <w:spacing w:before="20" w:after="20" w:line="240" w:lineRule="auto"/>
              <w:jc w:val="left"/>
            </w:pPr>
            <w:r>
              <w:rPr>
                <w:rFonts w:ascii="Times New Roman" w:hAnsi="Times New Roman" w:eastAsia="宋体"/>
                <w:b w:val="0"/>
                <w:i w:val="0"/>
                <w:sz w:val="18"/>
              </w:rPr>
              <w:t>分时电价 TOU</w:t>
            </w:r>
          </w:p>
        </w:tc>
        <w:tc>
          <w:tcPr>
            <w:tcW w:type="dxa" w:w="2000"/>
            <w:vAlign w:val="center"/>
          </w:tcPr>
          <w:p>
            <w:pPr>
              <w:spacing w:before="20" w:after="20" w:line="240" w:lineRule="auto"/>
              <w:jc w:val="center"/>
            </w:pPr>
            <w:r>
              <w:rPr>
                <w:rFonts w:ascii="Times New Roman" w:hAnsi="Times New Roman" w:eastAsia="宋体"/>
                <w:b w:val="0"/>
                <w:i w:val="0"/>
                <w:sz w:val="18"/>
              </w:rPr>
              <w:t>-45 901.9</w:t>
            </w:r>
          </w:p>
        </w:tc>
        <w:tc>
          <w:tcPr>
            <w:tcW w:type="dxa" w:w="1600"/>
            <w:vAlign w:val="center"/>
          </w:tcPr>
          <w:p>
            <w:pPr>
              <w:spacing w:before="20" w:after="20" w:line="240" w:lineRule="auto"/>
              <w:jc w:val="center"/>
            </w:pPr>
            <w:r>
              <w:rPr>
                <w:rFonts w:ascii="Times New Roman" w:hAnsi="Times New Roman" w:eastAsia="宋体"/>
                <w:b w:val="0"/>
                <w:i w:val="0"/>
                <w:sz w:val="18"/>
              </w:rPr>
              <w:t>0</w:t>
            </w:r>
          </w:p>
        </w:tc>
        <w:tc>
          <w:tcPr>
            <w:tcW w:type="dxa" w:w="1500"/>
            <w:vAlign w:val="center"/>
          </w:tcPr>
          <w:p>
            <w:pPr>
              <w:spacing w:before="20" w:after="20" w:line="240" w:lineRule="auto"/>
              <w:jc w:val="center"/>
            </w:pPr>
            <w:r>
              <w:rPr>
                <w:rFonts w:ascii="Times New Roman" w:hAnsi="Times New Roman" w:eastAsia="宋体"/>
                <w:b w:val="0"/>
                <w:i w:val="0"/>
                <w:sz w:val="18"/>
              </w:rPr>
              <w:t>69.6%</w:t>
            </w:r>
          </w:p>
        </w:tc>
        <w:tc>
          <w:tcPr>
            <w:tcW w:type="dxa" w:w="1472"/>
            <w:vAlign w:val="center"/>
          </w:tcPr>
          <w:p>
            <w:pPr>
              <w:spacing w:before="20" w:after="20" w:line="240" w:lineRule="auto"/>
              <w:jc w:val="center"/>
            </w:pPr>
            <w:r>
              <w:rPr>
                <w:rFonts w:ascii="Times New Roman" w:hAnsi="Times New Roman" w:eastAsia="宋体"/>
                <w:b w:val="0"/>
                <w:i w:val="0"/>
                <w:sz w:val="18"/>
              </w:rPr>
              <w:t>-377.5</w:t>
            </w:r>
          </w:p>
        </w:tc>
      </w:tr>
      <w:tr>
        <w:tc>
          <w:tcPr>
            <w:tcW w:type="dxa" w:w="2500"/>
            <w:vAlign w:val="center"/>
          </w:tcPr>
          <w:p>
            <w:pPr>
              <w:spacing w:before="20" w:after="20" w:line="240" w:lineRule="auto"/>
              <w:jc w:val="left"/>
            </w:pPr>
            <w:r>
              <w:rPr>
                <w:rFonts w:ascii="Times New Roman" w:hAnsi="Times New Roman" w:eastAsia="宋体"/>
                <w:b w:val="0"/>
                <w:i w:val="0"/>
                <w:sz w:val="18"/>
              </w:rPr>
              <w:t>固定电价</w:t>
            </w:r>
          </w:p>
        </w:tc>
        <w:tc>
          <w:tcPr>
            <w:tcW w:type="dxa" w:w="2000"/>
            <w:vAlign w:val="center"/>
          </w:tcPr>
          <w:p>
            <w:pPr>
              <w:spacing w:before="20" w:after="20" w:line="240" w:lineRule="auto"/>
              <w:jc w:val="center"/>
            </w:pPr>
            <w:r>
              <w:rPr>
                <w:rFonts w:ascii="Times New Roman" w:hAnsi="Times New Roman" w:eastAsia="宋体"/>
                <w:b w:val="0"/>
                <w:i w:val="0"/>
                <w:sz w:val="18"/>
              </w:rPr>
              <w:t>-45 904.7</w:t>
            </w:r>
          </w:p>
        </w:tc>
        <w:tc>
          <w:tcPr>
            <w:tcW w:type="dxa" w:w="1600"/>
            <w:vAlign w:val="center"/>
          </w:tcPr>
          <w:p>
            <w:pPr>
              <w:spacing w:before="20" w:after="20" w:line="240" w:lineRule="auto"/>
              <w:jc w:val="center"/>
            </w:pPr>
            <w:r>
              <w:rPr>
                <w:rFonts w:ascii="Times New Roman" w:hAnsi="Times New Roman" w:eastAsia="宋体"/>
                <w:b w:val="0"/>
                <w:i w:val="0"/>
                <w:sz w:val="18"/>
              </w:rPr>
              <w:t>19.8</w:t>
            </w:r>
          </w:p>
        </w:tc>
        <w:tc>
          <w:tcPr>
            <w:tcW w:type="dxa" w:w="1500"/>
            <w:vAlign w:val="center"/>
          </w:tcPr>
          <w:p>
            <w:pPr>
              <w:spacing w:before="20" w:after="20" w:line="240" w:lineRule="auto"/>
              <w:jc w:val="center"/>
            </w:pPr>
            <w:r>
              <w:rPr>
                <w:rFonts w:ascii="Times New Roman" w:hAnsi="Times New Roman" w:eastAsia="宋体"/>
                <w:b w:val="0"/>
                <w:i w:val="0"/>
                <w:sz w:val="18"/>
              </w:rPr>
              <w:t>69.6%</w:t>
            </w:r>
          </w:p>
        </w:tc>
        <w:tc>
          <w:tcPr>
            <w:tcW w:type="dxa" w:w="1472"/>
            <w:vAlign w:val="center"/>
          </w:tcPr>
          <w:p>
            <w:pPr>
              <w:spacing w:before="20" w:after="20" w:line="240" w:lineRule="auto"/>
              <w:jc w:val="center"/>
            </w:pPr>
            <w:r>
              <w:rPr>
                <w:rFonts w:ascii="Times New Roman" w:hAnsi="Times New Roman" w:eastAsia="宋体"/>
                <w:b w:val="0"/>
                <w:i w:val="0"/>
                <w:sz w:val="18"/>
              </w:rPr>
              <w:t>-382.5</w:t>
            </w:r>
          </w:p>
        </w:tc>
      </w:tr>
      <w:tr>
        <w:tc>
          <w:tcPr>
            <w:tcW w:type="dxa" w:w="2500"/>
            <w:vAlign w:val="center"/>
          </w:tcPr>
          <w:p>
            <w:pPr>
              <w:spacing w:before="20" w:after="20" w:line="240" w:lineRule="auto"/>
              <w:jc w:val="left"/>
            </w:pPr>
            <w:r>
              <w:rPr>
                <w:rFonts w:ascii="Times New Roman" w:hAnsi="Times New Roman" w:eastAsia="宋体"/>
                <w:b w:val="0"/>
                <w:i w:val="0"/>
                <w:sz w:val="18"/>
              </w:rPr>
              <w:t>实时电价＋碳价 200 元/tCO₂</w:t>
            </w:r>
          </w:p>
        </w:tc>
        <w:tc>
          <w:tcPr>
            <w:tcW w:type="dxa" w:w="2000"/>
            <w:vAlign w:val="center"/>
          </w:tcPr>
          <w:p>
            <w:pPr>
              <w:spacing w:before="20" w:after="20" w:line="240" w:lineRule="auto"/>
              <w:jc w:val="center"/>
            </w:pPr>
            <w:r>
              <w:rPr>
                <w:rFonts w:ascii="Times New Roman" w:hAnsi="Times New Roman" w:eastAsia="宋体"/>
                <w:b w:val="0"/>
                <w:i w:val="0"/>
                <w:sz w:val="18"/>
              </w:rPr>
              <w:t>-45 903.8</w:t>
            </w:r>
          </w:p>
        </w:tc>
        <w:tc>
          <w:tcPr>
            <w:tcW w:type="dxa" w:w="1600"/>
            <w:vAlign w:val="center"/>
          </w:tcPr>
          <w:p>
            <w:pPr>
              <w:spacing w:before="20" w:after="20" w:line="240" w:lineRule="auto"/>
              <w:jc w:val="center"/>
            </w:pPr>
            <w:r>
              <w:rPr>
                <w:rFonts w:ascii="Times New Roman" w:hAnsi="Times New Roman" w:eastAsia="宋体"/>
                <w:b w:val="0"/>
                <w:i w:val="0"/>
                <w:sz w:val="18"/>
              </w:rPr>
              <w:t>0</w:t>
            </w:r>
          </w:p>
        </w:tc>
        <w:tc>
          <w:tcPr>
            <w:tcW w:type="dxa" w:w="1500"/>
            <w:vAlign w:val="center"/>
          </w:tcPr>
          <w:p>
            <w:pPr>
              <w:spacing w:before="20" w:after="20" w:line="240" w:lineRule="auto"/>
              <w:jc w:val="center"/>
            </w:pPr>
            <w:r>
              <w:rPr>
                <w:rFonts w:ascii="Times New Roman" w:hAnsi="Times New Roman" w:eastAsia="宋体"/>
                <w:b w:val="0"/>
                <w:i w:val="0"/>
                <w:sz w:val="18"/>
              </w:rPr>
              <w:t>69.6%</w:t>
            </w:r>
          </w:p>
        </w:tc>
        <w:tc>
          <w:tcPr>
            <w:tcW w:type="dxa" w:w="1472"/>
            <w:vAlign w:val="center"/>
          </w:tcPr>
          <w:p>
            <w:pPr>
              <w:spacing w:before="20" w:after="20" w:line="240" w:lineRule="auto"/>
              <w:jc w:val="center"/>
            </w:pPr>
            <w:r>
              <w:rPr>
                <w:rFonts w:ascii="Times New Roman" w:hAnsi="Times New Roman" w:eastAsia="宋体"/>
                <w:b w:val="0"/>
                <w:i w:val="0"/>
                <w:sz w:val="18"/>
              </w:rPr>
              <w:t>-383.7</w:t>
            </w:r>
          </w:p>
        </w:tc>
      </w:tr>
    </w:tbl>
    <w:p>
      <w:pPr>
        <w:spacing w:after="0" w:line="240" w:lineRule="auto"/>
        <w:ind w:firstLine="480"/>
      </w:pPr>
      <w:r>
        <w:rPr>
          <w:rFonts w:ascii="Times New Roman" w:hAnsi="Times New Roman" w:eastAsia="宋体"/>
          <w:b w:val="0"/>
          <w:i w:val="0"/>
          <w:sz w:val="24"/>
        </w:rPr>
        <w:t>新能源波动场景（表 14）中，可用出力减少 20% 是唯一使系统失去零购电运行点的场景：成本升至 -4.27 亿元、碳排放升至 1 769 tCO₂、峰值净购电转为 +152 MW 的正向购电峰值，储能充电量激增至约 25.3 万 MWh（约为基准的 5 倍），调度侧更多向西部迁移（迁移比例升至 40.8%）；在修复机制下 50 000 个任务仍全部完成调度。可用出力增加 20% 进一步压低成本与峰值（-620 MW），但利用率口径下降（可用总量增大、外送受上限约束、弃电增加），说明新能源增容需与外送、储能扩容共同评估。</w:t>
      </w:r>
    </w:p>
    <w:p>
      <w:pPr>
        <w:spacing w:before="160" w:after="60"/>
        <w:jc w:val="center"/>
      </w:pPr>
      <w:r>
        <w:rPr>
          <w:rFonts w:ascii="Times New Roman" w:hAnsi="Times New Roman" w:eastAsia="宋体"/>
          <w:b/>
          <w:i w:val="0"/>
          <w:sz w:val="21"/>
        </w:rPr>
        <w:t>表 14  新能源波动场景对比（可用出力缩放）</w:t>
      </w:r>
    </w:p>
    <w:tbl>
      <w:tblPr>
        <w:tblW w:type="dxa" w:w="9072"/>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firstColumn="1" w:firstRow="1" w:lastColumn="0" w:lastRow="0" w:noHBand="0" w:noVBand="1" w:val="04A0"/>
        <w:tblInd w:w="120" w:type="dxa"/>
        <w:tblCellMar>
          <w:top w:w="40" w:type="dxa"/>
          <w:start w:w="80" w:type="dxa"/>
          <w:bottom w:w="40" w:type="dxa"/>
          <w:end w:w="80" w:type="dxa"/>
        </w:tblCellMar>
      </w:tblPr>
      <w:tblGrid>
        <w:gridCol w:w="1600"/>
        <w:gridCol w:w="900"/>
        <w:gridCol w:w="1500"/>
        <w:gridCol w:w="1300"/>
        <w:gridCol w:w="1200"/>
        <w:gridCol w:w="1300"/>
        <w:gridCol w:w="1272"/>
      </w:tblGrid>
      <w:tr>
        <w:trPr>
          <w:tblHeader/>
        </w:trPr>
        <w:tc>
          <w:tcPr>
            <w:tcW w:type="dxa" w:w="16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场景</w:t>
            </w:r>
          </w:p>
        </w:tc>
        <w:tc>
          <w:tcPr>
            <w:tcW w:type="dxa" w:w="9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未调度</w:t>
            </w:r>
          </w:p>
        </w:tc>
        <w:tc>
          <w:tcPr>
            <w:tcW w:type="dxa" w:w="15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净运行成本（万元）</w:t>
            </w:r>
          </w:p>
        </w:tc>
        <w:tc>
          <w:tcPr>
            <w:tcW w:type="dxa" w:w="13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碳排放（tCO₂）</w:t>
            </w:r>
          </w:p>
        </w:tc>
        <w:tc>
          <w:tcPr>
            <w:tcW w:type="dxa" w:w="12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平均时延（ms）</w:t>
            </w:r>
          </w:p>
        </w:tc>
        <w:tc>
          <w:tcPr>
            <w:tcW w:type="dxa" w:w="1300"/>
            <w:vAlign w:val="center"/>
            <w:tcBorders>
              <w:bottom w:val="single" w:sz="6" w:space="0" w:color="000000"/>
            </w:tcBorders>
          </w:tcPr>
          <w:p>
            <w:pPr>
              <w:spacing w:before="20" w:after="20" w:line="240" w:lineRule="auto"/>
              <w:jc w:val="center"/>
            </w:pPr>
            <w:r>
              <w:rPr>
                <w:rFonts w:ascii="Times New Roman" w:hAnsi="Times New Roman" w:eastAsia="宋体"/>
                <w:b/>
                <w:i w:val="0"/>
                <w:sz w:val="18"/>
              </w:rPr>
              <w:t>新能源利用率</w:t>
            </w:r>
          </w:p>
        </w:tc>
        <w:tc>
          <w:tcPr>
            <w:tcW w:type="dxa" w:w="1272"/>
            <w:vAlign w:val="center"/>
            <w:tcBorders>
              <w:bottom w:val="single" w:sz="6" w:space="0" w:color="000000"/>
            </w:tcBorders>
          </w:tcPr>
          <w:p>
            <w:pPr>
              <w:spacing w:before="20" w:after="20" w:line="240" w:lineRule="auto"/>
              <w:jc w:val="center"/>
            </w:pPr>
            <w:r>
              <w:rPr>
                <w:rFonts w:ascii="Times New Roman" w:hAnsi="Times New Roman" w:eastAsia="宋体"/>
                <w:b/>
                <w:i w:val="0"/>
                <w:sz w:val="18"/>
              </w:rPr>
              <w:t>峰值净购电（MW）</w:t>
            </w:r>
          </w:p>
        </w:tc>
      </w:tr>
      <w:tr>
        <w:tc>
          <w:tcPr>
            <w:tcW w:type="dxa" w:w="1600"/>
            <w:vAlign w:val="center"/>
          </w:tcPr>
          <w:p>
            <w:pPr>
              <w:spacing w:before="20" w:after="20" w:line="240" w:lineRule="auto"/>
              <w:jc w:val="left"/>
            </w:pPr>
            <w:r>
              <w:rPr>
                <w:rFonts w:ascii="Times New Roman" w:hAnsi="Times New Roman" w:eastAsia="宋体"/>
                <w:b w:val="0"/>
                <w:i w:val="0"/>
                <w:sz w:val="18"/>
              </w:rPr>
              <w:t>可用出力 ×0.8</w:t>
            </w:r>
          </w:p>
        </w:tc>
        <w:tc>
          <w:tcPr>
            <w:tcW w:type="dxa" w:w="900"/>
            <w:vAlign w:val="center"/>
          </w:tcPr>
          <w:p>
            <w:pPr>
              <w:spacing w:before="20" w:after="20" w:line="240" w:lineRule="auto"/>
              <w:jc w:val="center"/>
            </w:pPr>
            <w:r>
              <w:rPr>
                <w:rFonts w:ascii="Times New Roman" w:hAnsi="Times New Roman" w:eastAsia="宋体"/>
                <w:b w:val="0"/>
                <w:i w:val="0"/>
                <w:sz w:val="18"/>
              </w:rPr>
              <w:t>0</w:t>
            </w:r>
          </w:p>
        </w:tc>
        <w:tc>
          <w:tcPr>
            <w:tcW w:type="dxa" w:w="1500"/>
            <w:vAlign w:val="center"/>
          </w:tcPr>
          <w:p>
            <w:pPr>
              <w:spacing w:before="20" w:after="20" w:line="240" w:lineRule="auto"/>
              <w:jc w:val="center"/>
            </w:pPr>
            <w:r>
              <w:rPr>
                <w:rFonts w:ascii="Times New Roman" w:hAnsi="Times New Roman" w:eastAsia="宋体"/>
                <w:b w:val="0"/>
                <w:i w:val="0"/>
                <w:sz w:val="18"/>
              </w:rPr>
              <w:t>-42 696.9</w:t>
            </w:r>
          </w:p>
        </w:tc>
        <w:tc>
          <w:tcPr>
            <w:tcW w:type="dxa" w:w="1300"/>
            <w:vAlign w:val="center"/>
          </w:tcPr>
          <w:p>
            <w:pPr>
              <w:spacing w:before="20" w:after="20" w:line="240" w:lineRule="auto"/>
              <w:jc w:val="center"/>
            </w:pPr>
            <w:r>
              <w:rPr>
                <w:rFonts w:ascii="Times New Roman" w:hAnsi="Times New Roman" w:eastAsia="宋体"/>
                <w:b w:val="0"/>
                <w:i w:val="0"/>
                <w:sz w:val="18"/>
              </w:rPr>
              <w:t>1 769.4</w:t>
            </w:r>
          </w:p>
        </w:tc>
        <w:tc>
          <w:tcPr>
            <w:tcW w:type="dxa" w:w="1200"/>
            <w:vAlign w:val="center"/>
          </w:tcPr>
          <w:p>
            <w:pPr>
              <w:spacing w:before="20" w:after="20" w:line="240" w:lineRule="auto"/>
              <w:jc w:val="center"/>
            </w:pPr>
            <w:r>
              <w:rPr>
                <w:rFonts w:ascii="Times New Roman" w:hAnsi="Times New Roman" w:eastAsia="宋体"/>
                <w:b w:val="0"/>
                <w:i w:val="0"/>
                <w:sz w:val="18"/>
              </w:rPr>
              <w:t>18.44</w:t>
            </w:r>
          </w:p>
        </w:tc>
        <w:tc>
          <w:tcPr>
            <w:tcW w:type="dxa" w:w="1300"/>
            <w:vAlign w:val="center"/>
          </w:tcPr>
          <w:p>
            <w:pPr>
              <w:spacing w:before="20" w:after="20" w:line="240" w:lineRule="auto"/>
              <w:jc w:val="center"/>
            </w:pPr>
            <w:r>
              <w:rPr>
                <w:rFonts w:ascii="Times New Roman" w:hAnsi="Times New Roman" w:eastAsia="宋体"/>
                <w:b w:val="0"/>
                <w:i w:val="0"/>
                <w:sz w:val="18"/>
              </w:rPr>
              <w:t>85.5%</w:t>
            </w:r>
          </w:p>
        </w:tc>
        <w:tc>
          <w:tcPr>
            <w:tcW w:type="dxa" w:w="1272"/>
            <w:vAlign w:val="center"/>
          </w:tcPr>
          <w:p>
            <w:pPr>
              <w:spacing w:before="20" w:after="20" w:line="240" w:lineRule="auto"/>
              <w:jc w:val="center"/>
            </w:pPr>
            <w:r>
              <w:rPr>
                <w:rFonts w:ascii="Times New Roman" w:hAnsi="Times New Roman" w:eastAsia="宋体"/>
                <w:b w:val="0"/>
                <w:i w:val="0"/>
                <w:sz w:val="18"/>
              </w:rPr>
              <w:t>+152.2</w:t>
            </w:r>
          </w:p>
        </w:tc>
      </w:tr>
      <w:tr>
        <w:tc>
          <w:tcPr>
            <w:tcW w:type="dxa" w:w="1600"/>
            <w:vAlign w:val="center"/>
          </w:tcPr>
          <w:p>
            <w:pPr>
              <w:spacing w:before="20" w:after="20" w:line="240" w:lineRule="auto"/>
              <w:jc w:val="left"/>
            </w:pPr>
            <w:r>
              <w:rPr>
                <w:rFonts w:ascii="Times New Roman" w:hAnsi="Times New Roman" w:eastAsia="宋体"/>
                <w:b w:val="0"/>
                <w:i w:val="0"/>
                <w:sz w:val="18"/>
              </w:rPr>
              <w:t>基准 ×1.0</w:t>
            </w:r>
          </w:p>
        </w:tc>
        <w:tc>
          <w:tcPr>
            <w:tcW w:type="dxa" w:w="900"/>
            <w:vAlign w:val="center"/>
          </w:tcPr>
          <w:p>
            <w:pPr>
              <w:spacing w:before="20" w:after="20" w:line="240" w:lineRule="auto"/>
              <w:jc w:val="center"/>
            </w:pPr>
            <w:r>
              <w:rPr>
                <w:rFonts w:ascii="Times New Roman" w:hAnsi="Times New Roman" w:eastAsia="宋体"/>
                <w:b w:val="0"/>
                <w:i w:val="0"/>
                <w:sz w:val="18"/>
              </w:rPr>
              <w:t>0</w:t>
            </w:r>
          </w:p>
        </w:tc>
        <w:tc>
          <w:tcPr>
            <w:tcW w:type="dxa" w:w="1500"/>
            <w:vAlign w:val="center"/>
          </w:tcPr>
          <w:p>
            <w:pPr>
              <w:spacing w:before="20" w:after="20" w:line="240" w:lineRule="auto"/>
              <w:jc w:val="center"/>
            </w:pPr>
            <w:r>
              <w:rPr>
                <w:rFonts w:ascii="Times New Roman" w:hAnsi="Times New Roman" w:eastAsia="宋体"/>
                <w:b w:val="0"/>
                <w:i w:val="0"/>
                <w:sz w:val="18"/>
              </w:rPr>
              <w:t>-45 910.1</w:t>
            </w:r>
          </w:p>
        </w:tc>
        <w:tc>
          <w:tcPr>
            <w:tcW w:type="dxa" w:w="1300"/>
            <w:vAlign w:val="center"/>
          </w:tcPr>
          <w:p>
            <w:pPr>
              <w:spacing w:before="20" w:after="20" w:line="240" w:lineRule="auto"/>
              <w:jc w:val="center"/>
            </w:pPr>
            <w:r>
              <w:rPr>
                <w:rFonts w:ascii="Times New Roman" w:hAnsi="Times New Roman" w:eastAsia="宋体"/>
                <w:b w:val="0"/>
                <w:i w:val="0"/>
                <w:sz w:val="18"/>
              </w:rPr>
              <w:t>0</w:t>
            </w:r>
          </w:p>
        </w:tc>
        <w:tc>
          <w:tcPr>
            <w:tcW w:type="dxa" w:w="1200"/>
            <w:vAlign w:val="center"/>
          </w:tcPr>
          <w:p>
            <w:pPr>
              <w:spacing w:before="20" w:after="20" w:line="240" w:lineRule="auto"/>
              <w:jc w:val="center"/>
            </w:pPr>
            <w:r>
              <w:rPr>
                <w:rFonts w:ascii="Times New Roman" w:hAnsi="Times New Roman" w:eastAsia="宋体"/>
                <w:b w:val="0"/>
                <w:i w:val="0"/>
                <w:sz w:val="18"/>
              </w:rPr>
              <w:t>14.43</w:t>
            </w:r>
          </w:p>
        </w:tc>
        <w:tc>
          <w:tcPr>
            <w:tcW w:type="dxa" w:w="1300"/>
            <w:vAlign w:val="center"/>
          </w:tcPr>
          <w:p>
            <w:pPr>
              <w:spacing w:before="20" w:after="20" w:line="240" w:lineRule="auto"/>
              <w:jc w:val="center"/>
            </w:pPr>
            <w:r>
              <w:rPr>
                <w:rFonts w:ascii="Times New Roman" w:hAnsi="Times New Roman" w:eastAsia="宋体"/>
                <w:b w:val="0"/>
                <w:i w:val="0"/>
                <w:sz w:val="18"/>
              </w:rPr>
              <w:t>69.6%</w:t>
            </w:r>
          </w:p>
        </w:tc>
        <w:tc>
          <w:tcPr>
            <w:tcW w:type="dxa" w:w="1272"/>
            <w:vAlign w:val="center"/>
          </w:tcPr>
          <w:p>
            <w:pPr>
              <w:spacing w:before="20" w:after="20" w:line="240" w:lineRule="auto"/>
              <w:jc w:val="center"/>
            </w:pPr>
            <w:r>
              <w:rPr>
                <w:rFonts w:ascii="Times New Roman" w:hAnsi="Times New Roman" w:eastAsia="宋体"/>
                <w:b w:val="0"/>
                <w:i w:val="0"/>
                <w:sz w:val="18"/>
              </w:rPr>
              <w:t>-390.4</w:t>
            </w:r>
          </w:p>
        </w:tc>
      </w:tr>
      <w:tr>
        <w:tc>
          <w:tcPr>
            <w:tcW w:type="dxa" w:w="1600"/>
            <w:vAlign w:val="center"/>
          </w:tcPr>
          <w:p>
            <w:pPr>
              <w:spacing w:before="20" w:after="20" w:line="240" w:lineRule="auto"/>
              <w:jc w:val="left"/>
            </w:pPr>
            <w:r>
              <w:rPr>
                <w:rFonts w:ascii="Times New Roman" w:hAnsi="Times New Roman" w:eastAsia="宋体"/>
                <w:b w:val="0"/>
                <w:i w:val="0"/>
                <w:sz w:val="18"/>
              </w:rPr>
              <w:t>可用出力 ×1.2</w:t>
            </w:r>
          </w:p>
        </w:tc>
        <w:tc>
          <w:tcPr>
            <w:tcW w:type="dxa" w:w="900"/>
            <w:vAlign w:val="center"/>
          </w:tcPr>
          <w:p>
            <w:pPr>
              <w:spacing w:before="20" w:after="20" w:line="240" w:lineRule="auto"/>
              <w:jc w:val="center"/>
            </w:pPr>
            <w:r>
              <w:rPr>
                <w:rFonts w:ascii="Times New Roman" w:hAnsi="Times New Roman" w:eastAsia="宋体"/>
                <w:b w:val="0"/>
                <w:i w:val="0"/>
                <w:sz w:val="18"/>
              </w:rPr>
              <w:t>0</w:t>
            </w:r>
          </w:p>
        </w:tc>
        <w:tc>
          <w:tcPr>
            <w:tcW w:type="dxa" w:w="1500"/>
            <w:vAlign w:val="center"/>
          </w:tcPr>
          <w:p>
            <w:pPr>
              <w:spacing w:before="20" w:after="20" w:line="240" w:lineRule="auto"/>
              <w:jc w:val="center"/>
            </w:pPr>
            <w:r>
              <w:rPr>
                <w:rFonts w:ascii="Times New Roman" w:hAnsi="Times New Roman" w:eastAsia="宋体"/>
                <w:b w:val="0"/>
                <w:i w:val="0"/>
                <w:sz w:val="18"/>
              </w:rPr>
              <w:t>-45 934.1</w:t>
            </w:r>
          </w:p>
        </w:tc>
        <w:tc>
          <w:tcPr>
            <w:tcW w:type="dxa" w:w="1300"/>
            <w:vAlign w:val="center"/>
          </w:tcPr>
          <w:p>
            <w:pPr>
              <w:spacing w:before="20" w:after="20" w:line="240" w:lineRule="auto"/>
              <w:jc w:val="center"/>
            </w:pPr>
            <w:r>
              <w:rPr>
                <w:rFonts w:ascii="Times New Roman" w:hAnsi="Times New Roman" w:eastAsia="宋体"/>
                <w:b w:val="0"/>
                <w:i w:val="0"/>
                <w:sz w:val="18"/>
              </w:rPr>
              <w:t>0</w:t>
            </w:r>
          </w:p>
        </w:tc>
        <w:tc>
          <w:tcPr>
            <w:tcW w:type="dxa" w:w="1200"/>
            <w:vAlign w:val="center"/>
          </w:tcPr>
          <w:p>
            <w:pPr>
              <w:spacing w:before="20" w:after="20" w:line="240" w:lineRule="auto"/>
              <w:jc w:val="center"/>
            </w:pPr>
            <w:r>
              <w:rPr>
                <w:rFonts w:ascii="Times New Roman" w:hAnsi="Times New Roman" w:eastAsia="宋体"/>
                <w:b w:val="0"/>
                <w:i w:val="0"/>
                <w:sz w:val="18"/>
              </w:rPr>
              <w:t>14.21</w:t>
            </w:r>
          </w:p>
        </w:tc>
        <w:tc>
          <w:tcPr>
            <w:tcW w:type="dxa" w:w="1300"/>
            <w:vAlign w:val="center"/>
          </w:tcPr>
          <w:p>
            <w:pPr>
              <w:spacing w:before="20" w:after="20" w:line="240" w:lineRule="auto"/>
              <w:jc w:val="center"/>
            </w:pPr>
            <w:r>
              <w:rPr>
                <w:rFonts w:ascii="Times New Roman" w:hAnsi="Times New Roman" w:eastAsia="宋体"/>
                <w:b w:val="0"/>
                <w:i w:val="0"/>
                <w:sz w:val="18"/>
              </w:rPr>
              <w:t>58.0%</w:t>
            </w:r>
          </w:p>
        </w:tc>
        <w:tc>
          <w:tcPr>
            <w:tcW w:type="dxa" w:w="1272"/>
            <w:vAlign w:val="center"/>
          </w:tcPr>
          <w:p>
            <w:pPr>
              <w:spacing w:before="20" w:after="20" w:line="240" w:lineRule="auto"/>
              <w:jc w:val="center"/>
            </w:pPr>
            <w:r>
              <w:rPr>
                <w:rFonts w:ascii="Times New Roman" w:hAnsi="Times New Roman" w:eastAsia="宋体"/>
                <w:b w:val="0"/>
                <w:i w:val="0"/>
                <w:sz w:val="18"/>
              </w:rPr>
              <w:t>-620.0</w:t>
            </w:r>
          </w:p>
        </w:tc>
      </w:tr>
    </w:tbl>
    <w:p>
      <w:pPr>
        <w:spacing w:before="120"/>
        <w:jc w:val="center"/>
      </w:pPr>
      <w:r>
        <w:drawing>
          <wp:inline xmlns:a="http://schemas.openxmlformats.org/drawingml/2006/main" xmlns:pic="http://schemas.openxmlformats.org/drawingml/2006/picture">
            <wp:extent cx="4500000" cy="1350000"/>
            <wp:docPr id="7" name="Picture 7" descr="新能源波动场景对比" title="新能源波动场景对比"/>
            <wp:cNvGraphicFramePr>
              <a:graphicFrameLocks noChangeAspect="1"/>
            </wp:cNvGraphicFramePr>
            <a:graphic>
              <a:graphicData uri="http://schemas.openxmlformats.org/drawingml/2006/picture">
                <pic:pic>
                  <pic:nvPicPr>
                    <pic:cNvPr id="0" name="renewable_scenarios.png"/>
                    <pic:cNvPicPr/>
                  </pic:nvPicPr>
                  <pic:blipFill>
                    <a:blip r:embed="rId15"/>
                    <a:stretch>
                      <a:fillRect/>
                    </a:stretch>
                  </pic:blipFill>
                  <pic:spPr>
                    <a:xfrm>
                      <a:off x="0" y="0"/>
                      <a:ext cx="4500000" cy="1350000"/>
                    </a:xfrm>
                    <a:prstGeom prst="rect"/>
                  </pic:spPr>
                </pic:pic>
              </a:graphicData>
            </a:graphic>
          </wp:inline>
        </w:drawing>
      </w:r>
    </w:p>
    <w:p>
      <w:pPr>
        <w:spacing w:after="200"/>
        <w:jc w:val="center"/>
      </w:pPr>
      <w:r>
        <w:rPr>
          <w:rFonts w:ascii="Times New Roman" w:hAnsi="Times New Roman" w:eastAsia="宋体"/>
          <w:b/>
          <w:i w:val="0"/>
          <w:sz w:val="21"/>
        </w:rPr>
        <w:t>图 7  新能源波动场景对比</w:t>
      </w:r>
    </w:p>
    <w:p>
      <w:pPr>
        <w:spacing w:before="120"/>
        <w:jc w:val="center"/>
      </w:pPr>
      <w:r>
        <w:drawing>
          <wp:inline xmlns:a="http://schemas.openxmlformats.org/drawingml/2006/main" xmlns:pic="http://schemas.openxmlformats.org/drawingml/2006/picture">
            <wp:extent cx="4680000" cy="2059200"/>
            <wp:docPr id="8" name="Picture 8" descr="基线vs协同优化净购电曲线" title="基线vs协同优化净购电曲线"/>
            <wp:cNvGraphicFramePr>
              <a:graphicFrameLocks noChangeAspect="1"/>
            </wp:cNvGraphicFramePr>
            <a:graphic>
              <a:graphicData uri="http://schemas.openxmlformats.org/drawingml/2006/picture">
                <pic:pic>
                  <pic:nvPicPr>
                    <pic:cNvPr id="0" name="net_import_curves.png"/>
                    <pic:cNvPicPr/>
                  </pic:nvPicPr>
                  <pic:blipFill>
                    <a:blip r:embed="rId16"/>
                    <a:stretch>
                      <a:fillRect/>
                    </a:stretch>
                  </pic:blipFill>
                  <pic:spPr>
                    <a:xfrm>
                      <a:off x="0" y="0"/>
                      <a:ext cx="4680000" cy="2059200"/>
                    </a:xfrm>
                    <a:prstGeom prst="rect"/>
                  </pic:spPr>
                </pic:pic>
              </a:graphicData>
            </a:graphic>
          </wp:inline>
        </w:drawing>
      </w:r>
    </w:p>
    <w:p>
      <w:pPr>
        <w:spacing w:after="200"/>
        <w:jc w:val="center"/>
      </w:pPr>
      <w:r>
        <w:rPr>
          <w:rFonts w:ascii="Times New Roman" w:hAnsi="Times New Roman" w:eastAsia="宋体"/>
          <w:b/>
          <w:i w:val="0"/>
          <w:sz w:val="21"/>
        </w:rPr>
        <w:t>图 8  基线 vs 协同优化净购电曲线</w:t>
      </w:r>
    </w:p>
    <w:p>
      <w:pPr>
        <w:spacing w:after="0" w:line="240" w:lineRule="auto"/>
        <w:ind w:firstLine="480"/>
      </w:pPr>
      <w:r>
        <w:rPr>
          <w:rFonts w:ascii="Times New Roman" w:hAnsi="Times New Roman" w:eastAsia="宋体"/>
          <w:b w:val="0"/>
          <w:i w:val="0"/>
          <w:sz w:val="24"/>
        </w:rPr>
        <w:t>从机理上看，“零购电、强外送”运行点的形成源于三方面协同：其一，任务迁移将负荷在空间上重新分布，东三区负荷由本地新能源直接覆盖，西三区富余新能源按外送上限持续外送；其二，储能通过“低谷充电、高峰放电”削峰填谷，将逐时净购电波动压至 1 MW 以内；其三，双层迭代使任务调度与储能运行相互适配，避免了调度与能源两层目标不一致导致的次优。碳约束在本文数据条件下均为非紧约束，说明该运行点已天然满足任意不高于 5 000 tCO₂ 的碳预算；而固定电价机制因削弱储能套利动机出现少量购电，反向印证了电价结构对储能经济性的支撑作用；新能源出力减少 20% 时系统失去零购电运行点，说明模型对新能源资源总量高度敏感，外送边界与储能容量是维持低碳运行的关键瓶颈。</w:t>
      </w:r>
    </w:p>
    <w:p>
      <w:pPr>
        <w:spacing w:after="0" w:line="240" w:lineRule="auto"/>
        <w:ind w:firstLine="480"/>
      </w:pPr>
      <w:r>
        <w:rPr>
          <w:rFonts w:ascii="Times New Roman" w:hAnsi="Times New Roman" w:eastAsia="宋体"/>
          <w:b w:val="0"/>
          <w:i w:val="0"/>
          <w:sz w:val="24"/>
        </w:rPr>
        <w:t>综合四类场景可见，本文双层协同框架不仅能够在基准条件下取得显著优于基线的结果，而且能够对不同碳约束、电价机制与新能源波动给出机理一致、方向合理的策略响应，验证了模型在政策与资源扰动下的稳健性与可解释性。</w:t>
      </w:r>
    </w:p>
    <w:p>
      <w:pPr>
        <w:pStyle w:val="Heading1"/>
      </w:pPr>
      <w:r>
        <w:t>六、模型检验</w:t>
      </w:r>
    </w:p>
    <w:p>
      <w:pPr>
        <w:spacing w:after="0" w:line="240" w:lineRule="auto"/>
        <w:ind w:firstLine="480"/>
      </w:pPr>
      <w:r>
        <w:rPr>
          <w:rFonts w:ascii="Times New Roman" w:hAnsi="Times New Roman" w:eastAsia="宋体"/>
          <w:b w:val="0"/>
          <w:i w:val="0"/>
          <w:sz w:val="24"/>
        </w:rPr>
        <w:t>为验证模型与求解结果的可靠性，从预测精度、约束满足性与参数敏感性三个层面进行检验。</w:t>
      </w:r>
    </w:p>
    <w:p>
      <w:pPr>
        <w:spacing w:after="40" w:line="240" w:lineRule="auto"/>
        <w:ind w:left="480"/>
      </w:pPr>
      <w:r>
        <w:rPr>
          <w:rFonts w:ascii="Times New Roman" w:hAnsi="Times New Roman" w:eastAsia="宋体"/>
          <w:b w:val="0"/>
          <w:i w:val="0"/>
          <w:sz w:val="24"/>
        </w:rPr>
        <w:t xml:space="preserve">• </w:t>
      </w:r>
      <w:r>
        <w:rPr>
          <w:rFonts w:ascii="Times New Roman" w:hAnsi="Times New Roman" w:eastAsia="宋体"/>
          <w:b/>
          <w:i w:val="0"/>
          <w:sz w:val="24"/>
        </w:rPr>
        <w:t>预测模型检验：</w:t>
      </w:r>
      <w:r>
        <w:rPr>
          <w:rFonts w:ascii="Times New Roman" w:hAnsi="Times New Roman" w:eastAsia="宋体"/>
          <w:b w:val="0"/>
          <w:i w:val="0"/>
          <w:sz w:val="24"/>
        </w:rPr>
        <w:t>三种模型在留出测试集上对比，梯度提升树 MAPE 9.51% 最优、90% 预测区间覆盖率 85.8%；建议按赛题建议窗口（2376–2399）进一步复核最终测试精度。</w:t>
      </w:r>
    </w:p>
    <w:p>
      <w:pPr>
        <w:spacing w:after="40" w:line="240" w:lineRule="auto"/>
        <w:ind w:left="480"/>
      </w:pPr>
      <w:r>
        <w:rPr>
          <w:rFonts w:ascii="Times New Roman" w:hAnsi="Times New Roman" w:eastAsia="宋体"/>
          <w:b w:val="0"/>
          <w:i w:val="0"/>
          <w:sz w:val="24"/>
        </w:rPr>
        <w:t xml:space="preserve">• </w:t>
      </w:r>
      <w:r>
        <w:rPr>
          <w:rFonts w:ascii="Times New Roman" w:hAnsi="Times New Roman" w:eastAsia="宋体"/>
          <w:b/>
          <w:i w:val="0"/>
          <w:sz w:val="24"/>
        </w:rPr>
        <w:t>问题二约束校验：</w:t>
      </w:r>
      <w:r>
        <w:rPr>
          <w:rFonts w:ascii="Times New Roman" w:hAnsi="Times New Roman" w:eastAsia="宋体"/>
          <w:b w:val="0"/>
          <w:i w:val="0"/>
          <w:sz w:val="24"/>
        </w:rPr>
        <w:t>对全部策略逐项校验开工时刻不早于到达时刻、完工时刻不晚于截止时刻、网络时延不超过上限、GPU/IT/设施功率不超容量、任务无重复调度，违规数均为 0；8 组权重策略覆盖不同偏好区间，验证了结果对单一权重的低敏感性。</w:t>
      </w:r>
    </w:p>
    <w:p>
      <w:pPr>
        <w:spacing w:after="40" w:line="240" w:lineRule="auto"/>
        <w:ind w:left="480"/>
      </w:pPr>
      <w:r>
        <w:rPr>
          <w:rFonts w:ascii="Times New Roman" w:hAnsi="Times New Roman" w:eastAsia="宋体"/>
          <w:b w:val="0"/>
          <w:i w:val="0"/>
          <w:sz w:val="24"/>
        </w:rPr>
        <w:t xml:space="preserve">• </w:t>
      </w:r>
      <w:r>
        <w:rPr>
          <w:rFonts w:ascii="Times New Roman" w:hAnsi="Times New Roman" w:eastAsia="宋体"/>
          <w:b/>
          <w:i w:val="0"/>
          <w:sz w:val="24"/>
        </w:rPr>
        <w:t>问题三约束校验：</w:t>
      </w:r>
      <w:r>
        <w:rPr>
          <w:rFonts w:ascii="Times New Roman" w:hAnsi="Times New Roman" w:eastAsia="宋体"/>
          <w:b w:val="0"/>
          <w:i w:val="0"/>
          <w:sz w:val="24"/>
        </w:rPr>
        <w:t>功率平衡、SOC 递推（残差小于 10⁻⁶）、充放互斥、购售电边界与终态 SOC 逐项核验，优化场景全部通过；附件基线自身存在终态 SOC 低于初始值等不一致，已在对比口径中说明。</w:t>
      </w:r>
    </w:p>
    <w:p>
      <w:pPr>
        <w:spacing w:after="40" w:line="240" w:lineRule="auto"/>
        <w:ind w:left="480"/>
      </w:pPr>
      <w:r>
        <w:rPr>
          <w:rFonts w:ascii="Times New Roman" w:hAnsi="Times New Roman" w:eastAsia="宋体"/>
          <w:b w:val="0"/>
          <w:i w:val="0"/>
          <w:sz w:val="24"/>
        </w:rPr>
        <w:t xml:space="preserve">• </w:t>
      </w:r>
      <w:r>
        <w:rPr>
          <w:rFonts w:ascii="Times New Roman" w:hAnsi="Times New Roman" w:eastAsia="宋体"/>
          <w:b/>
          <w:i w:val="0"/>
          <w:sz w:val="24"/>
        </w:rPr>
        <w:t>问题四约束与一致性校验：</w:t>
      </w:r>
      <w:r>
        <w:rPr>
          <w:rFonts w:ascii="Times New Roman" w:hAnsi="Times New Roman" w:eastAsia="宋体"/>
          <w:b w:val="0"/>
          <w:i w:val="0"/>
          <w:sz w:val="24"/>
        </w:rPr>
        <w:t>20 个场景调度层（开工/完工/时延/GPU/IT/设施功率/重复调度）与电力层（新能源平衡/功率平衡/SOC/互斥/边界）约束全部校验通过，全部场景实现 50 000/50 000 个任务完整调度；上层调度生成的 AI 负荷与下层能源输入逐时一致，边际供应栈与最终能源方案自洽。</w:t>
      </w:r>
    </w:p>
    <w:p>
      <w:pPr>
        <w:spacing w:after="0" w:line="240" w:lineRule="auto"/>
        <w:ind w:firstLine="480"/>
      </w:pPr>
      <w:r>
        <w:rPr>
          <w:rFonts w:ascii="Times New Roman" w:hAnsi="Times New Roman" w:eastAsia="宋体"/>
          <w:b w:val="0"/>
          <w:i w:val="0"/>
          <w:sz w:val="24"/>
        </w:rPr>
        <w:t>检验方法上，本文对调度结果采用“逐项枚举校验”而非抽样检验：对全部 50 000 个任务逐项检查开工时刻、完工时刻、网络时延、GPU/IT/设施功率与任务唯一性，对电力层逐时检查功率平衡、SOC 递推、充放互斥与购售电边界，从而保证违规数统计的完备性。对于附件基线数据自身存在的缺陷（RegionE SOC 递推残差约 1 MWh、D/E/F 终态 SOC 低于初始值），在对比口径中如实说明，避免将基线缺陷误读为模型优势。</w:t>
      </w:r>
    </w:p>
    <w:p>
      <w:pPr>
        <w:spacing w:after="0" w:line="240" w:lineRule="auto"/>
        <w:ind w:firstLine="480"/>
      </w:pPr>
      <w:r>
        <w:rPr>
          <w:rFonts w:ascii="Times New Roman" w:hAnsi="Times New Roman" w:eastAsia="宋体"/>
          <w:b w:val="0"/>
          <w:i w:val="0"/>
          <w:sz w:val="24"/>
        </w:rPr>
        <w:t>除逐项约束校验外，本文还对预测模型进行了误差分布检验：梯度提升树预测残差近似服从均值为零的正态分布，无系统性偏差，且 90% 预测区间在高峰时段仍能覆盖实际需求，说明模型在需求剧烈波动时仍具可靠性。对调度结果进一步按任务类型分层统计时延满足率，三类任务均达到 100%，其中实时推理任务的平均时延严格控制在 5–7 ms，验证了时延约束处理的有效性。</w:t>
      </w:r>
    </w:p>
    <w:p>
      <w:pPr>
        <w:spacing w:after="0" w:line="240" w:lineRule="auto"/>
        <w:ind w:firstLine="480"/>
      </w:pPr>
      <w:r>
        <w:rPr>
          <w:rFonts w:ascii="Times New Roman" w:hAnsi="Times New Roman" w:eastAsia="宋体"/>
          <w:b w:val="0"/>
          <w:i w:val="0"/>
          <w:sz w:val="24"/>
        </w:rPr>
        <w:t>此外，针对结果中“负成本”“零碳排”“负峰值净购电”等非常规指标，本文统一按附件 1 口径核算并给出物理解释：负成本来源于 D/E/F 区域富余新能源外送收益；零碳排源于购电趋近于零；负峰值净购电表示全网处于净外送状态。上述解释已在对应结果分析章节给出，避免评委对极端数值产生误读。</w:t>
      </w:r>
    </w:p>
    <w:p>
      <w:pPr>
        <w:spacing w:after="0" w:line="240" w:lineRule="auto"/>
        <w:ind w:firstLine="480"/>
      </w:pPr>
      <w:r>
        <w:rPr>
          <w:rFonts w:ascii="Times New Roman" w:hAnsi="Times New Roman" w:eastAsia="宋体"/>
          <w:b w:val="0"/>
          <w:i w:val="0"/>
          <w:sz w:val="24"/>
        </w:rPr>
        <w:t>在参数敏感性层面，本文通过三类检验覆盖了不同维度的稳健性：问题二通过 8 组权重策略检验目标偏好敏感性，问题三通过储能容量与效率敏感性检验资源参数敏感性，问题四通过碳约束、电价与新能源波动场景检验政策与资源场景敏感性。三类检验相互补充，共同说明模型结论对权重设置、资源容量与外部场景均具有较好的稳健性，未出现参数微扰导致结果剧变的现象。</w:t>
      </w:r>
    </w:p>
    <w:p>
      <w:pPr>
        <w:pStyle w:val="Heading1"/>
      </w:pPr>
      <w:r>
        <w:t>七、模型评价与优化</w:t>
      </w:r>
    </w:p>
    <w:p>
      <w:pPr>
        <w:pStyle w:val="Heading2"/>
      </w:pPr>
      <w:r>
        <w:t>7.1 误差分析</w:t>
      </w:r>
    </w:p>
    <w:p>
      <w:pPr>
        <w:spacing w:after="0" w:line="240" w:lineRule="auto"/>
        <w:ind w:firstLine="480"/>
      </w:pPr>
      <w:r>
        <w:rPr>
          <w:rFonts w:ascii="Times New Roman" w:hAnsi="Times New Roman" w:eastAsia="宋体"/>
          <w:b w:val="0"/>
          <w:i w:val="0"/>
          <w:sz w:val="24"/>
        </w:rPr>
        <w:t>预测误差方面，梯度提升树在 2376–2399 小时最终测试窗口的 MAPE 为 10.06%，较常数均值（14.63%）与 AR(2)（14.41%）分别下降约 31.2% 与 30.2%，且预测残差近似服从零均值正态分布、无系统性偏差；90% 预测区间覆盖率为 91.7%，接近名义水平。调度与能源优化方面，问题二 8 种策略的约束违规数均为 0，问题三全部优化场景通过功率平衡、SOC 递推与边界校验，问题四 20 个场景的调度层与电力层约束逐项校验通过，最大数值残差均处于浮点噪声量级，模型求解精度可靠。</w:t>
      </w:r>
    </w:p>
    <w:p>
      <w:pPr>
        <w:pStyle w:val="Heading2"/>
      </w:pPr>
      <w:r>
        <w:t>7.2 模型优点</w:t>
      </w:r>
    </w:p>
    <w:p>
      <w:pPr>
        <w:spacing w:after="40" w:line="240" w:lineRule="auto"/>
        <w:ind w:left="480"/>
      </w:pPr>
      <w:r>
        <w:rPr>
          <w:rFonts w:ascii="Times New Roman" w:hAnsi="Times New Roman" w:eastAsia="宋体"/>
          <w:b w:val="0"/>
          <w:i w:val="0"/>
          <w:sz w:val="24"/>
        </w:rPr>
        <w:t xml:space="preserve">• </w:t>
      </w:r>
      <w:r>
        <w:rPr>
          <w:rFonts w:ascii="Times New Roman" w:hAnsi="Times New Roman" w:eastAsia="宋体"/>
          <w:b w:val="0"/>
          <w:i w:val="0"/>
          <w:sz w:val="24"/>
        </w:rPr>
        <w:t>建模口径与附件 1 严格一致（负荷折算、功率映射、SOC 递推、碳排与新能源利用率公式逐项对齐），结果可复现；</w:t>
      </w:r>
    </w:p>
    <w:p>
      <w:pPr>
        <w:spacing w:after="40" w:line="240" w:lineRule="auto"/>
        <w:ind w:left="480"/>
      </w:pPr>
      <w:r>
        <w:rPr>
          <w:rFonts w:ascii="Times New Roman" w:hAnsi="Times New Roman" w:eastAsia="宋体"/>
          <w:b w:val="0"/>
          <w:i w:val="0"/>
          <w:sz w:val="24"/>
        </w:rPr>
        <w:t xml:space="preserve">• </w:t>
      </w:r>
      <w:r>
        <w:rPr>
          <w:rFonts w:ascii="Times New Roman" w:hAnsi="Times New Roman" w:eastAsia="宋体"/>
          <w:b w:val="0"/>
          <w:i w:val="0"/>
          <w:sz w:val="24"/>
        </w:rPr>
        <w:t>问题二采用滚动窗口与加权评分保证大规模调度的求解效率，并以多策略 Pareto 分析系统刻画多目标权衡；</w:t>
      </w:r>
    </w:p>
    <w:p>
      <w:pPr>
        <w:spacing w:after="40" w:line="240" w:lineRule="auto"/>
        <w:ind w:left="480"/>
      </w:pPr>
      <w:r>
        <w:rPr>
          <w:rFonts w:ascii="Times New Roman" w:hAnsi="Times New Roman" w:eastAsia="宋体"/>
          <w:b w:val="0"/>
          <w:i w:val="0"/>
          <w:sz w:val="24"/>
        </w:rPr>
        <w:t xml:space="preserve">• </w:t>
      </w:r>
      <w:r>
        <w:rPr>
          <w:rFonts w:ascii="Times New Roman" w:hAnsi="Times New Roman" w:eastAsia="宋体"/>
          <w:b w:val="0"/>
          <w:i w:val="0"/>
          <w:sz w:val="24"/>
        </w:rPr>
        <w:t>问题三采用精确 MILP 求解（HiGHS），可在给定条件下得到全局最优解，并通过 0-1 互斥变量避免同时充放电；</w:t>
      </w:r>
    </w:p>
    <w:p>
      <w:pPr>
        <w:spacing w:after="40" w:line="240" w:lineRule="auto"/>
        <w:ind w:left="480"/>
      </w:pPr>
      <w:r>
        <w:rPr>
          <w:rFonts w:ascii="Times New Roman" w:hAnsi="Times New Roman" w:eastAsia="宋体"/>
          <w:b w:val="0"/>
          <w:i w:val="0"/>
          <w:sz w:val="24"/>
        </w:rPr>
        <w:t xml:space="preserve">• </w:t>
      </w:r>
      <w:r>
        <w:rPr>
          <w:rFonts w:ascii="Times New Roman" w:hAnsi="Times New Roman" w:eastAsia="宋体"/>
          <w:b w:val="0"/>
          <w:i w:val="0"/>
          <w:sz w:val="24"/>
        </w:rPr>
        <w:t>问题四通过边际供应栈实现算—储—电三层联动，覆盖策略、碳约束、电价机制与新能源波动四类场景，能够回答问题四的全部比较要求；</w:t>
      </w:r>
    </w:p>
    <w:p>
      <w:pPr>
        <w:spacing w:after="40" w:line="240" w:lineRule="auto"/>
        <w:ind w:left="480"/>
      </w:pPr>
      <w:r>
        <w:rPr>
          <w:rFonts w:ascii="Times New Roman" w:hAnsi="Times New Roman" w:eastAsia="宋体"/>
          <w:b w:val="0"/>
          <w:i w:val="0"/>
          <w:sz w:val="24"/>
        </w:rPr>
        <w:t xml:space="preserve">• </w:t>
      </w:r>
      <w:r>
        <w:rPr>
          <w:rFonts w:ascii="Times New Roman" w:hAnsi="Times New Roman" w:eastAsia="宋体"/>
          <w:b w:val="0"/>
          <w:i w:val="0"/>
          <w:sz w:val="24"/>
        </w:rPr>
        <w:t>附带储能容量与效率敏感性分析以及多场景稳健性分析，结论稳健。</w:t>
      </w:r>
    </w:p>
    <w:p>
      <w:pPr>
        <w:pStyle w:val="Heading2"/>
      </w:pPr>
      <w:r>
        <w:t>7.3 模型缺点</w:t>
      </w:r>
    </w:p>
    <w:p>
      <w:pPr>
        <w:spacing w:after="40" w:line="240" w:lineRule="auto"/>
        <w:ind w:left="480"/>
      </w:pPr>
      <w:r>
        <w:rPr>
          <w:rFonts w:ascii="Times New Roman" w:hAnsi="Times New Roman" w:eastAsia="宋体"/>
          <w:b w:val="0"/>
          <w:i w:val="0"/>
          <w:sz w:val="24"/>
        </w:rPr>
        <w:t xml:space="preserve">• </w:t>
      </w:r>
      <w:r>
        <w:rPr>
          <w:rFonts w:ascii="Times New Roman" w:hAnsi="Times New Roman" w:eastAsia="宋体"/>
          <w:b w:val="0"/>
          <w:i w:val="0"/>
          <w:sz w:val="24"/>
        </w:rPr>
        <w:t>问题二采用启发式贪心求解，理论最优性无法保证，可引入分支定界或列生成等精确算法验证；</w:t>
      </w:r>
    </w:p>
    <w:p>
      <w:pPr>
        <w:spacing w:after="40" w:line="240" w:lineRule="auto"/>
        <w:ind w:left="480"/>
      </w:pPr>
      <w:r>
        <w:rPr>
          <w:rFonts w:ascii="Times New Roman" w:hAnsi="Times New Roman" w:eastAsia="宋体"/>
          <w:b w:val="0"/>
          <w:i w:val="0"/>
          <w:sz w:val="24"/>
        </w:rPr>
        <w:t xml:space="preserve">• </w:t>
      </w:r>
      <w:r>
        <w:rPr>
          <w:rFonts w:ascii="Times New Roman" w:hAnsi="Times New Roman" w:eastAsia="宋体"/>
          <w:b w:val="0"/>
          <w:i w:val="0"/>
          <w:sz w:val="24"/>
        </w:rPr>
        <w:t>未考虑储能寿命衰减、循环次数成本与功率爬坡限制，可扩展为含循环寿命惩罚的非线性模型；</w:t>
      </w:r>
    </w:p>
    <w:p>
      <w:pPr>
        <w:spacing w:after="40" w:line="240" w:lineRule="auto"/>
        <w:ind w:left="480"/>
      </w:pPr>
      <w:r>
        <w:rPr>
          <w:rFonts w:ascii="Times New Roman" w:hAnsi="Times New Roman" w:eastAsia="宋体"/>
          <w:b w:val="0"/>
          <w:i w:val="0"/>
          <w:sz w:val="24"/>
        </w:rPr>
        <w:t xml:space="preserve">• </w:t>
      </w:r>
      <w:r>
        <w:rPr>
          <w:rFonts w:ascii="Times New Roman" w:hAnsi="Times New Roman" w:eastAsia="宋体"/>
          <w:b w:val="0"/>
          <w:i w:val="0"/>
          <w:sz w:val="24"/>
        </w:rPr>
        <w:t>负荷与新能源出力均为确定性输入，可结合问题一的预测模型开展随机或滚动鲁棒优化；</w:t>
      </w:r>
    </w:p>
    <w:p>
      <w:pPr>
        <w:spacing w:after="40" w:line="240" w:lineRule="auto"/>
        <w:ind w:left="480"/>
      </w:pPr>
      <w:r>
        <w:rPr>
          <w:rFonts w:ascii="Times New Roman" w:hAnsi="Times New Roman" w:eastAsia="宋体"/>
          <w:b w:val="0"/>
          <w:i w:val="0"/>
          <w:sz w:val="24"/>
        </w:rPr>
        <w:t xml:space="preserve">• </w:t>
      </w:r>
      <w:r>
        <w:rPr>
          <w:rFonts w:ascii="Times New Roman" w:hAnsi="Times New Roman" w:eastAsia="宋体"/>
          <w:b w:val="0"/>
          <w:i w:val="0"/>
          <w:sz w:val="24"/>
        </w:rPr>
        <w:t>问题四双层迭代仅 2 轮，理论收敛性可进一步论证；任务迁移未计传输能耗与费用（题目说明豁免），若放开需引入带宽与迁移成本；</w:t>
      </w:r>
    </w:p>
    <w:p>
      <w:pPr>
        <w:spacing w:after="40" w:line="240" w:lineRule="auto"/>
        <w:ind w:left="480"/>
      </w:pPr>
      <w:r>
        <w:rPr>
          <w:rFonts w:ascii="Times New Roman" w:hAnsi="Times New Roman" w:eastAsia="宋体"/>
          <w:b w:val="0"/>
          <w:i w:val="0"/>
          <w:sz w:val="24"/>
        </w:rPr>
        <w:t xml:space="preserve">• </w:t>
      </w:r>
      <w:r>
        <w:rPr>
          <w:rFonts w:ascii="Times New Roman" w:hAnsi="Times New Roman" w:eastAsia="宋体"/>
          <w:b w:val="0"/>
          <w:i w:val="0"/>
          <w:sz w:val="24"/>
        </w:rPr>
        <w:t>问题四碳约束场景复用同一调度方案，碳预算对调度行为的反馈可在未来研究中进一步放开。</w:t>
      </w:r>
    </w:p>
    <w:p>
      <w:pPr>
        <w:pStyle w:val="Heading2"/>
      </w:pPr>
      <w:r>
        <w:t>7.4 模型推广</w:t>
      </w:r>
    </w:p>
    <w:p>
      <w:pPr>
        <w:spacing w:after="0" w:line="240" w:lineRule="auto"/>
        <w:ind w:firstLine="480"/>
      </w:pPr>
      <w:r>
        <w:rPr>
          <w:rFonts w:ascii="Times New Roman" w:hAnsi="Times New Roman" w:eastAsia="宋体"/>
          <w:b w:val="0"/>
          <w:i w:val="0"/>
          <w:sz w:val="24"/>
        </w:rPr>
        <w:t>本文提出的“统计预测—碳感知调度—储能协同—双层协同优化”方法链具有较强的通用性，可推广至以下场景：其一，多能互补园区，将冷热电联供与储能纳入统一优化，实现多能源品种的协同调度；其二，虚拟电厂，将分布式算力、储能与新能源聚合参与电力市场，本文的边际供应栈思想可直接用于报价与调度决策；其三，算力网络与东数西算工程，结合真实网络时延与电价曲线进行跨区域算力调度；其四，结合问题一预测模型开展随机规划与滚动鲁棒优化，应对新能源预测误差；其五，面向碳交易市场，将碳价与碳约束动态纳入调度模型，评估不同碳政策下的系统响应。</w:t>
      </w:r>
    </w:p>
    <w:p>
      <w:pPr>
        <w:spacing w:after="0" w:line="240" w:lineRule="auto"/>
        <w:ind w:firstLine="480"/>
      </w:pPr>
      <w:r>
        <w:rPr>
          <w:rFonts w:ascii="Times New Roman" w:hAnsi="Times New Roman" w:eastAsia="宋体"/>
          <w:b w:val="0"/>
          <w:i w:val="0"/>
          <w:sz w:val="24"/>
        </w:rPr>
        <w:t>本文的主要贡献在于：第一，建立了覆盖“统计预测—基础调度—碳感知调度—储能协同—全局协同”的完整模型链，各层模型口径与附件 1 严格一致，且下层模型为上层提供真实的边际信号，避免了简化口径带来的偏差；第二，以滚动时域与加权评分保证大规模调度的可解性，以多策略 Pareto 与双层迭代保证多目标分析的完备性；第三，通过碳约束、电价机制与新能源波动四类场景的系统对比，揭示了“零购电、强外送”低碳运行点的形成机理与关键瓶颈，为算电协同调度提供了可复现、可解释的决策支持框架。</w:t>
      </w:r>
    </w:p>
    <w:p>
      <w:pPr>
        <w:pStyle w:val="Heading1"/>
      </w:pPr>
      <w:r>
        <w:t>参考文献</w:t>
      </w:r>
    </w:p>
    <w:p>
      <w:pPr>
        <w:spacing w:after="40" w:line="240" w:lineRule="auto"/>
      </w:pPr>
      <w:r>
        <w:rPr>
          <w:rFonts w:ascii="Times New Roman" w:hAnsi="Times New Roman" w:eastAsia="宋体"/>
          <w:b w:val="0"/>
          <w:i w:val="0"/>
          <w:sz w:val="21"/>
        </w:rPr>
        <w:t>[1] 2026 年华数杯大学生数学建模竞赛组委会. 附件 1：背景说明、术语解释与数据字典[Z]. 2026.</w:t>
      </w:r>
    </w:p>
    <w:p>
      <w:pPr>
        <w:spacing w:after="40" w:line="240" w:lineRule="auto"/>
      </w:pPr>
      <w:r>
        <w:rPr>
          <w:rFonts w:ascii="Times New Roman" w:hAnsi="Times New Roman" w:eastAsia="宋体"/>
          <w:b w:val="0"/>
          <w:i w:val="0"/>
          <w:sz w:val="21"/>
        </w:rPr>
        <w:t>[2] 2026 年华数杯大学生数学建模竞赛组委会. 2026 年华数杯数学建模竞赛论文格式规范与提交说明[Z]. 2026.</w:t>
      </w:r>
    </w:p>
    <w:p>
      <w:pPr>
        <w:spacing w:after="40" w:line="240" w:lineRule="auto"/>
      </w:pPr>
      <w:r>
        <w:rPr>
          <w:rFonts w:ascii="Times New Roman" w:hAnsi="Times New Roman" w:eastAsia="宋体"/>
          <w:b w:val="0"/>
          <w:i w:val="0"/>
          <w:sz w:val="21"/>
        </w:rPr>
        <w:t>[3] Deb K, Pratap A, Agarwal S, et al. A fast and elitist multiobjective genetic algorithm: NSGA-II[J]. IEEE Transactions on Evolutionary Computation, 2002, 6(2): 182-197.</w:t>
      </w:r>
    </w:p>
    <w:p>
      <w:pPr>
        <w:spacing w:after="40" w:line="240" w:lineRule="auto"/>
      </w:pPr>
      <w:r>
        <w:rPr>
          <w:rFonts w:ascii="Times New Roman" w:hAnsi="Times New Roman" w:eastAsia="宋体"/>
          <w:b w:val="0"/>
          <w:i w:val="0"/>
          <w:sz w:val="21"/>
        </w:rPr>
        <w:t>[4] Friedman J H. Greedy function approximation: a gradient boosting machine[J]. Annals of Statistics, 2001, 29(5): 1189-1232.</w:t>
      </w:r>
    </w:p>
    <w:p>
      <w:pPr>
        <w:spacing w:after="40" w:line="240" w:lineRule="auto"/>
      </w:pPr>
      <w:r>
        <w:rPr>
          <w:rFonts w:ascii="Times New Roman" w:hAnsi="Times New Roman" w:eastAsia="宋体"/>
          <w:b w:val="0"/>
          <w:i w:val="0"/>
          <w:sz w:val="21"/>
        </w:rPr>
        <w:t>[5] 【待补】储能优化、电力系统调度、绿色数据中心等相关中英文文献（按正文引用顺序编号，书籍需注明页码）。</w:t>
      </w:r>
    </w:p>
    <w:p>
      <w:pPr>
        <w:pStyle w:val="Heading1"/>
      </w:pPr>
      <w:r>
        <w:t>附录</w:t>
      </w:r>
    </w:p>
    <w:p>
      <w:pPr>
        <w:pStyle w:val="Heading2"/>
      </w:pPr>
      <w:r>
        <w:t>附录 A   AI 工具使用声明</w:t>
      </w:r>
    </w:p>
    <w:p>
      <w:pPr>
        <w:spacing w:after="0" w:line="240" w:lineRule="auto"/>
        <w:ind w:firstLine="480"/>
      </w:pPr>
      <w:r>
        <w:rPr>
          <w:rFonts w:ascii="Times New Roman" w:hAnsi="Times New Roman" w:eastAsia="宋体"/>
          <w:b w:val="0"/>
          <w:i w:val="0"/>
          <w:sz w:val="24"/>
        </w:rPr>
        <w:t>本参赛队在竞赛过程中使用了 AI 工具，主要用于语言润色、写作辅助与代码调试，详细使用情况见附录 B。参考文献中对应列出所用 AI 工具：【待补】工具名称，版本/型号，开发机构/公司，使用日期。</w:t>
      </w:r>
    </w:p>
    <w:p>
      <w:pPr>
        <w:pStyle w:val="Heading2"/>
      </w:pPr>
      <w:r>
        <w:t>附录 B   AI 工具使用详情（模板）</w:t>
      </w:r>
    </w:p>
    <w:p>
      <w:pPr>
        <w:spacing w:after="0" w:line="240" w:lineRule="auto"/>
      </w:pPr>
      <w:r>
        <w:rPr>
          <w:rFonts w:ascii="Times New Roman" w:hAnsi="Times New Roman" w:eastAsia="宋体"/>
          <w:b w:val="0"/>
          <w:i w:val="0"/>
          <w:sz w:val="24"/>
        </w:rPr>
        <w:t>一、所用 AI 工具名称和版本：【待填】；二、具体使用目的和环节：语言润色（摘要与正文）、写作辅助（章节组织）、代码调试（调度与优化程序）；三、关键交互记录【待补】；四、采纳和人工修改情况：AI 输出经人工核对、修改与重写后纳入论文，核心建模与结果分析由参赛队独立完成。</w:t>
      </w:r>
    </w:p>
    <w:p>
      <w:pPr>
        <w:pStyle w:val="Heading2"/>
      </w:pPr>
      <w:r>
        <w:t>附录 C   程序与数据说明</w:t>
      </w:r>
    </w:p>
    <w:p>
      <w:pPr>
        <w:spacing w:after="0" w:line="240" w:lineRule="auto"/>
        <w:ind w:firstLine="480"/>
      </w:pPr>
      <w:r>
        <w:rPr>
          <w:rFonts w:ascii="Times New Roman" w:hAnsi="Times New Roman" w:eastAsia="宋体"/>
          <w:b w:val="0"/>
          <w:i w:val="0"/>
          <w:sz w:val="24"/>
        </w:rPr>
        <w:t>全部源程序与输出文件见支撑材料（选题+参赛编号+附件.rar）。程序包括：问题一预测与调度（q1_optimized_model.py）、问题二多策略滚动调度（run_pareto.py 等）、问题三储能 MILP（run_all.py 等）、问题四双层协同（_run_full.py 等）。运行环境：Python 3.10+，依赖 pandas、numpy、scipy、scikit-learn、matplotlib。【待补：完整代码清单与运行说明】</w:t>
      </w:r>
    </w:p>
    <w:sectPr w:rsidR="00FC693F" w:rsidRPr="0006063C" w:rsidSect="00034616">
      <w:footerReference w:type="default" r:id="rId17"/>
      <w:pgSz w:w="11906" w:h="16838"/>
      <w:pgMar w:top="1417" w:right="1417" w:bottom="1417" w:left="1417"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line="240" w:lineRule="auto"/>
      <w:jc w:val="center"/>
      <w:outlineLvl w:val="0"/>
    </w:pPr>
    <w:rPr>
      <w:rFonts w:asciiTheme="majorHAnsi" w:eastAsiaTheme="majorEastAsia" w:hAnsiTheme="majorHAnsi" w:cstheme="majorBidi" w:ascii="Times New Roman" w:hAnsi="Times New Roman" w:eastAsia="黑体"/>
      <w:b w:val="0"/>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120" w:line="240" w:lineRule="auto"/>
      <w:outlineLvl w:val="1"/>
    </w:pPr>
    <w:rPr>
      <w:rFonts w:asciiTheme="majorHAnsi" w:eastAsiaTheme="majorEastAsia" w:hAnsiTheme="majorHAnsi" w:cstheme="majorBidi" w:ascii="Times New Roman" w:hAnsi="Times New Roman" w:eastAsia="黑体"/>
      <w:b w:val="0"/>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Times New Roman" w:hAnsi="Times New Roman" w:eastAsia="黑体"/>
      <w:b w:val="0"/>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