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Times New Roman" w:hAnsi="Times New Roman" w:eastAsia="黑体"/>
          <w:b w:val="0"/>
          <w:i w:val="0"/>
          <w:sz w:val="30"/>
        </w:rPr>
        <w:t>华数杯 C 题前三问建模汇总报告</w:t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i w:val="0"/>
          <w:sz w:val="24"/>
        </w:rPr>
        <w:t>—— 面向算电协同的多目标调度优化研究</w:t>
      </w:r>
    </w:p>
    <w:p>
      <w:pPr>
        <w:pStyle w:val="Heading1"/>
      </w:pPr>
      <w:r>
        <w:t>一、问题概述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本题设定六个典型区域（RegionA–C 为东部高负荷区域、RegionD 为西部算力中心、RegionE/F 为光伏/风电资源富集区域），三类 AI 任务（实时推理、批量推理、AI 训练）在 0–2399 小时主时域内到达，任务不可抢占、不可拆分、不可中途迁移。研究目标是在 GPU 容量、功率、网络时延与完成时限等约束下，实现算力调度、储能运行与电力系统的协同优化。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前三问呈递进关系：问题一解决算力需求的统计、预测与基础调度；问题二引入跨区域迁移与碳感知，构建多目标任务调度模型；问题三在给定调度与负荷的基础上研究储能协同优化。三问分别对应“算力侧—调度侧—能源侧”的核心环节，为问题四的全局算—储—电协同奠定基础。</w:t>
      </w:r>
    </w:p>
    <w:p>
      <w:pPr>
        <w:pStyle w:val="Heading1"/>
      </w:pPr>
      <w:r>
        <w:t>二、问题一：算力需求统计、短期预测与基础算力调度</w:t>
      </w:r>
    </w:p>
    <w:p>
      <w:pPr>
        <w:pStyle w:val="Heading2"/>
      </w:pPr>
      <w:r>
        <w:t>2.1 数据特性分析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对逐小时 GPU 需求序列的分析表明，其均值方差比约为 1.032，一阶自相关接近于 0，序列整体接近独立同分布（i.i.d.），不存在显著的趋势或周期记忆成分。该特性意味着短期预测应以近期观测信息为主，无需引入复杂的长期记忆模型。</w:t>
      </w:r>
    </w:p>
    <w:p>
      <w:pPr>
        <w:pStyle w:val="Heading2"/>
      </w:pPr>
      <w:r>
        <w:t>2.2 短期预测模型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分别构建常数均值、AR(2) 与梯度提升树（Gradient Boosting）三种模型，以 10% 留出法（0–2159 小时训练、2160–2399 小时测试）验证，结果如表 1 所示。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1  三种短期预测模型性能对比（10% 测试集）</w:t>
      </w:r>
    </w:p>
    <w:tbl>
      <w:tblPr>
        <w:tblW w:type="dxa" w:w="9072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  <w:tblInd w:w="120" w:type="dxa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00"/>
        <w:gridCol w:w="2157"/>
        <w:gridCol w:w="2157"/>
        <w:gridCol w:w="2158"/>
      </w:tblGrid>
      <w:tr>
        <w:trPr>
          <w:tblHeader/>
        </w:trPr>
        <w:tc>
          <w:tcPr>
            <w:tcW w:type="dxa" w:w="26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模型</w:t>
            </w:r>
          </w:p>
        </w:tc>
        <w:tc>
          <w:tcPr>
            <w:tcW w:type="dxa" w:w="215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MAE（等效GPU）</w:t>
            </w:r>
          </w:p>
        </w:tc>
        <w:tc>
          <w:tcPr>
            <w:tcW w:type="dxa" w:w="215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RMSE（等效GPU）</w:t>
            </w:r>
          </w:p>
        </w:tc>
        <w:tc>
          <w:tcPr>
            <w:tcW w:type="dxa" w:w="2158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MAPE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常数均值</w:t>
            </w:r>
          </w:p>
        </w:tc>
        <w:tc>
          <w:tcPr>
            <w:tcW w:type="dxa" w:w="21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351.38</w:t>
            </w:r>
          </w:p>
        </w:tc>
        <w:tc>
          <w:tcPr>
            <w:tcW w:type="dxa" w:w="21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425.90</w:t>
            </w:r>
          </w:p>
        </w:tc>
        <w:tc>
          <w:tcPr>
            <w:tcW w:type="dxa" w:w="21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14.61%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AR(2)</w:t>
            </w:r>
          </w:p>
        </w:tc>
        <w:tc>
          <w:tcPr>
            <w:tcW w:type="dxa" w:w="21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350.24</w:t>
            </w:r>
          </w:p>
        </w:tc>
        <w:tc>
          <w:tcPr>
            <w:tcW w:type="dxa" w:w="21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424.79</w:t>
            </w:r>
          </w:p>
        </w:tc>
        <w:tc>
          <w:tcPr>
            <w:tcW w:type="dxa" w:w="21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14.55%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梯度提升树</w:t>
            </w:r>
          </w:p>
        </w:tc>
        <w:tc>
          <w:tcPr>
            <w:tcW w:type="dxa" w:w="21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230.79</w:t>
            </w:r>
          </w:p>
        </w:tc>
        <w:tc>
          <w:tcPr>
            <w:tcW w:type="dxa" w:w="21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284.49</w:t>
            </w:r>
          </w:p>
        </w:tc>
        <w:tc>
          <w:tcPr>
            <w:tcW w:type="dxa" w:w="21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9.51%</w:t>
            </w:r>
          </w:p>
        </w:tc>
      </w:tr>
    </w:tbl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梯度提升树模型的 MAPE 为 9.51%，较常数均值与 AR(2) 模型分别下降约 34.9% 与 34.6%，预测性能最优。进一步通过分位数回归给出 90% 预测区间，测试集上的区间覆盖率为 85.8%，在可接受范围内，可支撑调度决策的不确定性分析。</w:t>
      </w:r>
    </w:p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24"/>
        </w:rPr>
        <w:t>注：赛题建议最终测试窗口为 2376–2399 小时，正式论文中建议按该窗口重新核算预测精度，或同时报告两套口径的结果。</w:t>
      </w:r>
    </w:p>
    <w:p>
      <w:pPr>
        <w:pStyle w:val="Heading2"/>
      </w:pPr>
      <w:r>
        <w:t>2.3 基础算力调度模型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基础调度模型以 GPU 容量为硬约束：实时推理任务到达即开工，批量推理与 AI 训练任务在容量允许时可延后执行，任务不可拆分或迁移。对第 2376–2399 小时实际到达的 538 个任务进行调度，结果统计如表 2 所示。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2  最后 24 小时（2376–2399）基础调度任务统计</w:t>
      </w:r>
    </w:p>
    <w:tbl>
      <w:tblPr>
        <w:tblW w:type="dxa" w:w="9072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  <w:tblInd w:w="120" w:type="dxa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100"/>
        <w:gridCol w:w="1400"/>
        <w:gridCol w:w="1300"/>
        <w:gridCol w:w="2137"/>
        <w:gridCol w:w="2135"/>
      </w:tblGrid>
      <w:tr>
        <w:trPr>
          <w:tblHeader/>
        </w:trPr>
        <w:tc>
          <w:tcPr>
            <w:tcW w:type="dxa" w:w="21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任务类型</w:t>
            </w:r>
          </w:p>
        </w:tc>
        <w:tc>
          <w:tcPr>
            <w:tcW w:type="dxa" w:w="14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任务数</w:t>
            </w:r>
          </w:p>
        </w:tc>
        <w:tc>
          <w:tcPr>
            <w:tcW w:type="dxa" w:w="13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占比</w:t>
            </w:r>
          </w:p>
        </w:tc>
        <w:tc>
          <w:tcPr>
            <w:tcW w:type="dxa" w:w="213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是否迁移</w:t>
            </w:r>
          </w:p>
        </w:tc>
        <w:tc>
          <w:tcPr>
            <w:tcW w:type="dxa" w:w="213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延后调度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AI 训练</w:t>
            </w:r>
          </w:p>
        </w:tc>
        <w:tc>
          <w:tcPr>
            <w:tcW w:type="dxa" w:w="14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194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36.1%</w:t>
            </w:r>
          </w:p>
        </w:tc>
        <w:tc>
          <w:tcPr>
            <w:tcW w:type="dxa" w:w="213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13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允许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批量推理</w:t>
            </w:r>
          </w:p>
        </w:tc>
        <w:tc>
          <w:tcPr>
            <w:tcW w:type="dxa" w:w="14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184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34.2%</w:t>
            </w:r>
          </w:p>
        </w:tc>
        <w:tc>
          <w:tcPr>
            <w:tcW w:type="dxa" w:w="213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13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允许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实时推理</w:t>
            </w:r>
          </w:p>
        </w:tc>
        <w:tc>
          <w:tcPr>
            <w:tcW w:type="dxa" w:w="14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29.7%</w:t>
            </w:r>
          </w:p>
        </w:tc>
        <w:tc>
          <w:tcPr>
            <w:tcW w:type="dxa" w:w="213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不迁移</w:t>
            </w:r>
          </w:p>
        </w:tc>
        <w:tc>
          <w:tcPr>
            <w:tcW w:type="dxa" w:w="213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不允许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合计</w:t>
            </w:r>
          </w:p>
        </w:tc>
        <w:tc>
          <w:tcPr>
            <w:tcW w:type="dxa" w:w="14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538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13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迁移率 2.8%</w:t>
            </w:r>
          </w:p>
        </w:tc>
        <w:tc>
          <w:tcPr>
            <w:tcW w:type="dxa" w:w="213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零延后</w:t>
            </w:r>
          </w:p>
        </w:tc>
      </w:tr>
    </w:tbl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调度结果显示：538 个任务全部按时完成，迁移率仅 2.8%，全部任务到达即开工（零延后），IT 功率峰值约为容量的 28%。说明测试窗口内区域算力容量充足，基础调度即可满足全部约束；延后与迁移的调度弹性将留给问题二在成本、碳排与新能源消纳目标下使用。</w:t>
      </w:r>
    </w:p>
    <w:p>
      <w:pPr>
        <w:pStyle w:val="Heading1"/>
      </w:pPr>
      <w:r>
        <w:t>三、问题二：碳感知任务调度模型</w:t>
      </w:r>
    </w:p>
    <w:p>
      <w:pPr>
        <w:pStyle w:val="Heading2"/>
      </w:pPr>
      <w:r>
        <w:t>3.1 模型概述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问题二以任务迁移目标区域与开工时段为决策变量，构建基于加权综合评分的碳感知滚动窗口调度模型（WCRS）：按 6 小时窗口滚动切分主时域、向前看 24 小时，将运行成本、碳排放、网络时延与新能源利用率四个目标通过加权求和转化为综合评分，并以贪心方式逐任务求解；再通过 8 组权重策略生成多套方案，经 Pareto 非支配筛选得到多目标折中解集。</w:t>
      </w:r>
    </w:p>
    <w:p>
      <w:pPr>
        <w:tabs>
          <w:tab w:pos="4535" w:val="center"/>
          <w:tab w:pos="9071" w:val="right"/>
        </w:tabs>
        <w:spacing w:line="240" w:lineRule="auto" w:before="80" w:after="80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Times New Roman" w:hAnsi="Times New Roman" w:eastAsia="宋体"/>
          <w:b/>
          <w:i w:val="0"/>
          <w:sz w:val="24"/>
        </w:rPr>
        <w:t>Score(i,r,s) = α·Cost(i,r,s) + β·Carbon(i,r,s) + γ·Latency(i,r) − δ·RenewableBenefit(i,r,s) + μ·Congestion(i,r,s)</w:t>
      </w:r>
      <w:r>
        <w:rPr>
          <w:rFonts w:ascii="Times New Roman" w:hAnsi="Times New Roman" w:eastAsia="宋体"/>
          <w:b w:val="0"/>
          <w:i w:val="0"/>
          <w:sz w:val="24"/>
        </w:rPr>
        <w:tab/>
        <w:t>(1)</w:t>
      </w:r>
    </w:p>
    <w:p>
      <w:pPr>
        <w:pStyle w:val="Heading2"/>
      </w:pPr>
      <w:r>
        <w:t>3.2 八种策略调度结果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八种策略均实现 50 000/50 000 个任务的完整调度，约束违规数为 0，按时完成率为 100%，结果如表 3 所示。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3  八种策略调度结果对比（全时域 0–2399 小时）</w:t>
      </w:r>
    </w:p>
    <w:tbl>
      <w:tblPr>
        <w:tblW w:type="dxa" w:w="9072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  <w:tblInd w:w="120" w:type="dxa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200"/>
        <w:gridCol w:w="1300"/>
        <w:gridCol w:w="1250"/>
        <w:gridCol w:w="1150"/>
        <w:gridCol w:w="1250"/>
        <w:gridCol w:w="1300"/>
        <w:gridCol w:w="622"/>
      </w:tblGrid>
      <w:tr>
        <w:trPr>
          <w:tblHeader/>
        </w:trPr>
        <w:tc>
          <w:tcPr>
            <w:tcW w:type="dxa" w:w="22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策略</w:t>
            </w:r>
          </w:p>
        </w:tc>
        <w:tc>
          <w:tcPr>
            <w:tcW w:type="dxa" w:w="13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净运行成本</w:t>
              <w:br/>
              <w:t>（万元）</w:t>
            </w:r>
          </w:p>
        </w:tc>
        <w:tc>
          <w:tcPr>
            <w:tcW w:type="dxa" w:w="125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碳排放</w:t>
              <w:br/>
              <w:t>（tCO₂）</w:t>
            </w:r>
          </w:p>
        </w:tc>
        <w:tc>
          <w:tcPr>
            <w:tcW w:type="dxa" w:w="115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新能源</w:t>
              <w:br/>
              <w:t>利用率</w:t>
            </w:r>
          </w:p>
        </w:tc>
        <w:tc>
          <w:tcPr>
            <w:tcW w:type="dxa" w:w="125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平均时延</w:t>
              <w:br/>
              <w:t>（ms）</w:t>
            </w:r>
          </w:p>
        </w:tc>
        <w:tc>
          <w:tcPr>
            <w:tcW w:type="dxa" w:w="13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峰值净购电</w:t>
              <w:br/>
              <w:t>（MW）</w:t>
            </w:r>
          </w:p>
        </w:tc>
        <w:tc>
          <w:tcPr>
            <w:tcW w:type="dxa" w:w="622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迁移比例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综合权衡 balanced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-43 873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160.7</w:t>
            </w:r>
          </w:p>
        </w:tc>
        <w:tc>
          <w:tcPr>
            <w:tcW w:type="dxa" w:w="11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68.8%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14.35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171.2</w:t>
            </w:r>
          </w:p>
        </w:tc>
        <w:tc>
          <w:tcPr>
            <w:tcW w:type="dxa" w:w="6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23.8%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成本优先 cost_first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-43 842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158.8</w:t>
            </w:r>
          </w:p>
        </w:tc>
        <w:tc>
          <w:tcPr>
            <w:tcW w:type="dxa" w:w="11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68.8%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12.04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197.5</w:t>
            </w:r>
          </w:p>
        </w:tc>
        <w:tc>
          <w:tcPr>
            <w:tcW w:type="dxa" w:w="6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22.2%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低碳优先 carbon_first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-43 889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160.7</w:t>
            </w:r>
          </w:p>
        </w:tc>
        <w:tc>
          <w:tcPr>
            <w:tcW w:type="dxa" w:w="11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68.9%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16.38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160.6</w:t>
            </w:r>
          </w:p>
        </w:tc>
        <w:tc>
          <w:tcPr>
            <w:tcW w:type="dxa" w:w="6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31.9%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新能源优先 renewable_first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-43 655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163.3</w:t>
            </w:r>
          </w:p>
        </w:tc>
        <w:tc>
          <w:tcPr>
            <w:tcW w:type="dxa" w:w="11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68.8%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25.33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153.4</w:t>
            </w:r>
          </w:p>
        </w:tc>
        <w:tc>
          <w:tcPr>
            <w:tcW w:type="dxa" w:w="6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54.3%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时延优先 latency_first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-41 687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149.7</w:t>
            </w:r>
          </w:p>
        </w:tc>
        <w:tc>
          <w:tcPr>
            <w:tcW w:type="dxa" w:w="11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67.9%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5.06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188.9</w:t>
            </w:r>
          </w:p>
        </w:tc>
        <w:tc>
          <w:tcPr>
            <w:tcW w:type="dxa" w:w="6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0.2%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低碳＋新能源 carbon_renewable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-43 702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129.6</w:t>
            </w:r>
          </w:p>
        </w:tc>
        <w:tc>
          <w:tcPr>
            <w:tcW w:type="dxa" w:w="11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68.8%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22.58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107.6</w:t>
            </w:r>
          </w:p>
        </w:tc>
        <w:tc>
          <w:tcPr>
            <w:tcW w:type="dxa" w:w="6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45.3%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成本＋碳 cost_carbon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-43 902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148.8</w:t>
            </w:r>
          </w:p>
        </w:tc>
        <w:tc>
          <w:tcPr>
            <w:tcW w:type="dxa" w:w="11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68.8%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15.81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150.3</w:t>
            </w:r>
          </w:p>
        </w:tc>
        <w:tc>
          <w:tcPr>
            <w:tcW w:type="dxa" w:w="6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30.7%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负载均衡 load_balanced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-43 636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144.3</w:t>
            </w:r>
          </w:p>
        </w:tc>
        <w:tc>
          <w:tcPr>
            <w:tcW w:type="dxa" w:w="11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68.7%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20.38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153.9</w:t>
            </w:r>
          </w:p>
        </w:tc>
        <w:tc>
          <w:tcPr>
            <w:tcW w:type="dxa" w:w="6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41.8%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24"/>
        </w:rPr>
        <w:t>注：净运行成本＝购电成本−新能源外送收益；碳排放按“购电×碳强度”口径计算。</w:t>
      </w:r>
    </w:p>
    <w:p>
      <w:pPr>
        <w:pStyle w:val="Heading2"/>
      </w:pPr>
      <w:r>
        <w:t>3.3 与附件基线对比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4  balanced 策略与附件基线对比（全时域）</w:t>
      </w:r>
    </w:p>
    <w:tbl>
      <w:tblPr>
        <w:tblW w:type="dxa" w:w="9072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  <w:tblInd w:w="120" w:type="dxa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300"/>
        <w:gridCol w:w="2257"/>
        <w:gridCol w:w="2257"/>
        <w:gridCol w:w="2258"/>
      </w:tblGrid>
      <w:tr>
        <w:trPr>
          <w:tblHeader/>
        </w:trPr>
        <w:tc>
          <w:tcPr>
            <w:tcW w:type="dxa" w:w="23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指标</w:t>
            </w:r>
          </w:p>
        </w:tc>
        <w:tc>
          <w:tcPr>
            <w:tcW w:type="dxa" w:w="225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附件基线</w:t>
            </w:r>
          </w:p>
        </w:tc>
        <w:tc>
          <w:tcPr>
            <w:tcW w:type="dxa" w:w="225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balanced 策略</w:t>
            </w:r>
          </w:p>
        </w:tc>
        <w:tc>
          <w:tcPr>
            <w:tcW w:type="dxa" w:w="2258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变化幅度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净运行成本（元）</w:t>
            </w:r>
          </w:p>
        </w:tc>
        <w:tc>
          <w:tcPr>
            <w:tcW w:type="dxa" w:w="22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1 801 786 873</w:t>
            </w:r>
          </w:p>
        </w:tc>
        <w:tc>
          <w:tcPr>
            <w:tcW w:type="dxa" w:w="22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-438 731 037</w:t>
            </w:r>
          </w:p>
        </w:tc>
        <w:tc>
          <w:tcPr>
            <w:tcW w:type="dxa" w:w="22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由正转负（外送收益所致）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碳排放（tCO₂）</w:t>
            </w:r>
          </w:p>
        </w:tc>
        <w:tc>
          <w:tcPr>
            <w:tcW w:type="dxa" w:w="22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2 045 367</w:t>
            </w:r>
          </w:p>
        </w:tc>
        <w:tc>
          <w:tcPr>
            <w:tcW w:type="dxa" w:w="22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160.7</w:t>
            </w:r>
          </w:p>
        </w:tc>
        <w:tc>
          <w:tcPr>
            <w:tcW w:type="dxa" w:w="22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-99.99%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新能源利用率</w:t>
            </w:r>
          </w:p>
        </w:tc>
        <w:tc>
          <w:tcPr>
            <w:tcW w:type="dxa" w:w="22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32.8%</w:t>
            </w:r>
          </w:p>
        </w:tc>
        <w:tc>
          <w:tcPr>
            <w:tcW w:type="dxa" w:w="22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68.8%</w:t>
            </w:r>
          </w:p>
        </w:tc>
        <w:tc>
          <w:tcPr>
            <w:tcW w:type="dxa" w:w="22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+109.6%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弃电总量（MWh）</w:t>
            </w:r>
          </w:p>
        </w:tc>
        <w:tc>
          <w:tcPr>
            <w:tcW w:type="dxa" w:w="22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7 752 928</w:t>
            </w:r>
          </w:p>
        </w:tc>
        <w:tc>
          <w:tcPr>
            <w:tcW w:type="dxa" w:w="22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3 596 690</w:t>
            </w:r>
          </w:p>
        </w:tc>
        <w:tc>
          <w:tcPr>
            <w:tcW w:type="dxa" w:w="22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-53.6%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系统峰值净购电（MW）</w:t>
            </w:r>
          </w:p>
        </w:tc>
        <w:tc>
          <w:tcPr>
            <w:tcW w:type="dxa" w:w="22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1 907.6</w:t>
            </w:r>
          </w:p>
        </w:tc>
        <w:tc>
          <w:tcPr>
            <w:tcW w:type="dxa" w:w="22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171.2</w:t>
            </w:r>
          </w:p>
        </w:tc>
        <w:tc>
          <w:tcPr>
            <w:tcW w:type="dxa" w:w="22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-91.0%</w:t>
            </w:r>
          </w:p>
        </w:tc>
      </w:tr>
    </w:tbl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八种策略两两进行 Pareto 支配检验后均未被支配，共同构成 Pareto 前沿（如图 1 所示）：时延优先策略平均时延仅 5.06 ms 但成本与弃电相对较高；低碳＋新能源策略碳排放与峰值净购电最低但时延升至 22.58 ms；负载均衡策略西部承接比例最高（50.9%）。多目标之间存在显著冲突，需按决策偏好选择折中方案。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3461538"/>
            <wp:docPr id="1" name="Picture 1" descr="问题二八种策略Pareto前沿散点图" title="问题二八种策略Pareto前沿散点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to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6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1  问题二八种策略 Pareto 前沿散点图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892857"/>
            <wp:docPr id="2" name="Picture 2" descr="问题二优化结果与附件基线对比" title="问题二优化结果与附件基线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9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2  问题二优化结果与附件基线对比</w:t>
      </w:r>
    </w:p>
    <w:p>
      <w:pPr>
        <w:pStyle w:val="Heading1"/>
      </w:pPr>
      <w:r>
        <w:t>四、问题三：储能协同优化模型</w:t>
      </w:r>
    </w:p>
    <w:p>
      <w:pPr>
        <w:pStyle w:val="Heading2"/>
      </w:pPr>
      <w:r>
        <w:t>4.1 模型概述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问题三在给定任务调度与逐时负荷的基础上，仅优化储能充放电、购售电与新能源分配策略。由于各区域之间不存在线路潮流与带宽耦合，问题可分解为六个独立的区域子问题，每个子问题为带 0-1 充放互斥变量的混合整数线性规划（MILP），由 HiGHS 求解器精确求解。模型以运行成本、碳排放、区域峰值净购电功率与净购电波动（MAD）为目标，采用逐目标字典序与加权归一化两种方式生成多组策略，并开展储能容量与充放电效率的敏感性分析。</w:t>
      </w:r>
    </w:p>
    <w:p>
      <w:pPr>
        <w:tabs>
          <w:tab w:pos="4535" w:val="center"/>
          <w:tab w:pos="9071" w:val="right"/>
        </w:tabs>
        <w:spacing w:line="240" w:lineRule="auto" w:before="80" w:after="80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Times New Roman" w:hAnsi="Times New Roman" w:eastAsia="宋体"/>
          <w:b w:val="0"/>
          <w:i w:val="0"/>
          <w:sz w:val="24"/>
        </w:rPr>
        <w:t>SOC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r,t</w:t>
      </w:r>
      <w:r>
        <w:rPr>
          <w:rFonts w:ascii="Times New Roman" w:hAnsi="Times New Roman" w:eastAsia="宋体"/>
          <w:b w:val="0"/>
          <w:i w:val="0"/>
          <w:sz w:val="24"/>
        </w:rPr>
        <w:t xml:space="preserve"> = SOC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r,t−1</w:t>
      </w:r>
      <w:r>
        <w:rPr>
          <w:rFonts w:ascii="Times New Roman" w:hAnsi="Times New Roman" w:eastAsia="宋体"/>
          <w:b w:val="0"/>
          <w:i w:val="0"/>
          <w:sz w:val="24"/>
        </w:rPr>
        <w:t xml:space="preserve"> + η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c</w:t>
      </w:r>
      <w:r>
        <w:rPr>
          <w:rFonts w:ascii="Times New Roman" w:hAnsi="Times New Roman" w:eastAsia="宋体"/>
          <w:b w:val="0"/>
          <w:i w:val="0"/>
          <w:sz w:val="24"/>
        </w:rPr>
        <w:t>·P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ch</w:t>
      </w:r>
      <w:r>
        <w:rPr>
          <w:rFonts w:ascii="Times New Roman" w:hAnsi="Times New Roman" w:eastAsia="宋体"/>
          <w:b w:val="0"/>
          <w:i w:val="0"/>
          <w:sz w:val="24"/>
        </w:rPr>
        <w:t>(r,t) − P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dis</w:t>
      </w:r>
      <w:r>
        <w:rPr>
          <w:rFonts w:ascii="Times New Roman" w:hAnsi="Times New Roman" w:eastAsia="宋体"/>
          <w:b w:val="0"/>
          <w:i w:val="0"/>
          <w:sz w:val="24"/>
        </w:rPr>
        <w:t>(r,t)/η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d</w:t>
      </w:r>
      <w:r>
        <w:rPr>
          <w:rFonts w:ascii="Times New Roman" w:hAnsi="Times New Roman" w:eastAsia="宋体"/>
          <w:b w:val="0"/>
          <w:i w:val="0"/>
          <w:sz w:val="24"/>
        </w:rPr>
        <w:t>，  SOC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r,2406</w:t>
      </w:r>
      <w:r>
        <w:rPr>
          <w:rFonts w:ascii="Times New Roman" w:hAnsi="Times New Roman" w:eastAsia="宋体"/>
          <w:b w:val="0"/>
          <w:i w:val="0"/>
          <w:sz w:val="24"/>
        </w:rPr>
        <w:t xml:space="preserve"> ≥ SOC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0</w:t>
      </w:r>
      <w:r>
        <w:rPr>
          <w:rFonts w:ascii="Times New Roman" w:hAnsi="Times New Roman" w:eastAsia="宋体"/>
          <w:b w:val="0"/>
          <w:i w:val="0"/>
          <w:sz w:val="24"/>
        </w:rPr>
        <w:tab/>
        <w:t>(2)</w:t>
      </w:r>
    </w:p>
    <w:p>
      <w:pPr>
        <w:pStyle w:val="Heading2"/>
      </w:pPr>
      <w:r>
        <w:t>4.2 场景结果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5  问题三七个场景关键指标对比（全时域 0–2406）</w:t>
      </w:r>
    </w:p>
    <w:tbl>
      <w:tblPr>
        <w:tblW w:type="dxa" w:w="9072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  <w:tblInd w:w="120" w:type="dxa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900"/>
        <w:gridCol w:w="1300"/>
        <w:gridCol w:w="1250"/>
        <w:gridCol w:w="1700"/>
        <w:gridCol w:w="1700"/>
        <w:gridCol w:w="1222"/>
      </w:tblGrid>
      <w:tr>
        <w:trPr>
          <w:tblHeader/>
        </w:trPr>
        <w:tc>
          <w:tcPr>
            <w:tcW w:type="dxa" w:w="19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场景</w:t>
            </w:r>
          </w:p>
        </w:tc>
        <w:tc>
          <w:tcPr>
            <w:tcW w:type="dxa" w:w="13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运行成本</w:t>
              <w:br/>
              <w:t>（万元）</w:t>
            </w:r>
          </w:p>
        </w:tc>
        <w:tc>
          <w:tcPr>
            <w:tcW w:type="dxa" w:w="125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碳排放</w:t>
              <w:br/>
              <w:t>（tCO₂）</w:t>
            </w:r>
          </w:p>
        </w:tc>
        <w:tc>
          <w:tcPr>
            <w:tcW w:type="dxa" w:w="17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系统峰值净购电</w:t>
              <w:br/>
              <w:t>（MW）</w:t>
            </w:r>
          </w:p>
        </w:tc>
        <w:tc>
          <w:tcPr>
            <w:tcW w:type="dxa" w:w="17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净购电波动 MAD</w:t>
              <w:br/>
              <w:t>（MW）</w:t>
            </w:r>
          </w:p>
        </w:tc>
        <w:tc>
          <w:tcPr>
            <w:tcW w:type="dxa" w:w="1222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新能源</w:t>
              <w:br/>
              <w:t>利用率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S0 附件基线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180 166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2 045 367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1 907.6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507.9</w:t>
            </w:r>
          </w:p>
        </w:tc>
        <w:tc>
          <w:tcPr>
            <w:tcW w:type="dxa" w:w="12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32.9%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S1 无储能优化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-41 982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8.9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-82.4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94.3</w:t>
            </w:r>
          </w:p>
        </w:tc>
        <w:tc>
          <w:tcPr>
            <w:tcW w:type="dxa" w:w="12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67.9%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S2 成本最优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-45 922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-413.5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0.51</w:t>
            </w:r>
          </w:p>
        </w:tc>
        <w:tc>
          <w:tcPr>
            <w:tcW w:type="dxa" w:w="12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69.5%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S3 低碳最优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-45 922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-413.5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0.51</w:t>
            </w:r>
          </w:p>
        </w:tc>
        <w:tc>
          <w:tcPr>
            <w:tcW w:type="dxa" w:w="12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69.5%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S4 削峰最优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-45 922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-568.4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0.51</w:t>
            </w:r>
          </w:p>
        </w:tc>
        <w:tc>
          <w:tcPr>
            <w:tcW w:type="dxa" w:w="12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69.5%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S5 平抑波动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-42 223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-568.4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</w:t>
            </w:r>
          </w:p>
        </w:tc>
        <w:tc>
          <w:tcPr>
            <w:tcW w:type="dxa" w:w="12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68.4%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S6 综合权衡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-45 922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-568.4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0.50</w:t>
            </w:r>
          </w:p>
        </w:tc>
        <w:tc>
          <w:tcPr>
            <w:tcW w:type="dxa" w:w="12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69.5%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24"/>
        </w:rPr>
        <w:t>注：负的峰值净购电表示全网处于净外送状态；碳排放为 0 源于优化后购电为 0（负荷由新能源全额覆盖）。</w:t>
      </w:r>
    </w:p>
    <w:p>
      <w:pPr>
        <w:pStyle w:val="Heading2"/>
      </w:pPr>
      <w:r>
        <w:t>4.3 储能作用与敏感性分析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与无储能优化（S1）相比，含储能策略（S2）成本进一步下降 3 940 万元（9.4%），峰值净购电由 -82.4 MW 降至 -568.4 MW，净购电波动由 94.3 MW 降至 0.5 MW，说明储能通过“低充高放”实现削峰填谷与波动平抑。储能容量敏感性（表 6）表明容量增至 1.5 倍后指标基本不再变化，附件配置的储能容量已接近饱和需求；充放电效率敏感性表明效率对成本影响小、但对波动平抑影响显著。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6  储能容量敏感性（综合权衡策略）</w:t>
      </w:r>
    </w:p>
    <w:tbl>
      <w:tblPr>
        <w:tblW w:type="dxa" w:w="9072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  <w:tblInd w:w="120" w:type="dxa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268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容量系数</w:t>
            </w:r>
          </w:p>
        </w:tc>
        <w:tc>
          <w:tcPr>
            <w:tcW w:type="dxa" w:w="2268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成本（万元）</w:t>
            </w:r>
          </w:p>
        </w:tc>
        <w:tc>
          <w:tcPr>
            <w:tcW w:type="dxa" w:w="2268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峰值净购电（MW）</w:t>
            </w:r>
          </w:p>
        </w:tc>
        <w:tc>
          <w:tcPr>
            <w:tcW w:type="dxa" w:w="2268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波动 MAD（MW）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0.25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-43 588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-296.9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66.3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-44 792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-412.0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35.9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-45 922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-568.4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1.50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-45 934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-618.4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2.00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-45 934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-618.4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0.001</w:t>
            </w:r>
          </w:p>
        </w:tc>
      </w:tr>
    </w:tbl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496000"/>
            <wp:docPr id="3" name="Picture 3" descr="问题三储能SOC曲线" title="问题三储能SOC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3  问题三储能 SOC 曲线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1345500"/>
            <wp:docPr id="4" name="Picture 4" descr="问题三净购电功率优化前后曲线" title="问题三净购电功率优化前后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import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4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4  问题三净购电功率优化前后曲线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812500"/>
            <wp:docPr id="5" name="Picture 5" descr="问题三储能前后关键指标对比" title="问题三储能前后关键指标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ba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5  问题三储能前后关键指标对比</w:t>
      </w:r>
    </w:p>
    <w:p>
      <w:pPr>
        <w:pStyle w:val="Heading1"/>
      </w:pPr>
      <w:r>
        <w:t>五、前三问总结与问题四展望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7  前三问核心方法、结果与衔接</w:t>
      </w:r>
    </w:p>
    <w:tbl>
      <w:tblPr>
        <w:tblW w:type="dxa" w:w="9072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  <w:tblInd w:w="120" w:type="dxa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3800"/>
        <w:gridCol w:w="3772"/>
      </w:tblGrid>
      <w:tr>
        <w:trPr>
          <w:tblHeader/>
        </w:trPr>
        <w:tc>
          <w:tcPr>
            <w:tcW w:type="dxa" w:w="15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问题</w:t>
            </w:r>
          </w:p>
        </w:tc>
        <w:tc>
          <w:tcPr>
            <w:tcW w:type="dxa" w:w="38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核心方法</w:t>
            </w:r>
          </w:p>
        </w:tc>
        <w:tc>
          <w:tcPr>
            <w:tcW w:type="dxa" w:w="3772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关键结果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问题一</w:t>
            </w:r>
          </w:p>
        </w:tc>
        <w:tc>
          <w:tcPr>
            <w:tcW w:type="dxa" w:w="3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统计分析与梯度提升树预测＋基础贪心调度</w:t>
            </w:r>
          </w:p>
        </w:tc>
        <w:tc>
          <w:tcPr>
            <w:tcW w:type="dxa" w:w="37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MAPE 9.51%；538 任务全部按时完成，迁移率 2.8%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问题二</w:t>
            </w:r>
          </w:p>
        </w:tc>
        <w:tc>
          <w:tcPr>
            <w:tcW w:type="dxa" w:w="3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WCRS 滚动调度＋8 策略 Pareto 分析</w:t>
            </w:r>
          </w:p>
        </w:tc>
        <w:tc>
          <w:tcPr>
            <w:tcW w:type="dxa" w:w="37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利用率 32.8%→68.8%；碳排降 99.99%；峰值净购电降 91%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问题三</w:t>
            </w:r>
          </w:p>
        </w:tc>
        <w:tc>
          <w:tcPr>
            <w:tcW w:type="dxa" w:w="3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六区域独立 MILP（HiGHS 精确求解）</w:t>
            </w:r>
          </w:p>
        </w:tc>
        <w:tc>
          <w:tcPr>
            <w:tcW w:type="dxa" w:w="37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成本再降 9.4%；峰值净购电 -568 MW；波动 MAD 0.5 MW</w:t>
            </w:r>
          </w:p>
        </w:tc>
      </w:tr>
    </w:tbl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问共同刻画了“算力—调度—能源”的协同链条：问题一提供算力需求规律与预测，问题二通过跨区域迁移与碳感知调度实现负荷的空间优化，问题三通过储能实现负荷的时间优化。问题四将在前三问基础上统一任务迁移、储能运行、购售电与新能源分配，建立多区域算—储—电协同优化模型，并比较不同碳约束、电价机制与新能源波动场景下的策略变化。</w:t>
      </w:r>
    </w:p>
    <w:p>
      <w:pPr>
        <w:spacing w:after="40" w:line="24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待补事项一：</w:t>
      </w:r>
      <w:r>
        <w:rPr>
          <w:rFonts w:ascii="Times New Roman" w:hAnsi="Times New Roman" w:eastAsia="宋体"/>
          <w:b w:val="0"/>
          <w:i w:val="0"/>
          <w:sz w:val="24"/>
        </w:rPr>
        <w:t>问题一预测按赛题建议口径（2376–2399 最终测试）重新核算精度；</w:t>
      </w:r>
    </w:p>
    <w:p>
      <w:pPr>
        <w:spacing w:after="40" w:line="24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待补事项二：</w:t>
      </w:r>
      <w:r>
        <w:rPr>
          <w:rFonts w:ascii="Times New Roman" w:hAnsi="Times New Roman" w:eastAsia="宋体"/>
          <w:b w:val="0"/>
          <w:i w:val="0"/>
          <w:sz w:val="24"/>
        </w:rPr>
        <w:t>问题二净运行成本需拆分购电成本与外送收益分项列示；</w:t>
      </w:r>
    </w:p>
    <w:p>
      <w:pPr>
        <w:spacing w:after="40" w:line="24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待补事项三：</w:t>
      </w:r>
      <w:r>
        <w:rPr>
          <w:rFonts w:ascii="Times New Roman" w:hAnsi="Times New Roman" w:eastAsia="宋体"/>
          <w:b w:val="0"/>
          <w:i w:val="0"/>
          <w:sz w:val="24"/>
        </w:rPr>
        <w:t>问题三碳排放为 0、峰值净购电为负等极端结果的物理含义需在正文中明确解释。</w:t>
      </w:r>
    </w:p>
    <w:sectPr w:rsidR="00FC693F" w:rsidRPr="0006063C" w:rsidSect="00034616">
      <w:footerReference w:type="default" r:id="rId14"/>
      <w:pgSz w:w="11906" w:h="16838"/>
      <w:pgMar w:top="1417" w:right="1417" w:bottom="1417" w:left="141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