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sz w:val="32"/>
        </w:rPr>
        <w:t>AI 工具使用详情（论文附录 B）</w:t>
      </w:r>
    </w:p>
    <w:p>
      <w:pPr>
        <w:pStyle w:val="Heading1"/>
      </w:pPr>
      <w:r>
        <w:t>一、所用 AI 工具名称和版本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800"/>
        <w:gridCol w:w="2400"/>
        <w:gridCol w:w="1600"/>
        <w:gridCol w:w="2200"/>
        <w:gridCol w:w="2072"/>
      </w:tblGrid>
      <w:tr>
        <w:trPr>
          <w:tblHeader/>
        </w:trPr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AI 工具名称</w:t>
            </w:r>
          </w:p>
        </w:tc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版本/型号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开发机构/公司</w:t>
            </w:r>
          </w:p>
        </w:tc>
        <w:tc>
          <w:tcPr>
            <w:tcW w:type="dxa" w:w="20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使用日期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Codex（ChatGPT）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GPT-5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OpenAI</w:t>
            </w:r>
          </w:p>
        </w:tc>
        <w:tc>
          <w:tcPr>
            <w:tcW w:type="dxa" w:w="2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2026-08-07 ~ 2026-08-10</w:t>
            </w:r>
          </w:p>
        </w:tc>
      </w:tr>
    </w:tbl>
    <w:p>
      <w:pPr>
        <w:spacing w:line="240" w:lineRule="auto" w:after="40"/>
      </w:pPr>
      <w:r>
        <w:rPr>
          <w:rFonts w:ascii="Times New Roman" w:hAnsi="Times New Roman" w:eastAsia="宋体"/>
          <w:b w:val="0"/>
          <w:sz w:val="24"/>
        </w:rPr>
        <w:t>注：若队伍还使用了其他 AI 工具（如 DeepSeek、文心一言等），请在此表补充相应行；工具名称、版本、机构与使用日期须与正文参考文献中的标注一致。</w:t>
      </w:r>
    </w:p>
    <w:p>
      <w:pPr>
        <w:pStyle w:val="Heading1"/>
      </w:pPr>
      <w:r>
        <w:t>二、具体使用目的和环节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800"/>
        <w:gridCol w:w="2400"/>
        <w:gridCol w:w="3600"/>
        <w:gridCol w:w="2272"/>
      </w:tblGrid>
      <w:tr>
        <w:trPr>
          <w:tblHeader/>
        </w:trPr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使用环节（论文章节）</w:t>
            </w:r>
          </w:p>
        </w:tc>
        <w:tc>
          <w:tcPr>
            <w:tcW w:type="dxa" w:w="3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使用目的</w:t>
            </w:r>
          </w:p>
        </w:tc>
        <w:tc>
          <w:tcPr>
            <w:tcW w:type="dxa" w:w="22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使用的 AI 工具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摘要</w:t>
            </w:r>
          </w:p>
        </w:tc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组织“背景＋四问分段”结构，压缩字数至 300–600 字，润色语言</w:t>
            </w:r>
          </w:p>
        </w:tc>
        <w:tc>
          <w:tcPr>
            <w:tcW w:type="dxa" w:w="22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一、问题重述 / 二、问题分析</w:t>
            </w:r>
          </w:p>
        </w:tc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协助梳理题目要求与四问分析逻辑，整理数据概览表述</w:t>
            </w:r>
          </w:p>
        </w:tc>
        <w:tc>
          <w:tcPr>
            <w:tcW w:type="dxa" w:w="22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五、模型建立与求解（问题一至四）</w:t>
            </w:r>
          </w:p>
        </w:tc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把队友给出的模型公式与结果数据整理为论文章节，撰写结果解读</w:t>
            </w:r>
          </w:p>
        </w:tc>
        <w:tc>
          <w:tcPr>
            <w:tcW w:type="dxa" w:w="22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六、模型检验 / 七、模型评价</w:t>
            </w:r>
          </w:p>
        </w:tc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协助组织检验条目、误差分析、优缺点与推广内容</w:t>
            </w:r>
          </w:p>
        </w:tc>
        <w:tc>
          <w:tcPr>
            <w:tcW w:type="dxa" w:w="22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附录（程序说明、AI 使用详情）</w:t>
            </w:r>
          </w:p>
        </w:tc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整理支撑材料说明与本使用详情文档</w:t>
            </w:r>
          </w:p>
        </w:tc>
        <w:tc>
          <w:tcPr>
            <w:tcW w:type="dxa" w:w="22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Codex（GPT-5）</w:t>
            </w:r>
          </w:p>
        </w:tc>
      </w:tr>
    </w:tbl>
    <w:p>
      <w:pPr>
        <w:pStyle w:val="Heading1"/>
      </w:pPr>
      <w:r>
        <w:t>三、关键交互记录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交互记录 1：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提示词（Prompt）：</w:t>
      </w:r>
      <w:r>
        <w:rPr>
          <w:rFonts w:ascii="Times New Roman" w:hAnsi="Times New Roman" w:eastAsia="宋体"/>
          <w:b w:val="0"/>
          <w:sz w:val="24"/>
        </w:rPr>
        <w:t>“请根据问题二八种策略的结果数据（净运行成本、碳排放、新能源利用率、平均时延、峰值净购电、迁移比例）写一段结果分析，包含各策略对比与 Pareto 权衡说明。”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AI 回复（摘要）：</w:t>
      </w:r>
      <w:r>
        <w:rPr>
          <w:rFonts w:ascii="Times New Roman" w:hAnsi="Times New Roman" w:eastAsia="宋体"/>
          <w:b w:val="0"/>
          <w:sz w:val="24"/>
        </w:rPr>
        <w:t>给出约 200 字的结果分析：时延优先策略时延 5.06 ms 但成本最高；低碳＋新能源策略碳排与峰值购电最低但时延较高；负载均衡策略西部承接比例最高；八种策略共同构成 Pareto 前沿，需按决策偏好选择折中方案。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交互记录 2：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提示词（Prompt）：</w:t>
      </w:r>
      <w:r>
        <w:rPr>
          <w:rFonts w:ascii="Times New Roman" w:hAnsi="Times New Roman" w:eastAsia="宋体"/>
          <w:b w:val="0"/>
          <w:sz w:val="24"/>
        </w:rPr>
        <w:t>“把问题四七种策略的关键指标整理成三线表格式，列为未调度、净运行成本、碳排放、平均时延、QoS、新能源利用率、峰值净购电。”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AI 回复（摘要）：</w:t>
      </w:r>
      <w:r>
        <w:rPr>
          <w:rFonts w:ascii="Times New Roman" w:hAnsi="Times New Roman" w:eastAsia="宋体"/>
          <w:b w:val="0"/>
          <w:sz w:val="24"/>
        </w:rPr>
        <w:t>给出七行八列的表格数据与排版建议，数值与结果 CSV 核对一致；提示负成本需拆分为购电成本与外送收益列示。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交互记录 3：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提示词（Prompt）：</w:t>
      </w:r>
      <w:r>
        <w:rPr>
          <w:rFonts w:ascii="Times New Roman" w:hAnsi="Times New Roman" w:eastAsia="宋体"/>
          <w:b w:val="0"/>
          <w:sz w:val="24"/>
        </w:rPr>
        <w:t>“论文里‘均值方差比 1.032’统计的到底是任务到达数还是 GPU 需求？请核实口径并给出两种口径的实际数值。”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AI 回复（摘要）：</w:t>
      </w:r>
      <w:r>
        <w:rPr>
          <w:rFonts w:ascii="Times New Roman" w:hAnsi="Times New Roman" w:eastAsia="宋体"/>
          <w:b w:val="0"/>
          <w:sz w:val="24"/>
        </w:rPr>
        <w:t>提示需区分任务到达数与 GPU 需求两种口径：任务到达数均值方差比约 1.032（近似泊松），GPU 需求总量过离散（比值约 0.014）；建议统一以任务到达数为准，全文口径一致。</w:t>
      </w:r>
    </w:p>
    <w:p>
      <w:pPr>
        <w:pStyle w:val="Heading1"/>
      </w:pPr>
      <w:r>
        <w:t>四、采纳和人工修改情况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800"/>
        <w:gridCol w:w="2800"/>
        <w:gridCol w:w="1400"/>
        <w:gridCol w:w="4072"/>
      </w:tblGrid>
      <w:tr>
        <w:trPr>
          <w:tblHeader/>
        </w:trPr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AI 生成内容概述</w:t>
            </w:r>
          </w:p>
        </w:tc>
        <w:tc>
          <w:tcPr>
            <w:tcW w:type="dxa" w:w="1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是否采纳</w:t>
            </w:r>
          </w:p>
        </w:tc>
        <w:tc>
          <w:tcPr>
            <w:tcW w:type="dxa" w:w="40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人工修改情况说明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摘要初稿（背景＋四问分段）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部分采纳</w:t>
            </w:r>
          </w:p>
        </w:tc>
        <w:tc>
          <w:tcPr>
            <w:tcW w:type="dxa" w:w="4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队员按自身语言重写并压缩至 594 字，调整结果表述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问题二结果分析段落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采纳</w:t>
            </w:r>
          </w:p>
        </w:tc>
        <w:tc>
          <w:tcPr>
            <w:tcW w:type="dxa" w:w="4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补充具体数值与表格引用，删除模板化句式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问题三、四场景分析文字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部分采纳</w:t>
            </w:r>
          </w:p>
        </w:tc>
        <w:tc>
          <w:tcPr>
            <w:tcW w:type="dxa" w:w="4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对照结果 CSV 核对数据后修正，人工润色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预测、调度与储能优化代码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采纳</w:t>
            </w:r>
          </w:p>
        </w:tc>
        <w:tc>
          <w:tcPr>
            <w:tcW w:type="dxa" w:w="4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队内同学调试运行，补充注释与统一口径校验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本 AI 使用详情文档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采纳</w:t>
            </w:r>
          </w:p>
        </w:tc>
        <w:tc>
          <w:tcPr>
            <w:tcW w:type="dxa" w:w="4072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队员核对交互记录与工具信息后定稿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