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Times New Roman" w:hAnsi="Times New Roman" w:eastAsia="黑体"/>
          <w:b/>
          <w:sz w:val="32"/>
        </w:rPr>
        <w:t>待补充：正文引用标注与附录 C</w:t>
      </w:r>
    </w:p>
    <w:p>
      <w:pPr>
        <w:pStyle w:val="Heading1"/>
      </w:pPr>
      <w:r>
        <w:t>一、正文引用标注（插入位置建议）</w:t>
      </w:r>
    </w:p>
    <w:p>
      <w:pPr>
        <w:spacing w:line="240" w:lineRule="auto" w:after="40"/>
      </w:pPr>
      <w:r>
        <w:rPr>
          <w:rFonts w:ascii="Times New Roman" w:hAnsi="Times New Roman" w:eastAsia="宋体"/>
          <w:b w:val="0"/>
          <w:sz w:val="24"/>
        </w:rPr>
        <w:t>按格式规范第 6 条，正文用到外部资料处应标 [编号]。建议在以下位置插入：</w:t>
      </w:r>
    </w:p>
    <w:p>
      <w:pPr>
        <w:spacing w:line="240" w:lineRule="auto" w:after="40"/>
        <w:ind w:firstLine="480"/>
      </w:pPr>
      <w:r>
        <w:rPr>
          <w:rFonts w:ascii="Times New Roman" w:hAnsi="Times New Roman" w:eastAsia="宋体"/>
          <w:b w:val="0"/>
          <w:sz w:val="24"/>
        </w:rPr>
        <w:t>① 二、问题分析 → 2.2 数据概览第一段末尾：“附件给了 50 000 个任务、6 个区域、2 406 个小时的数据[1]。”</w:t>
      </w:r>
    </w:p>
    <w:p>
      <w:pPr>
        <w:spacing w:line="240" w:lineRule="auto" w:after="40"/>
        <w:ind w:firstLine="480"/>
      </w:pPr>
      <w:r>
        <w:rPr>
          <w:rFonts w:ascii="Times New Roman" w:hAnsi="Times New Roman" w:eastAsia="宋体"/>
          <w:b w:val="0"/>
          <w:sz w:val="24"/>
        </w:rPr>
        <w:t>② 五、模型建立与求解 → 5.1.2 短期预测模型第一段：“……梯度提升树[2]用了滞后 1、2、3、24、168 小时的特征……”</w:t>
      </w:r>
    </w:p>
    <w:p>
      <w:pPr>
        <w:spacing w:line="240" w:lineRule="auto" w:after="40"/>
        <w:ind w:firstLine="480"/>
      </w:pPr>
      <w:r>
        <w:rPr>
          <w:rFonts w:ascii="Times New Roman" w:hAnsi="Times New Roman" w:eastAsia="宋体"/>
          <w:b w:val="0"/>
          <w:sz w:val="24"/>
        </w:rPr>
        <w:t>③ 五、模型建立与求解 → 5.2.2 求解第一段末尾：“……最后按 Pareto 支配关系筛折中解[3]。”</w:t>
      </w:r>
    </w:p>
    <w:p>
      <w:pPr>
        <w:spacing w:line="240" w:lineRule="auto" w:after="40"/>
        <w:ind w:firstLine="480"/>
      </w:pPr>
      <w:r>
        <w:rPr>
          <w:rFonts w:ascii="Times New Roman" w:hAnsi="Times New Roman" w:eastAsia="宋体"/>
          <w:b w:val="0"/>
          <w:sz w:val="24"/>
        </w:rPr>
        <w:t>④ 附录 A AI 工具使用声明末尾：“……详细使用情况见附录 B[4]。”</w:t>
      </w:r>
    </w:p>
    <w:p>
      <w:pPr>
        <w:spacing w:line="240" w:lineRule="auto" w:after="40"/>
        <w:ind w:firstLine="480"/>
      </w:pPr>
      <w:r>
        <w:rPr>
          <w:rFonts w:ascii="Times New Roman" w:hAnsi="Times New Roman" w:eastAsia="宋体"/>
          <w:b w:val="0"/>
          <w:sz w:val="24"/>
        </w:rPr>
        <w:t>⑤ 附录 C 开头：“按论文格式规范第 6 条[5]，附录给出软件、命令与代码清单。”</w:t>
      </w:r>
    </w:p>
    <w:p>
      <w:pPr>
        <w:pStyle w:val="Heading1"/>
      </w:pPr>
      <w:r>
        <w:t>二、参考文献（按正文引用顺序，格式按第 6 条）</w:t>
      </w:r>
    </w:p>
    <w:p>
      <w:pPr>
        <w:spacing w:line="240" w:lineRule="auto" w:after="40"/>
      </w:pPr>
      <w:r>
        <w:rPr>
          <w:rFonts w:ascii="Times New Roman" w:hAnsi="Times New Roman" w:eastAsia="宋体"/>
          <w:b w:val="0"/>
          <w:sz w:val="21"/>
        </w:rPr>
        <w:t>[1] 2026 年华数杯大学生数学建模竞赛组委会. 附件 1：背景说明、术语解释与数据字典[Z]. 2026.（正文 2.2 引用）</w:t>
      </w:r>
    </w:p>
    <w:p>
      <w:pPr>
        <w:spacing w:line="240" w:lineRule="auto" w:after="40"/>
      </w:pPr>
      <w:r>
        <w:rPr>
          <w:rFonts w:ascii="Times New Roman" w:hAnsi="Times New Roman" w:eastAsia="宋体"/>
          <w:b w:val="0"/>
          <w:sz w:val="21"/>
        </w:rPr>
        <w:t>[2] Friedman J H. Greedy function approximation: a gradient boosting machine[J]. Annals of Statistics, 2001, 29(5): 1189-1232.（正文 5.1.2 引用）</w:t>
      </w:r>
    </w:p>
    <w:p>
      <w:pPr>
        <w:spacing w:line="240" w:lineRule="auto" w:after="40"/>
      </w:pPr>
      <w:r>
        <w:rPr>
          <w:rFonts w:ascii="Times New Roman" w:hAnsi="Times New Roman" w:eastAsia="宋体"/>
          <w:b w:val="0"/>
          <w:sz w:val="21"/>
        </w:rPr>
        <w:t>[3] Deb K, Pratap A, Agarwal S, et al. A fast and elitist multiobjective genetic algorithm: NSGA-II[J]. IEEE Transactions on Evolutionary Computation, 2002, 6(2): 182-197.（正文 5.2.2 引用）</w:t>
      </w:r>
    </w:p>
    <w:p>
      <w:pPr>
        <w:spacing w:line="240" w:lineRule="auto" w:after="40"/>
      </w:pPr>
      <w:r>
        <w:rPr>
          <w:rFonts w:ascii="Times New Roman" w:hAnsi="Times New Roman" w:eastAsia="宋体"/>
          <w:b w:val="0"/>
          <w:sz w:val="21"/>
        </w:rPr>
        <w:t>[4] 华数杯大学生数学建模竞赛组委会. 华数杯大学生数学建模竞赛人工智能工具使用章程[Z]. 2026.（附录 A 引用）</w:t>
      </w:r>
    </w:p>
    <w:p>
      <w:pPr>
        <w:spacing w:line="240" w:lineRule="auto" w:after="40"/>
      </w:pPr>
      <w:r>
        <w:rPr>
          <w:rFonts w:ascii="Times New Roman" w:hAnsi="Times New Roman" w:eastAsia="宋体"/>
          <w:b w:val="0"/>
          <w:sz w:val="21"/>
        </w:rPr>
        <w:t>[5] 2026 年华数杯大学生数学建模竞赛组委会. 2026 年华数杯数学建模竞赛论文格式规范与提交说明[Z]. 2026.（附录 C 引用）</w:t>
      </w:r>
    </w:p>
    <w:p>
      <w:pPr>
        <w:spacing w:line="240" w:lineRule="auto" w:after="40"/>
      </w:pPr>
      <w:r>
        <w:rPr>
          <w:rFonts w:ascii="Times New Roman" w:hAnsi="Times New Roman" w:eastAsia="宋体"/>
          <w:b w:val="0"/>
          <w:sz w:val="21"/>
        </w:rPr>
        <w:t>[6] 【待补】储能优化、电力系统调度、绿色数据中心相关文献。格式：期刊为“[编号] 作者，论文名，杂志名，卷期号：起止页码，出版年”；书籍须注明页码；网址为“[编号] 作者，资源标题，网址，访问时间（年月日）”。</w:t>
      </w:r>
    </w:p>
    <w:p>
      <w:pPr>
        <w:pStyle w:val="Heading1"/>
      </w:pPr>
      <w:r>
        <w:t>三、附录 C（可直接复制进论文）</w:t>
      </w:r>
    </w:p>
    <w:p>
      <w:pPr>
        <w:spacing w:line="240" w:lineRule="auto" w:after="40"/>
      </w:pPr>
      <w:r>
        <w:rPr>
          <w:rFonts w:ascii="Times New Roman" w:hAnsi="Times New Roman" w:eastAsia="宋体"/>
          <w:b/>
          <w:sz w:val="24"/>
        </w:rPr>
        <w:t>附录 C  程序与数据说明</w:t>
      </w:r>
    </w:p>
    <w:p>
      <w:pPr>
        <w:spacing w:line="240" w:lineRule="auto" w:after="40"/>
      </w:pPr>
      <w:r>
        <w:rPr>
          <w:rFonts w:ascii="Times New Roman" w:hAnsi="Times New Roman" w:eastAsia="宋体"/>
          <w:b/>
          <w:sz w:val="24"/>
        </w:rPr>
        <w:t>C.1 软件环境</w:t>
      </w:r>
    </w:p>
    <w:p>
      <w:pPr>
        <w:spacing w:line="240" w:lineRule="auto" w:after="40"/>
      </w:pPr>
      <w:r>
        <w:rPr>
          <w:rFonts w:ascii="Times New Roman" w:hAnsi="Times New Roman" w:eastAsia="宋体"/>
          <w:b w:val="0"/>
          <w:sz w:val="24"/>
        </w:rPr>
        <w:t>Python 3.10+；依赖 pandas、numpy、scipy（含 HiGHS 求解器）、scikit-learn、matplotlib、statsmodels。</w:t>
      </w:r>
    </w:p>
    <w:p>
      <w:pPr>
        <w:spacing w:line="240" w:lineRule="auto" w:after="40"/>
      </w:pPr>
      <w:r>
        <w:rPr>
          <w:rFonts w:ascii="Times New Roman" w:hAnsi="Times New Roman" w:eastAsia="宋体"/>
          <w:b/>
          <w:sz w:val="24"/>
        </w:rPr>
        <w:t>C.2 主要运行命令</w:t>
      </w:r>
    </w:p>
    <w:p>
      <w:pPr>
        <w:spacing w:line="240" w:lineRule="auto" w:after="40"/>
      </w:pPr>
      <w:r>
        <w:rPr>
          <w:rFonts w:ascii="Times New Roman" w:hAnsi="Times New Roman" w:eastAsia="宋体"/>
          <w:b w:val="0"/>
          <w:sz w:val="21"/>
        </w:rPr>
        <w:t>问题一：python q1_optimized_model.py</w:t>
      </w:r>
    </w:p>
    <w:p>
      <w:pPr>
        <w:spacing w:line="240" w:lineRule="auto" w:after="40"/>
      </w:pPr>
      <w:r>
        <w:rPr>
          <w:rFonts w:ascii="Times New Roman" w:hAnsi="Times New Roman" w:eastAsia="宋体"/>
          <w:b w:val="0"/>
          <w:sz w:val="21"/>
        </w:rPr>
        <w:t>问题二：python run_pareto.py --data-dir &lt;附件数据目录&gt; --output-dir &lt;输出目录&gt; --solver greedy --hour-start 0 --hour-end 2399</w:t>
      </w:r>
    </w:p>
    <w:p>
      <w:pPr>
        <w:spacing w:line="240" w:lineRule="auto" w:after="40"/>
      </w:pPr>
      <w:r>
        <w:rPr>
          <w:rFonts w:ascii="Times New Roman" w:hAnsi="Times New Roman" w:eastAsia="宋体"/>
          <w:b w:val="0"/>
          <w:sz w:val="21"/>
        </w:rPr>
        <w:t>问题三：python run_all.py</w:t>
      </w:r>
    </w:p>
    <w:p>
      <w:pPr>
        <w:spacing w:line="240" w:lineRule="auto" w:after="40"/>
      </w:pPr>
      <w:r>
        <w:rPr>
          <w:rFonts w:ascii="Times New Roman" w:hAnsi="Times New Roman" w:eastAsia="宋体"/>
          <w:b w:val="0"/>
          <w:sz w:val="21"/>
        </w:rPr>
        <w:t>问题四：python q4_run.py --data-dir &lt;附件数据目录&gt; --output-dir &lt;输出目录&gt; --workers 8；复核与出图：python q4_verify.py、python q4_analysis.py</w:t>
      </w:r>
    </w:p>
    <w:p>
      <w:pPr>
        <w:spacing w:line="240" w:lineRule="auto" w:after="40"/>
      </w:pPr>
      <w:r>
        <w:rPr>
          <w:rFonts w:ascii="Times New Roman" w:hAnsi="Times New Roman" w:eastAsia="宋体"/>
          <w:b/>
          <w:sz w:val="24"/>
        </w:rPr>
        <w:t>C.3 代码清单</w:t>
      </w:r>
    </w:p>
    <w:tbl>
      <w:tblPr>
        <w:tblW w:type="dxa" w:w="9072"/>
        <w:jc w:val="center"/>
        <w:tblBorders>
          <w:top w:val="single" w:sz="12" w:space="0" w:color="000000"/>
          <w:left w:val="none" w:sz="0" w:space="0" w:color="000000"/>
          <w:bottom w:val="single" w:sz="12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firstColumn="1" w:firstRow="1" w:lastColumn="0" w:lastRow="0" w:noHBand="0" w:noVBand="1" w:val="04A0"/>
        <w:tblInd w:w="120" w:type="dxa"/>
        <w:tblCellMar>
          <w:top w:w="40" w:type="dxa"/>
          <w:start w:w="80" w:type="dxa"/>
          <w:bottom w:w="40" w:type="dxa"/>
          <w:end w:w="80" w:type="dxa"/>
        </w:tblCellMar>
      </w:tblPr>
      <w:tblGrid>
        <w:gridCol w:w="3600"/>
        <w:gridCol w:w="1500"/>
        <w:gridCol w:w="3972"/>
      </w:tblGrid>
      <w:tr>
        <w:trPr>
          <w:tblHeader/>
        </w:trPr>
        <w:tc>
          <w:tcPr>
            <w:tcW w:type="dxa" w:w="360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文件</w:t>
            </w:r>
          </w:p>
        </w:tc>
        <w:tc>
          <w:tcPr>
            <w:tcW w:type="dxa" w:w="150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所属问题</w:t>
            </w:r>
          </w:p>
        </w:tc>
        <w:tc>
          <w:tcPr>
            <w:tcW w:type="dxa" w:w="3972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作用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q1_optimized_model.py</w:t>
            </w:r>
          </w:p>
        </w:tc>
        <w:tc>
          <w:tcPr>
            <w:tcW w:type="dxa" w:w="15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问题一</w:t>
            </w:r>
          </w:p>
        </w:tc>
        <w:tc>
          <w:tcPr>
            <w:tcW w:type="dxa" w:w="397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数据统计、三模型预测、基础调度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run_pareto.py（含 scheduler.py、metrics.py、common.py 等）</w:t>
            </w:r>
          </w:p>
        </w:tc>
        <w:tc>
          <w:tcPr>
            <w:tcW w:type="dxa" w:w="15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问题二</w:t>
            </w:r>
          </w:p>
        </w:tc>
        <w:tc>
          <w:tcPr>
            <w:tcW w:type="dxa" w:w="397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八策略滚动调度与 Pareto 分析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run_all.py（含 storage_lp.py、sensitivity.py 等）</w:t>
            </w:r>
          </w:p>
        </w:tc>
        <w:tc>
          <w:tcPr>
            <w:tcW w:type="dxa" w:w="15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问题三</w:t>
            </w:r>
          </w:p>
        </w:tc>
        <w:tc>
          <w:tcPr>
            <w:tcW w:type="dxa" w:w="397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储能协同 MILP 求解与敏感性分析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q4_run.py / q4_verify.py / q4_analysis.py</w:t>
            </w:r>
          </w:p>
        </w:tc>
        <w:tc>
          <w:tcPr>
            <w:tcW w:type="dxa" w:w="150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问题四</w:t>
            </w:r>
          </w:p>
        </w:tc>
        <w:tc>
          <w:tcPr>
            <w:tcW w:type="dxa" w:w="397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双层协同求解、约束复核、图表生成</w:t>
            </w:r>
          </w:p>
        </w:tc>
      </w:tr>
    </w:tbl>
    <w:p>
      <w:pPr>
        <w:spacing w:line="240" w:lineRule="auto" w:after="40"/>
      </w:pPr>
      <w:r>
        <w:rPr>
          <w:rFonts w:ascii="Times New Roman" w:hAnsi="Times New Roman" w:eastAsia="宋体"/>
          <w:b w:val="0"/>
          <w:sz w:val="21"/>
        </w:rPr>
        <w:t>注：全部源程序与输出文件打包在支撑材料（选题+参赛编号+附件.rar）中；赛题原始数据未写入附录。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Times New Roman" w:hAnsi="Times New Roman" w:eastAsia="黑体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黑体"/>
      <w:b w:val="0"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