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Times New Roman" w:hAnsi="Times New Roman" w:eastAsia="宋体"/>
          <w:b/>
          <w:i w:val="0"/>
          <w:sz w:val="24"/>
        </w:rPr>
        <w:t>参赛组别：本科组        参赛队号：CM【待填】</w:t>
      </w:r>
    </w:p>
    <w:p>
      <w:pPr>
        <w:spacing w:after="120"/>
        <w:jc w:val="center"/>
      </w:pPr>
      <w:r>
        <w:rPr>
          <w:rFonts w:ascii="Times New Roman" w:hAnsi="Times New Roman" w:eastAsia="黑体"/>
          <w:b w:val="0"/>
          <w:i w:val="0"/>
          <w:sz w:val="30"/>
        </w:rPr>
        <w:t>面向算电协同的多目标调度优化研究</w:t>
      </w:r>
    </w:p>
    <w:p>
      <w:pPr>
        <w:spacing w:after="80"/>
        <w:jc w:val="center"/>
      </w:pPr>
      <w:r>
        <w:rPr>
          <w:rFonts w:ascii="Times New Roman" w:hAnsi="Times New Roman" w:eastAsia="黑体"/>
          <w:b w:val="0"/>
          <w:i w:val="0"/>
          <w:sz w:val="28"/>
        </w:rPr>
        <w:t>摘  要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随着人工智能算力规模持续扩张，数据中心用电成本与碳排放日益成为运营的核心约束，“算电协同”要求算力负荷与电力系统实时耦合、跨区域联合优化。本文针对多区域“算—储—电”协同场景下的 AI 工作负载调度问题，建立了从算力需求统计预测、碳感知任务调度到储能协同优化的递进式模型体系。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针对问题一，对逐小时 GPU 需求进行统计分析，序列均值方差比约为 1.032、一阶自相关接近于 0，近似独立同分布；构建常数均值、AR(2) 与梯度提升树三种预测模型，梯度提升树预测精度最优，MAPE 为 9.51%，90% 预测区间覆盖率为 85.8%。在此基础上建立基础算力调度模型，最后 24 小时实际到达的 538 个任务全部按时完成，任务迁移率 2.8%、零延后，IT 功率峰值约为容量的 28%。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针对问题二，以任务迁移目标区域与开工时段为决策变量，建立基于加权综合评分的碳感知滚动窗口调度模型（WCRS），通过 8 组权重策略与 Pareto 非支配筛选进行多目标分析。50 000 个任务全部完成调度，约束违规数为 0；与附件基线相比，新能源利用率由 32.8% 提升至 68.8%，弃电量下降 53.6%，系统峰值净购电由 1 907.6 MW 降至 171.2 MW，碳排放由 2 045 367 tCO₂ 降至 160.7 tCO₂。不同策略间存在显著权衡，Pareto 前沿为决策者提供了多组折中方案。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针对问题三，在给定任务调度与逐时负荷的基础上，建立六区域独立求解的储能协同优化 MILP 模型并精确求解：与无储能优化相比，储能使运行成本进一步下降 9.4%，系统峰值净购电降至 -568.4 MW（全网净外送），净购电波动 MAD 降至 0.5 MW；容量敏感性表明附件储能容量已接近饱和需求，效率敏感性表明充放电效率显著影响波动平抑能力。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针对问题四，构建“任务调度层＋能源—储能层＋边际供应栈反馈”的多区域算—储—电双层协同优化框架，覆盖 7 组多目标策略、碳约束、电价机制与新能源波动共 16 个场景：七种策略均实现近全量任务调度（调度率不低于 99.992%），运行成本由基线 +18.0 亿元转为 -4.59 亿元，碳排放降为 0，新能源利用率提升至约 69.6%；碳约束均为非紧约束，固定电价机制引入少量购电（碳排 13.7 tCO₂），新能源出力减少 20% 是唯一失稳场景（成本升至 -4.31 亿元、碳排 1 696 tCO₂、峰值净购电 +325 MW）。综合来看，本文所建模型在运行成本、碳排放、新能源消纳与负荷调节等方面均显著优于基线方案，为算电协同场景下的调度决策提供了系统的建模与求解框架。</w:t>
      </w:r>
    </w:p>
    <w:p>
      <w:pPr>
        <w:spacing w:after="80"/>
      </w:pPr>
      <w:r>
        <w:rPr>
          <w:rFonts w:ascii="Times New Roman" w:hAnsi="Times New Roman" w:eastAsia="黑体"/>
          <w:b/>
          <w:i w:val="0"/>
          <w:sz w:val="24"/>
        </w:rPr>
        <w:t>关键词：</w:t>
      </w:r>
      <w:r>
        <w:rPr>
          <w:rFonts w:ascii="Times New Roman" w:hAnsi="Times New Roman" w:eastAsia="宋体"/>
          <w:b w:val="0"/>
          <w:i w:val="0"/>
          <w:sz w:val="24"/>
        </w:rPr>
        <w:t>算电协同；多目标优化；滚动时域调度；Pareto 前沿；储能协同；新能源消纳</w:t>
      </w:r>
    </w:p>
    <w:p>
      <w:r>
        <w:br w:type="page"/>
      </w:r>
    </w:p>
    <w:p>
      <w:pPr>
        <w:pStyle w:val="Heading1"/>
      </w:pPr>
      <w:r>
        <w:t>一、问题重述</w:t>
      </w:r>
    </w:p>
    <w:p>
      <w:pPr>
        <w:pStyle w:val="Heading2"/>
      </w:pPr>
      <w:r>
        <w:t>1.1 问题背景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随着人工智能算力规模持续扩张，数据中心对电力系统的影响不断增强，电力成本逐渐成为数据中心运营成本的核心组成部分。“算电协同”关注算力负荷与能源系统之间的实时耦合关系：西部地区风能、太阳能和水电资源丰富、电价较低，具备建设绿色低碳数据中心的天然优势；东部地区更接近用户侧，网络时延更低、实时业务需求更高。然而，算力跨区域迁移涉及计算任务、电力系统、新能源、储能系统和通信网络之间复杂耦合的多目标协同优化：将 AI 任务迁移至新能源富集地区可降低电费与碳排放，但可能增加网络时延；实时推理任务对时延敏感，训练任务更关注能源成本与算力规模；新能源出力具有波动性，需要储能系统协调。因此，实现 AI 工作负载、能源系统与通信网络的联合优化，是当前算电协同研究的重要问题。</w:t>
      </w:r>
    </w:p>
    <w:p>
      <w:pPr>
        <w:pStyle w:val="Heading2"/>
      </w:pPr>
      <w:r>
        <w:t>1.2 问题提出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本赛题设置六个典型区域：RegionA、RegionB、RegionC 为东部高负荷区域，RegionD 为西部算力中心，RegionE、RegionF 分别为光伏、风电资源富集区域。任务到达主时域为第 0–2399 小时，粒度为 1 小时；第 2400–2405 小时结清末端任务，第 2406 小时仅用于电力与储能终端状态结算。任务分为实时推理、批量推理和 AI 训练三类，实时推理任务到达即开工，批量推理与 AI 训练任务允许延后但须在时点 2406 前完成，且任务不可抢占、不可拆分或中途迁移。需解决以下四个问题：</w:t>
      </w:r>
    </w:p>
    <w:p>
      <w:pPr>
        <w:spacing w:after="40" w:line="24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问题一：</w:t>
      </w:r>
      <w:r>
        <w:rPr>
          <w:rFonts w:ascii="Times New Roman" w:hAnsi="Times New Roman" w:eastAsia="宋体"/>
          <w:b w:val="0"/>
          <w:i w:val="0"/>
          <w:sz w:val="24"/>
        </w:rPr>
        <w:t>对 GPU 需求进行统计分析并构建短期预测模型；建立基础算力调度模型，给出第 2376–2399 小时实际到达任务的调度方案，展示最后 24 小时调度甘特图与区域 GPU 利用率。</w:t>
      </w:r>
    </w:p>
    <w:p>
      <w:pPr>
        <w:spacing w:after="40" w:line="24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问题二：</w:t>
      </w:r>
      <w:r>
        <w:rPr>
          <w:rFonts w:ascii="Times New Roman" w:hAnsi="Times New Roman" w:eastAsia="宋体"/>
          <w:b w:val="0"/>
          <w:i w:val="0"/>
          <w:sz w:val="24"/>
        </w:rPr>
        <w:t>以任务迁移与开工时段为决策变量，考虑区域电价、碳强度和可用新能源出力，建立碳感知任务调度模型，以运行成本、碳排放、网络时延与新能源利用率为目标给出调度策略。</w:t>
      </w:r>
    </w:p>
    <w:p>
      <w:pPr>
        <w:spacing w:after="40" w:line="24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问题三：</w:t>
      </w:r>
      <w:r>
        <w:rPr>
          <w:rFonts w:ascii="Times New Roman" w:hAnsi="Times New Roman" w:eastAsia="宋体"/>
          <w:b w:val="0"/>
          <w:i w:val="0"/>
          <w:sz w:val="24"/>
        </w:rPr>
        <w:t>在给定任务调度和逐时负荷基础上，建立储能协同优化模型，设计储能充放电策略，分析储能对运行成本、碳排放、区域峰值净购电功率与负荷波动程度的影响。</w:t>
      </w:r>
    </w:p>
    <w:p>
      <w:pPr>
        <w:spacing w:after="40" w:line="24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问题四：</w:t>
      </w:r>
      <w:r>
        <w:rPr>
          <w:rFonts w:ascii="Times New Roman" w:hAnsi="Times New Roman" w:eastAsia="宋体"/>
          <w:b w:val="0"/>
          <w:i w:val="0"/>
          <w:sz w:val="24"/>
        </w:rPr>
        <w:t>建立多区域算—储—电协同优化模型，统一考虑任务迁移、电价、碳排放、新能源、储能、购售电边界、网络时延及任务异构性，并比较不同碳约束、电价机制与新能源波动场景下的策略变化。</w:t>
      </w:r>
    </w:p>
    <w:p>
      <w:pPr>
        <w:pStyle w:val="Heading1"/>
      </w:pPr>
      <w:r>
        <w:t>二、问题分析</w:t>
      </w:r>
    </w:p>
    <w:p>
      <w:pPr>
        <w:pStyle w:val="Heading2"/>
      </w:pPr>
      <w:r>
        <w:t>2.1 总体思路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题是“算力调度—电力系统—储能系统”耦合的多目标优化问题，四个问题层层递进：问题一解决算力需求的统计与预测并给出基础调度；问题二在问题一基础上引入跨区域迁移与碳感知，升级为多目标任务调度；问题三固定调度结果，单独研究储能协同；问题四将算力、储能、电力统一建模，进行全局协同优化与场景对比。</w:t>
      </w:r>
    </w:p>
    <w:p>
      <w:pPr>
        <w:pStyle w:val="Heading2"/>
      </w:pPr>
      <w:r>
        <w:t>2.2 问题一分析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问题一包含统计、预测、调度三个层次。统计层面需按区域与任务类型对 GPU 需求进行描述性分析；预测层面赛题建议以第 0–2351 小时训练、2352–2375 小时验证，确定模型后以 0–2375 小时重训并对 2376–2399 小时做最终测试；调度层面以 GPU 容量为硬约束，实时任务优先、弹性任务在容量允许时安排。</w:t>
      </w:r>
    </w:p>
    <w:p>
      <w:pPr>
        <w:pStyle w:val="Heading2"/>
      </w:pPr>
      <w:r>
        <w:t>2.3 问题二分析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问题二是一个典型的“算力调度—电力系统”耦合的多目标优化问题。决策变量为“迁移目标区域＋开工时段”；四个目标（运行成本、碳排放、网络时延、新能源利用率）之间存在显著冲突；约束包括 GPU 容量、IT/设施功率、网络时延与完成时限。由于规模庞大（50 000 个任务、2 400 个时段），直接求解全局整数规划不可行，故采用“滚动时域＋加权综合评分＋多策略 Pareto 分析”的框架，兼顾求解效率与多目标权衡的刻画。</w:t>
      </w:r>
    </w:p>
    <w:p>
      <w:pPr>
        <w:pStyle w:val="Heading2"/>
      </w:pPr>
      <w:r>
        <w:t>2.4 问题三分析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问题三不重新优化任务调度，仅优化储能充放电、购售电与新能源分配策略。六区域相互独立，问题可分解为六个区域子问题，每个子问题为带 0-1 充放互斥变量的混合整数线性规划，可精确求解。评价储能效果的核心指标为运行成本、碳排放、区域峰值净购电功率与负荷波动程度，通过“有储能/无储能”与“优化后/基线”对比分析得出结论。</w:t>
      </w:r>
    </w:p>
    <w:p>
      <w:pPr>
        <w:pStyle w:val="Heading2"/>
      </w:pPr>
      <w:r>
        <w:t>2.5 问题四分析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问题四将任务调度、储能运行、购售电与新能源消纳统一建模，形成算—储—电协同的大规模混合整数规划问题。由于任务调度与能源—储能运行相互耦合，本文采用“任务调度层（继承问题二）＋能源—储能层（继承问题三）＋边际供应栈反馈”的双层协同迭代结构：下层为上层提供逐区域逐小时的边际成本、边际碳排、新能源消纳与电网余量信号，上层据此做出考虑储能状态的迁移与开工决策，两层交替迭代直至策略稳定；并针对碳约束强度、电价机制与新能源波动场景设计 16 个对比实验，分析策略对参数变化的敏感性。</w:t>
      </w:r>
    </w:p>
    <w:p>
      <w:pPr>
        <w:pStyle w:val="Heading1"/>
      </w:pPr>
      <w:r>
        <w:t>三、模型假设</w:t>
      </w:r>
    </w:p>
    <w:p>
      <w:pPr>
        <w:spacing w:after="4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时间以 1 小时为基本粒度离散化，同一小时内电价、碳强度、新能源出力及任务执行状态保持不变；</w:t>
      </w:r>
    </w:p>
    <w:p>
      <w:pPr>
        <w:spacing w:after="4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所有任务不可抢占、不可拆分、不可中途迁移，任务一旦开工，其执行区域与连续占用资源不变；</w:t>
      </w:r>
    </w:p>
    <w:p>
      <w:pPr>
        <w:spacing w:after="4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实时推理任务到达即开工，且仅安排在满足网络时延约束的区域执行；批量推理与 AI 训练任务可在最晚完成时限内延迟调度；</w:t>
      </w:r>
    </w:p>
    <w:p>
      <w:pPr>
        <w:spacing w:after="4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跨区域任务迁移仅考虑单向网络时延，忽略网络带宽、迁移数据量、传输能耗与传输费用；</w:t>
      </w:r>
    </w:p>
    <w:p>
      <w:pPr>
        <w:spacing w:after="4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不考虑区域间线路潮流与输电约束，仅考虑区域级购售电边界；</w:t>
      </w:r>
    </w:p>
    <w:p>
      <w:pPr>
        <w:spacing w:after="4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各区域 PUE 为附件给定固定值，设施负荷按“IT 负荷×PUE”计算；</w:t>
      </w:r>
    </w:p>
    <w:p>
      <w:pPr>
        <w:spacing w:after="4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储能系统按 SOC 递推方程运行，充放电效率恒定，SOC 不超出上下限，且第 2406 小时 SOC 不低于初始值；同一时段不允许同时充放电；</w:t>
      </w:r>
    </w:p>
    <w:p>
      <w:pPr>
        <w:spacing w:after="4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新能源出力以附件逐时数据为准，时段内恒定；富余新能源可用于直接消纳、储能充电或外送，超出部分视为弃风弃光；</w:t>
      </w:r>
    </w:p>
    <w:p>
      <w:pPr>
        <w:spacing w:after="4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问题三给定 IT 负荷取附件 Baseline_AI_IT_Load 与 NonAI_IT_Load 之和，问题三不调整任务调度，故负荷为外生参数；</w:t>
      </w:r>
    </w:p>
    <w:p>
      <w:pPr>
        <w:pStyle w:val="Heading1"/>
      </w:pPr>
      <w:r>
        <w:t>四、符号说明</w:t>
      </w:r>
    </w:p>
    <w:p>
      <w:pPr>
        <w:spacing w:before="160" w:after="6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1  主要符号说明</w:t>
      </w:r>
    </w:p>
    <w:tbl>
      <w:tblPr>
        <w:tblW w:type="dxa" w:w="9072"/>
        <w:jc w:val="center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  <w:tblInd w:w="120" w:type="dxa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000"/>
        <w:gridCol w:w="4700"/>
        <w:gridCol w:w="2372"/>
      </w:tblGrid>
      <w:tr>
        <w:trPr>
          <w:tblHeader/>
        </w:trPr>
        <w:tc>
          <w:tcPr>
            <w:tcW w:type="dxa" w:w="20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符号</w:t>
            </w:r>
          </w:p>
        </w:tc>
        <w:tc>
          <w:tcPr>
            <w:tcW w:type="dxa" w:w="47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含义</w:t>
            </w:r>
          </w:p>
        </w:tc>
        <w:tc>
          <w:tcPr>
            <w:tcW w:type="dxa" w:w="2372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单位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 / t</w:t>
            </w:r>
          </w:p>
        </w:tc>
        <w:tc>
          <w:tcPr>
            <w:tcW w:type="dxa" w:w="4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区域索引（A–F）/ 时段索引（0–2406）</w:t>
            </w:r>
          </w:p>
        </w:tc>
        <w:tc>
          <w:tcPr>
            <w:tcW w:type="dxa" w:w="23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 / h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</w:t>
            </w:r>
          </w:p>
        </w:tc>
        <w:tc>
          <w:tcPr>
            <w:tcW w:type="dxa" w:w="4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任务索引</w:t>
            </w:r>
          </w:p>
        </w:tc>
        <w:tc>
          <w:tcPr>
            <w:tcW w:type="dxa" w:w="23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g_i</w:t>
            </w:r>
          </w:p>
        </w:tc>
        <w:tc>
          <w:tcPr>
            <w:tcW w:type="dxa" w:w="4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 GPU 需求</w:t>
            </w:r>
          </w:p>
        </w:tc>
        <w:tc>
          <w:tcPr>
            <w:tcW w:type="dxa" w:w="23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等效GPU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d_i</w:t>
            </w:r>
          </w:p>
        </w:tc>
        <w:tc>
          <w:tcPr>
            <w:tcW w:type="dxa" w:w="4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任务执行时长</w:t>
            </w:r>
          </w:p>
        </w:tc>
        <w:tc>
          <w:tcPr>
            <w:tcW w:type="dxa" w:w="23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l_i</w:t>
            </w:r>
          </w:p>
        </w:tc>
        <w:tc>
          <w:tcPr>
            <w:tcW w:type="dxa" w:w="4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任务最大可接受网络时延</w:t>
            </w:r>
          </w:p>
        </w:tc>
        <w:tc>
          <w:tcPr>
            <w:tcW w:type="dxa" w:w="23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ms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L_i</w:t>
            </w:r>
          </w:p>
        </w:tc>
        <w:tc>
          <w:tcPr>
            <w:tcW w:type="dxa" w:w="4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任务最晚完成时刻</w:t>
            </w:r>
          </w:p>
        </w:tc>
        <w:tc>
          <w:tcPr>
            <w:tcW w:type="dxa" w:w="23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Available_GPU(r)</w:t>
            </w:r>
          </w:p>
        </w:tc>
        <w:tc>
          <w:tcPr>
            <w:tcW w:type="dxa" w:w="4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区域可调度 GPU 容量</w:t>
            </w:r>
          </w:p>
        </w:tc>
        <w:tc>
          <w:tcPr>
            <w:tcW w:type="dxa" w:w="23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等效GPU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PUE(r)</w:t>
            </w:r>
          </w:p>
        </w:tc>
        <w:tc>
          <w:tcPr>
            <w:tcW w:type="dxa" w:w="4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区域能源使用效率</w:t>
            </w:r>
          </w:p>
        </w:tc>
        <w:tc>
          <w:tcPr>
            <w:tcW w:type="dxa" w:w="23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无量纲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x_i,r,s</w:t>
            </w:r>
          </w:p>
        </w:tc>
        <w:tc>
          <w:tcPr>
            <w:tcW w:type="dxa" w:w="4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任务-区域-开工时段 0-1 决策变量</w:t>
            </w:r>
          </w:p>
        </w:tc>
        <w:tc>
          <w:tcPr>
            <w:tcW w:type="dxa" w:w="23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AI_IT_Load(r,t)</w:t>
            </w:r>
          </w:p>
        </w:tc>
        <w:tc>
          <w:tcPr>
            <w:tcW w:type="dxa" w:w="4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AI 任务形成的 IT 负荷</w:t>
            </w:r>
          </w:p>
        </w:tc>
        <w:tc>
          <w:tcPr>
            <w:tcW w:type="dxa" w:w="23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MW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IT_Load(r,t) / Total_Load(r,t)</w:t>
            </w:r>
          </w:p>
        </w:tc>
        <w:tc>
          <w:tcPr>
            <w:tcW w:type="dxa" w:w="4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总 IT 负荷 / 设施侧负荷</w:t>
            </w:r>
          </w:p>
        </w:tc>
        <w:tc>
          <w:tcPr>
            <w:tcW w:type="dxa" w:w="23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MW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G_buy(r,t) / G_sell(r,t)</w:t>
            </w:r>
          </w:p>
        </w:tc>
        <w:tc>
          <w:tcPr>
            <w:tcW w:type="dxa" w:w="4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电网购电 / 外送功率</w:t>
            </w:r>
          </w:p>
        </w:tc>
        <w:tc>
          <w:tcPr>
            <w:tcW w:type="dxa" w:w="23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MW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R_use(r,t) / Curt(r,t)</w:t>
            </w:r>
          </w:p>
        </w:tc>
        <w:tc>
          <w:tcPr>
            <w:tcW w:type="dxa" w:w="4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新能源直接消纳 / 弃电功率</w:t>
            </w:r>
          </w:p>
        </w:tc>
        <w:tc>
          <w:tcPr>
            <w:tcW w:type="dxa" w:w="23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MW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R_ch(r,t) / G_ch(r,t)</w:t>
            </w:r>
          </w:p>
        </w:tc>
        <w:tc>
          <w:tcPr>
            <w:tcW w:type="dxa" w:w="4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新能源充电 / 电网充电功率</w:t>
            </w:r>
          </w:p>
        </w:tc>
        <w:tc>
          <w:tcPr>
            <w:tcW w:type="dxa" w:w="23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MW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P_ch(r,t) / P_dis(r,t)</w:t>
            </w:r>
          </w:p>
        </w:tc>
        <w:tc>
          <w:tcPr>
            <w:tcW w:type="dxa" w:w="4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储能总充电 / 放电功率</w:t>
            </w:r>
          </w:p>
        </w:tc>
        <w:tc>
          <w:tcPr>
            <w:tcW w:type="dxa" w:w="23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MW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SOC(r,t)</w:t>
            </w:r>
          </w:p>
        </w:tc>
        <w:tc>
          <w:tcPr>
            <w:tcW w:type="dxa" w:w="4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储能时段末荷电状态</w:t>
            </w:r>
          </w:p>
        </w:tc>
        <w:tc>
          <w:tcPr>
            <w:tcW w:type="dxa" w:w="23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MWh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ηc / ηd</w:t>
            </w:r>
          </w:p>
        </w:tc>
        <w:tc>
          <w:tcPr>
            <w:tcW w:type="dxa" w:w="4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储能充 / 放电效率</w:t>
            </w:r>
          </w:p>
        </w:tc>
        <w:tc>
          <w:tcPr>
            <w:tcW w:type="dxa" w:w="23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无量纲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ElectricityPrice(r,t)</w:t>
            </w:r>
          </w:p>
        </w:tc>
        <w:tc>
          <w:tcPr>
            <w:tcW w:type="dxa" w:w="4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购电价格</w:t>
            </w:r>
          </w:p>
        </w:tc>
        <w:tc>
          <w:tcPr>
            <w:tcW w:type="dxa" w:w="23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元/MWh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CarbonIntensity(r,t)</w:t>
            </w:r>
          </w:p>
        </w:tc>
        <w:tc>
          <w:tcPr>
            <w:tcW w:type="dxa" w:w="4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电网碳强度</w:t>
            </w:r>
          </w:p>
        </w:tc>
        <w:tc>
          <w:tcPr>
            <w:tcW w:type="dxa" w:w="23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tCO₂/MWh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NetGridImport(r,t)</w:t>
            </w:r>
          </w:p>
        </w:tc>
        <w:tc>
          <w:tcPr>
            <w:tcW w:type="dxa" w:w="4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净购电功率（购电−外送）</w:t>
            </w:r>
          </w:p>
        </w:tc>
        <w:tc>
          <w:tcPr>
            <w:tcW w:type="dxa" w:w="23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MW</w:t>
            </w:r>
          </w:p>
        </w:tc>
      </w:tr>
    </w:tbl>
    <w:p>
      <w:pPr>
        <w:pStyle w:val="Heading1"/>
      </w:pPr>
      <w:r>
        <w:t>五、模型建立与求解</w:t>
      </w:r>
    </w:p>
    <w:p>
      <w:pPr>
        <w:pStyle w:val="Heading2"/>
      </w:pPr>
      <w:r>
        <w:t>5.1 问题一：算力需求统计、短期预测与基础调度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问题一以 workload_trace.xlsx 中的任务数据为基础，从统计、预测与调度三个层面展开。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（1）数据特性分析。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对逐小时 GPU 需求总量进行描述性统计，序列均值方差比约为 1.032、一阶自相关接近于 0，近似独立同分布，说明序列无明显趋势与周期记忆，短期预测应以近期信息为主。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（2）短期预测模型。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分别构建常数均值、AR(2) 与梯度提升树三种模型，以 0–2159 小时训练、2160–2399 小时测试，预测性能对比如表 2 所示。梯度提升树模型 MAPE 为 9.51%，明显优于其余两种模型；进一步以分位数回归构造 90% 预测区间，测试集覆盖率为 85.8%。</w:t>
      </w:r>
    </w:p>
    <w:p>
      <w:pPr>
        <w:spacing w:before="160" w:after="6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2  三种短期预测模型性能对比</w:t>
      </w:r>
    </w:p>
    <w:tbl>
      <w:tblPr>
        <w:tblW w:type="dxa" w:w="9072"/>
        <w:jc w:val="center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  <w:tblInd w:w="120" w:type="dxa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600"/>
        <w:gridCol w:w="2157"/>
        <w:gridCol w:w="2157"/>
        <w:gridCol w:w="2158"/>
      </w:tblGrid>
      <w:tr>
        <w:trPr>
          <w:tblHeader/>
        </w:trPr>
        <w:tc>
          <w:tcPr>
            <w:tcW w:type="dxa" w:w="26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模型</w:t>
            </w:r>
          </w:p>
        </w:tc>
        <w:tc>
          <w:tcPr>
            <w:tcW w:type="dxa" w:w="2157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MAE（等效GPU）</w:t>
            </w:r>
          </w:p>
        </w:tc>
        <w:tc>
          <w:tcPr>
            <w:tcW w:type="dxa" w:w="2157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RMSE（等效GPU）</w:t>
            </w:r>
          </w:p>
        </w:tc>
        <w:tc>
          <w:tcPr>
            <w:tcW w:type="dxa" w:w="2158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MAPE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常数均值</w:t>
            </w:r>
          </w:p>
        </w:tc>
        <w:tc>
          <w:tcPr>
            <w:tcW w:type="dxa" w:w="215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351.38</w:t>
            </w:r>
          </w:p>
        </w:tc>
        <w:tc>
          <w:tcPr>
            <w:tcW w:type="dxa" w:w="215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425.90</w:t>
            </w:r>
          </w:p>
        </w:tc>
        <w:tc>
          <w:tcPr>
            <w:tcW w:type="dxa" w:w="215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14.61%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AR(2)</w:t>
            </w:r>
          </w:p>
        </w:tc>
        <w:tc>
          <w:tcPr>
            <w:tcW w:type="dxa" w:w="215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350.24</w:t>
            </w:r>
          </w:p>
        </w:tc>
        <w:tc>
          <w:tcPr>
            <w:tcW w:type="dxa" w:w="215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424.79</w:t>
            </w:r>
          </w:p>
        </w:tc>
        <w:tc>
          <w:tcPr>
            <w:tcW w:type="dxa" w:w="215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14.55%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梯度提升树</w:t>
            </w:r>
          </w:p>
        </w:tc>
        <w:tc>
          <w:tcPr>
            <w:tcW w:type="dxa" w:w="215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230.79</w:t>
            </w:r>
          </w:p>
        </w:tc>
        <w:tc>
          <w:tcPr>
            <w:tcW w:type="dxa" w:w="215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284.49</w:t>
            </w:r>
          </w:p>
        </w:tc>
        <w:tc>
          <w:tcPr>
            <w:tcW w:type="dxa" w:w="215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9.51%</w:t>
            </w:r>
          </w:p>
        </w:tc>
      </w:tr>
    </w:tbl>
    <w:p>
      <w:pPr>
        <w:spacing w:after="0" w:line="240" w:lineRule="auto"/>
        <w:ind w:firstLine="480"/>
      </w:pPr>
      <w:r>
        <w:rPr>
          <w:rFonts w:ascii="Times New Roman" w:hAnsi="Times New Roman" w:eastAsia="宋体"/>
          <w:b/>
          <w:i w:val="0"/>
          <w:sz w:val="24"/>
        </w:rPr>
        <w:t>（3）基础算力调度模型。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基础调度以 GPU 容量为硬约束：实时推理任务到达即开工，批量推理与 AI 训练任务在容量允许时可延后执行，任务不可拆分或迁移。对第 2376–2399 小时实际到达的 538 个任务进行调度，全部任务按时完成，迁移率 2.8%、零延后，IT 功率峰值约为容量的 28%，任务统计如表 3 所示。调度甘特图与区域 GPU 利用率曲线【待插入：由调度明细生成】。</w:t>
      </w:r>
    </w:p>
    <w:p>
      <w:pPr>
        <w:spacing w:before="160" w:after="6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3  最后 24 小时基础调度任务统计（2376–2399）</w:t>
      </w:r>
    </w:p>
    <w:tbl>
      <w:tblPr>
        <w:tblW w:type="dxa" w:w="9072"/>
        <w:jc w:val="center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  <w:tblInd w:w="120" w:type="dxa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100"/>
        <w:gridCol w:w="1700"/>
        <w:gridCol w:w="1500"/>
        <w:gridCol w:w="3772"/>
      </w:tblGrid>
      <w:tr>
        <w:trPr>
          <w:tblHeader/>
        </w:trPr>
        <w:tc>
          <w:tcPr>
            <w:tcW w:type="dxa" w:w="21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任务类型</w:t>
            </w:r>
          </w:p>
        </w:tc>
        <w:tc>
          <w:tcPr>
            <w:tcW w:type="dxa" w:w="17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任务数</w:t>
            </w:r>
          </w:p>
        </w:tc>
        <w:tc>
          <w:tcPr>
            <w:tcW w:type="dxa" w:w="15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占比</w:t>
            </w:r>
          </w:p>
        </w:tc>
        <w:tc>
          <w:tcPr>
            <w:tcW w:type="dxa" w:w="3772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调度特性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AI 训练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194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36.1%</w:t>
            </w:r>
          </w:p>
        </w:tc>
        <w:tc>
          <w:tcPr>
            <w:tcW w:type="dxa" w:w="37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允许延后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批量推理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184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34.2%</w:t>
            </w:r>
          </w:p>
        </w:tc>
        <w:tc>
          <w:tcPr>
            <w:tcW w:type="dxa" w:w="37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允许延后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实时推理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29.7%</w:t>
            </w:r>
          </w:p>
        </w:tc>
        <w:tc>
          <w:tcPr>
            <w:tcW w:type="dxa" w:w="37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到达即开工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合计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538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100%</w:t>
            </w:r>
          </w:p>
        </w:tc>
        <w:tc>
          <w:tcPr>
            <w:tcW w:type="dxa" w:w="37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迁移率 2.8%，零延后</w:t>
            </w:r>
          </w:p>
        </w:tc>
      </w:tr>
    </w:tbl>
    <w:p>
      <w:pPr>
        <w:spacing w:after="80" w:line="240" w:lineRule="auto"/>
      </w:pPr>
      <w:r>
        <w:rPr>
          <w:rFonts w:ascii="Times New Roman" w:hAnsi="Times New Roman" w:eastAsia="宋体"/>
          <w:b w:val="0"/>
          <w:i w:val="0"/>
          <w:sz w:val="24"/>
        </w:rPr>
        <w:t>注：正式提交时建议按赛题建议口径（0–2351 训练、2352–2375 验证、0–2375 重训、2376–2399 最终测试）重新核算预测精度。</w:t>
      </w:r>
    </w:p>
    <w:p>
      <w:pPr>
        <w:pStyle w:val="Heading2"/>
      </w:pPr>
      <w:r>
        <w:t>5.2 问题二：碳感知任务调度模型</w:t>
      </w:r>
    </w:p>
    <w:p>
      <w:pPr>
        <w:pStyle w:val="Heading3"/>
      </w:pPr>
      <w:r>
        <w:t>5.2.1 模型建立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以任务 i 在区域 r、时段 s 开工为 0-1 决策变量，约束包括：区域可行性（时延约束）、时间可行性（实时任务到达即开工、弹性任务满足完成时限）、GPU 容量约束、IT/设施功率约束与任务唯一性约束。任务功率为 P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4"/>
        </w:rPr>
        <w:t xml:space="preserve"> = g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4"/>
        </w:rPr>
        <w:t>×p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4"/>
        </w:rPr>
        <w:t>，任务在时段 t 的重叠系数为 h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i,t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tabs>
          <w:tab w:pos="4535" w:val="center"/>
          <w:tab w:pos="9071" w:val="right"/>
        </w:tabs>
        <w:spacing w:line="240" w:lineRule="auto" w:before="80" w:after="80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Times New Roman" w:hAnsi="Times New Roman" w:eastAsia="宋体"/>
          <w:b w:val="0"/>
          <w:i w:val="0"/>
          <w:sz w:val="24"/>
        </w:rPr>
        <w:t>Σ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4"/>
        </w:rPr>
        <w:t xml:space="preserve"> Σ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s</w:t>
      </w:r>
      <w:r>
        <w:rPr>
          <w:rFonts w:ascii="Times New Roman" w:hAnsi="Times New Roman" w:eastAsia="宋体"/>
          <w:b w:val="0"/>
          <w:i w:val="0"/>
          <w:sz w:val="24"/>
        </w:rPr>
        <w:t xml:space="preserve"> g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4"/>
        </w:rPr>
        <w:t>·h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i,t</w:t>
      </w:r>
      <w:r>
        <w:rPr>
          <w:rFonts w:ascii="Times New Roman" w:hAnsi="Times New Roman" w:eastAsia="宋体"/>
          <w:b w:val="0"/>
          <w:i w:val="0"/>
          <w:sz w:val="24"/>
        </w:rPr>
        <w:t>·x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i,r,s</w:t>
      </w:r>
      <w:r>
        <w:rPr>
          <w:rFonts w:ascii="Times New Roman" w:hAnsi="Times New Roman" w:eastAsia="宋体"/>
          <w:b w:val="0"/>
          <w:i w:val="0"/>
          <w:sz w:val="24"/>
        </w:rPr>
        <w:t xml:space="preserve"> ≤ Available_GPU(r)</w:t>
      </w:r>
      <w:r>
        <w:rPr>
          <w:rFonts w:ascii="Times New Roman" w:hAnsi="Times New Roman" w:eastAsia="宋体"/>
          <w:b w:val="0"/>
          <w:i w:val="0"/>
          <w:sz w:val="24"/>
        </w:rPr>
        <w:tab/>
        <w:t>(1)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将运行成本、碳排放、网络时延与新能源利用率四个目标通过加权求和转化为综合评分：</w:t>
      </w:r>
    </w:p>
    <w:p>
      <w:pPr>
        <w:tabs>
          <w:tab w:pos="4535" w:val="center"/>
          <w:tab w:pos="9071" w:val="right"/>
        </w:tabs>
        <w:spacing w:line="240" w:lineRule="auto" w:before="80" w:after="80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Times New Roman" w:hAnsi="Times New Roman" w:eastAsia="宋体"/>
          <w:b/>
          <w:i w:val="0"/>
          <w:sz w:val="24"/>
        </w:rPr>
        <w:t>Score(i,r,s) = α·Cost(i,r,s) + β·Carbon(i,r,s) + γ·Latency(i,r) − δ·RenewableBenefit(i,r,s) + μ·Congestion(i,r,s)</w:t>
      </w:r>
      <w:r>
        <w:rPr>
          <w:rFonts w:ascii="Times New Roman" w:hAnsi="Times New Roman" w:eastAsia="宋体"/>
          <w:b w:val="0"/>
          <w:i w:val="0"/>
          <w:sz w:val="24"/>
        </w:rPr>
        <w:tab/>
        <w:t>(2)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其中新增购电成本与碳排放按执行时段内“新增负荷扣除新能源直接消纳后的购电”乘以电价/碳强度累加，新能源消纳收益取直接消纳量，拥塞惩罚取 GPU 与功率利用率的超阈值部分。采用滚动窗口（6 小时）与向前看（24 小时）机制降低求解规模，以贪心方式逐任务选择评分最优方案。</w:t>
      </w:r>
    </w:p>
    <w:p>
      <w:pPr>
        <w:pStyle w:val="Heading3"/>
      </w:pPr>
      <w:r>
        <w:t>5.2.2 多策略与 Pareto 分析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设置 8 组权重策略（综合权衡、成本优先、低碳优先、新能源优先、时延优先、低碳＋新能源、成本＋碳、负载均衡），对每组权重运行滚动调度，再以 Pareto 非支配关系筛选折中方案。八种策略均实现 50 000/50 000 个任务完整调度，约束违规数为 0，按时完成率 100%，结果如表 4 所示。</w:t>
      </w:r>
    </w:p>
    <w:p>
      <w:pPr>
        <w:spacing w:before="160" w:after="6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4  八种策略调度结果对比（全时域 0–2399 小时）</w:t>
      </w:r>
    </w:p>
    <w:tbl>
      <w:tblPr>
        <w:tblW w:type="dxa" w:w="9072"/>
        <w:jc w:val="center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  <w:tblInd w:w="120" w:type="dxa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200"/>
        <w:gridCol w:w="1300"/>
        <w:gridCol w:w="1250"/>
        <w:gridCol w:w="1150"/>
        <w:gridCol w:w="1250"/>
        <w:gridCol w:w="1300"/>
        <w:gridCol w:w="622"/>
      </w:tblGrid>
      <w:tr>
        <w:trPr>
          <w:tblHeader/>
        </w:trPr>
        <w:tc>
          <w:tcPr>
            <w:tcW w:type="dxa" w:w="22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策略</w:t>
            </w:r>
          </w:p>
        </w:tc>
        <w:tc>
          <w:tcPr>
            <w:tcW w:type="dxa" w:w="13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净运行成本</w:t>
              <w:br/>
              <w:t>（万元）</w:t>
            </w:r>
          </w:p>
        </w:tc>
        <w:tc>
          <w:tcPr>
            <w:tcW w:type="dxa" w:w="125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碳排放</w:t>
              <w:br/>
              <w:t>（tCO₂）</w:t>
            </w:r>
          </w:p>
        </w:tc>
        <w:tc>
          <w:tcPr>
            <w:tcW w:type="dxa" w:w="115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新能源</w:t>
              <w:br/>
              <w:t>利用率</w:t>
            </w:r>
          </w:p>
        </w:tc>
        <w:tc>
          <w:tcPr>
            <w:tcW w:type="dxa" w:w="125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平均时延</w:t>
              <w:br/>
              <w:t>（ms）</w:t>
            </w:r>
          </w:p>
        </w:tc>
        <w:tc>
          <w:tcPr>
            <w:tcW w:type="dxa" w:w="13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峰值净购电</w:t>
              <w:br/>
              <w:t>（MW）</w:t>
            </w:r>
          </w:p>
        </w:tc>
        <w:tc>
          <w:tcPr>
            <w:tcW w:type="dxa" w:w="622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迁移比例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综合权衡 balanced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-43 873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160.7</w:t>
            </w:r>
          </w:p>
        </w:tc>
        <w:tc>
          <w:tcPr>
            <w:tcW w:type="dxa" w:w="11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68.8%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14.35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171.2</w:t>
            </w:r>
          </w:p>
        </w:tc>
        <w:tc>
          <w:tcPr>
            <w:tcW w:type="dxa" w:w="62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23.8%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成本优先 cost_first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-43 842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158.8</w:t>
            </w:r>
          </w:p>
        </w:tc>
        <w:tc>
          <w:tcPr>
            <w:tcW w:type="dxa" w:w="11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68.8%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12.04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197.5</w:t>
            </w:r>
          </w:p>
        </w:tc>
        <w:tc>
          <w:tcPr>
            <w:tcW w:type="dxa" w:w="62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22.2%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低碳优先 carbon_first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-43 889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160.7</w:t>
            </w:r>
          </w:p>
        </w:tc>
        <w:tc>
          <w:tcPr>
            <w:tcW w:type="dxa" w:w="11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68.9%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16.38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160.6</w:t>
            </w:r>
          </w:p>
        </w:tc>
        <w:tc>
          <w:tcPr>
            <w:tcW w:type="dxa" w:w="62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31.9%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新能源优先 renewable_first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-43 655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163.3</w:t>
            </w:r>
          </w:p>
        </w:tc>
        <w:tc>
          <w:tcPr>
            <w:tcW w:type="dxa" w:w="11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68.8%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25.33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153.4</w:t>
            </w:r>
          </w:p>
        </w:tc>
        <w:tc>
          <w:tcPr>
            <w:tcW w:type="dxa" w:w="62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54.3%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时延优先 latency_first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-41 687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149.7</w:t>
            </w:r>
          </w:p>
        </w:tc>
        <w:tc>
          <w:tcPr>
            <w:tcW w:type="dxa" w:w="11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67.9%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5.06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188.9</w:t>
            </w:r>
          </w:p>
        </w:tc>
        <w:tc>
          <w:tcPr>
            <w:tcW w:type="dxa" w:w="62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0.2%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低碳＋新能源 carbon_renewable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-43 702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129.6</w:t>
            </w:r>
          </w:p>
        </w:tc>
        <w:tc>
          <w:tcPr>
            <w:tcW w:type="dxa" w:w="11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68.8%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22.58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107.6</w:t>
            </w:r>
          </w:p>
        </w:tc>
        <w:tc>
          <w:tcPr>
            <w:tcW w:type="dxa" w:w="62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45.3%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成本＋碳 cost_carbon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-43 902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148.8</w:t>
            </w:r>
          </w:p>
        </w:tc>
        <w:tc>
          <w:tcPr>
            <w:tcW w:type="dxa" w:w="11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68.8%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15.81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150.3</w:t>
            </w:r>
          </w:p>
        </w:tc>
        <w:tc>
          <w:tcPr>
            <w:tcW w:type="dxa" w:w="62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30.7%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负载均衡 load_balanced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-43 636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144.3</w:t>
            </w:r>
          </w:p>
        </w:tc>
        <w:tc>
          <w:tcPr>
            <w:tcW w:type="dxa" w:w="11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68.7%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20.38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153.9</w:t>
            </w:r>
          </w:p>
        </w:tc>
        <w:tc>
          <w:tcPr>
            <w:tcW w:type="dxa" w:w="62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41.8%</w:t>
            </w:r>
          </w:p>
        </w:tc>
      </w:tr>
    </w:tbl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以综合权衡策略为例，与附件基线对比见表 5：新能源利用率由 32.8% 提升至 68.8%，弃电下降 53.6%，系统峰值净购电下降 91.0%；碳排放大幅下降源于调度使电网购电趋近于 0（口径：碳排=购电×碳强度）。</w:t>
      </w:r>
    </w:p>
    <w:p>
      <w:pPr>
        <w:spacing w:before="160" w:after="6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5  balanced 策略与附件基线对比（全时域）</w:t>
      </w:r>
    </w:p>
    <w:tbl>
      <w:tblPr>
        <w:tblW w:type="dxa" w:w="9072"/>
        <w:jc w:val="center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  <w:tblInd w:w="120" w:type="dxa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300"/>
        <w:gridCol w:w="2257"/>
        <w:gridCol w:w="2257"/>
        <w:gridCol w:w="2258"/>
      </w:tblGrid>
      <w:tr>
        <w:trPr>
          <w:tblHeader/>
        </w:trPr>
        <w:tc>
          <w:tcPr>
            <w:tcW w:type="dxa" w:w="23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指标</w:t>
            </w:r>
          </w:p>
        </w:tc>
        <w:tc>
          <w:tcPr>
            <w:tcW w:type="dxa" w:w="2257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附件基线</w:t>
            </w:r>
          </w:p>
        </w:tc>
        <w:tc>
          <w:tcPr>
            <w:tcW w:type="dxa" w:w="2257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balanced 策略</w:t>
            </w:r>
          </w:p>
        </w:tc>
        <w:tc>
          <w:tcPr>
            <w:tcW w:type="dxa" w:w="2258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变化幅度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净运行成本（元）</w:t>
            </w:r>
          </w:p>
        </w:tc>
        <w:tc>
          <w:tcPr>
            <w:tcW w:type="dxa" w:w="225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1 801 786 873</w:t>
            </w:r>
          </w:p>
        </w:tc>
        <w:tc>
          <w:tcPr>
            <w:tcW w:type="dxa" w:w="225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-438 731 037</w:t>
            </w:r>
          </w:p>
        </w:tc>
        <w:tc>
          <w:tcPr>
            <w:tcW w:type="dxa" w:w="225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由正转负（外送收益所致）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碳排放（tCO₂）</w:t>
            </w:r>
          </w:p>
        </w:tc>
        <w:tc>
          <w:tcPr>
            <w:tcW w:type="dxa" w:w="225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2 045 367</w:t>
            </w:r>
          </w:p>
        </w:tc>
        <w:tc>
          <w:tcPr>
            <w:tcW w:type="dxa" w:w="225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160.7</w:t>
            </w:r>
          </w:p>
        </w:tc>
        <w:tc>
          <w:tcPr>
            <w:tcW w:type="dxa" w:w="225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-99.99%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新能源利用率</w:t>
            </w:r>
          </w:p>
        </w:tc>
        <w:tc>
          <w:tcPr>
            <w:tcW w:type="dxa" w:w="225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32.8%</w:t>
            </w:r>
          </w:p>
        </w:tc>
        <w:tc>
          <w:tcPr>
            <w:tcW w:type="dxa" w:w="225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68.8%</w:t>
            </w:r>
          </w:p>
        </w:tc>
        <w:tc>
          <w:tcPr>
            <w:tcW w:type="dxa" w:w="225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+109.6%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弃电总量（MWh）</w:t>
            </w:r>
          </w:p>
        </w:tc>
        <w:tc>
          <w:tcPr>
            <w:tcW w:type="dxa" w:w="225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7 752 928</w:t>
            </w:r>
          </w:p>
        </w:tc>
        <w:tc>
          <w:tcPr>
            <w:tcW w:type="dxa" w:w="225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3 596 690</w:t>
            </w:r>
          </w:p>
        </w:tc>
        <w:tc>
          <w:tcPr>
            <w:tcW w:type="dxa" w:w="225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-53.6%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系统峰值净购电（MW）</w:t>
            </w:r>
          </w:p>
        </w:tc>
        <w:tc>
          <w:tcPr>
            <w:tcW w:type="dxa" w:w="225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1 907.6</w:t>
            </w:r>
          </w:p>
        </w:tc>
        <w:tc>
          <w:tcPr>
            <w:tcW w:type="dxa" w:w="225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171.2</w:t>
            </w:r>
          </w:p>
        </w:tc>
        <w:tc>
          <w:tcPr>
            <w:tcW w:type="dxa" w:w="225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-91.0%</w:t>
            </w:r>
          </w:p>
        </w:tc>
      </w:tr>
    </w:tbl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八种策略两两进行 Pareto 支配检验后均未被支配，共同构成 Pareto 前沿（图 1）：时延优先策略平均时延仅 5.06 ms 但成本与弃电相对较高；低碳＋新能源策略碳排放与峰值净购电最低但时延升至 22.58 ms；负载均衡策略西部承接比例最高（50.9%）。不同目标间存在显著冲突，需按决策偏好选择折中方案。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3461538"/>
            <wp:docPr id="1" name="Picture 1" descr="问题二八种策略Pareto前沿散点图" title="问题二八种策略Pareto前沿散点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to_sca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6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i w:val="0"/>
          <w:sz w:val="21"/>
        </w:rPr>
        <w:t>图 1  问题二八种策略 Pareto 前沿散点图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892857"/>
            <wp:docPr id="2" name="Picture 2" descr="问题二优化结果与附件基线对比" title="问题二优化结果与附件基线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9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i w:val="0"/>
          <w:sz w:val="21"/>
        </w:rPr>
        <w:t>图 2  问题二优化结果与附件基线对比</w:t>
      </w:r>
    </w:p>
    <w:p>
      <w:pPr>
        <w:pStyle w:val="Heading2"/>
      </w:pPr>
      <w:r>
        <w:t>5.3 问题三：储能协同优化模型</w:t>
      </w:r>
    </w:p>
    <w:p>
      <w:pPr>
        <w:pStyle w:val="Heading3"/>
      </w:pPr>
      <w:r>
        <w:t>5.3.1 模型建立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问题三给定 IT 负荷为 Baseline_AI_IT_Load 与 NonAI_IT_Load 之和，设施负荷按 PUE 折算。六区域相互独立，每个区域构建带 0-1 充放互斥变量的混合整数线性规划模型，决策变量包括电网购电、外送、新能源直接消纳、新能源/电网充电、储能放电、弃电与 SOC。核心约束包括新能源分配平衡、功率平衡、SOC 递推、SOC 上下限与终态约束、储能功率与充放互斥约束、购售电边界约束。</w:t>
      </w:r>
    </w:p>
    <w:p>
      <w:pPr>
        <w:tabs>
          <w:tab w:pos="4535" w:val="center"/>
          <w:tab w:pos="9071" w:val="right"/>
        </w:tabs>
        <w:spacing w:line="240" w:lineRule="auto" w:before="80" w:after="80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Times New Roman" w:hAnsi="Times New Roman" w:eastAsia="宋体"/>
          <w:b w:val="0"/>
          <w:i w:val="0"/>
          <w:sz w:val="24"/>
        </w:rPr>
        <w:t>S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r,t</w:t>
      </w:r>
      <w:r>
        <w:rPr>
          <w:rFonts w:ascii="Times New Roman" w:hAnsi="Times New Roman" w:eastAsia="宋体"/>
          <w:b w:val="0"/>
          <w:i w:val="0"/>
          <w:sz w:val="24"/>
        </w:rPr>
        <w:t xml:space="preserve"> = S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r,t−1</w:t>
      </w:r>
      <w:r>
        <w:rPr>
          <w:rFonts w:ascii="Times New Roman" w:hAnsi="Times New Roman" w:eastAsia="宋体"/>
          <w:b w:val="0"/>
          <w:i w:val="0"/>
          <w:sz w:val="24"/>
        </w:rPr>
        <w:t xml:space="preserve"> + η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c</w:t>
      </w:r>
      <w:r>
        <w:rPr>
          <w:rFonts w:ascii="Times New Roman" w:hAnsi="Times New Roman" w:eastAsia="宋体"/>
          <w:b w:val="0"/>
          <w:i w:val="0"/>
          <w:sz w:val="24"/>
        </w:rPr>
        <w:t>·P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ch</w:t>
      </w:r>
      <w:r>
        <w:rPr>
          <w:rFonts w:ascii="Times New Roman" w:hAnsi="Times New Roman" w:eastAsia="宋体"/>
          <w:b w:val="0"/>
          <w:i w:val="0"/>
          <w:sz w:val="24"/>
        </w:rPr>
        <w:t>(r,t) − P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dis</w:t>
      </w:r>
      <w:r>
        <w:rPr>
          <w:rFonts w:ascii="Times New Roman" w:hAnsi="Times New Roman" w:eastAsia="宋体"/>
          <w:b w:val="0"/>
          <w:i w:val="0"/>
          <w:sz w:val="24"/>
        </w:rPr>
        <w:t>(r,t)/η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d</w:t>
      </w:r>
      <w:r>
        <w:rPr>
          <w:rFonts w:ascii="Times New Roman" w:hAnsi="Times New Roman" w:eastAsia="宋体"/>
          <w:b w:val="0"/>
          <w:i w:val="0"/>
          <w:sz w:val="24"/>
        </w:rPr>
        <w:t>，  S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r,2406</w:t>
      </w:r>
      <w:r>
        <w:rPr>
          <w:rFonts w:ascii="Times New Roman" w:hAnsi="Times New Roman" w:eastAsia="宋体"/>
          <w:b w:val="0"/>
          <w:i w:val="0"/>
          <w:sz w:val="24"/>
        </w:rPr>
        <w:t xml:space="preserve"> ≥ S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0</w:t>
      </w:r>
      <w:r>
        <w:rPr>
          <w:rFonts w:ascii="Times New Roman" w:hAnsi="Times New Roman" w:eastAsia="宋体"/>
          <w:b w:val="0"/>
          <w:i w:val="0"/>
          <w:sz w:val="24"/>
        </w:rPr>
        <w:tab/>
        <w:t>(3)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目标函数包括运行成本 f1、碳排放 f2、区域峰值净购电 f3 与净购电波动 f4（平均绝对偏差）。采用逐目标字典序与基线归一化加权两种方式生成多组策略，由 HiGHS 求解器精确求解。</w:t>
      </w:r>
    </w:p>
    <w:p>
      <w:pPr>
        <w:pStyle w:val="Heading3"/>
      </w:pPr>
      <w:r>
        <w:t>5.3.2 结果分析</w:t>
      </w:r>
    </w:p>
    <w:p>
      <w:pPr>
        <w:spacing w:before="160" w:after="6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6  问题三七个场景关键指标对比（全时域 0–2406）</w:t>
      </w:r>
    </w:p>
    <w:tbl>
      <w:tblPr>
        <w:tblW w:type="dxa" w:w="9072"/>
        <w:jc w:val="center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  <w:tblInd w:w="120" w:type="dxa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900"/>
        <w:gridCol w:w="1300"/>
        <w:gridCol w:w="1250"/>
        <w:gridCol w:w="1700"/>
        <w:gridCol w:w="1700"/>
        <w:gridCol w:w="1222"/>
      </w:tblGrid>
      <w:tr>
        <w:trPr>
          <w:tblHeader/>
        </w:trPr>
        <w:tc>
          <w:tcPr>
            <w:tcW w:type="dxa" w:w="19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场景</w:t>
            </w:r>
          </w:p>
        </w:tc>
        <w:tc>
          <w:tcPr>
            <w:tcW w:type="dxa" w:w="13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运行成本</w:t>
              <w:br/>
              <w:t>（万元）</w:t>
            </w:r>
          </w:p>
        </w:tc>
        <w:tc>
          <w:tcPr>
            <w:tcW w:type="dxa" w:w="125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碳排放</w:t>
              <w:br/>
              <w:t>（tCO₂）</w:t>
            </w:r>
          </w:p>
        </w:tc>
        <w:tc>
          <w:tcPr>
            <w:tcW w:type="dxa" w:w="17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系统峰值净购电</w:t>
              <w:br/>
              <w:t>（MW）</w:t>
            </w:r>
          </w:p>
        </w:tc>
        <w:tc>
          <w:tcPr>
            <w:tcW w:type="dxa" w:w="17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净购电波动 MAD</w:t>
              <w:br/>
              <w:t>（MW）</w:t>
            </w:r>
          </w:p>
        </w:tc>
        <w:tc>
          <w:tcPr>
            <w:tcW w:type="dxa" w:w="1222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新能源</w:t>
              <w:br/>
              <w:t>利用率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S0 附件基线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180 166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2 045 367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1 907.6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507.9</w:t>
            </w:r>
          </w:p>
        </w:tc>
        <w:tc>
          <w:tcPr>
            <w:tcW w:type="dxa" w:w="122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32.9%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S1 无储能优化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-41 982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8.9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-82.4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94.3</w:t>
            </w:r>
          </w:p>
        </w:tc>
        <w:tc>
          <w:tcPr>
            <w:tcW w:type="dxa" w:w="122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67.9%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S2 成本最优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-45 922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-413.5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0.51</w:t>
            </w:r>
          </w:p>
        </w:tc>
        <w:tc>
          <w:tcPr>
            <w:tcW w:type="dxa" w:w="122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69.5%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S3 低碳最优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-45 922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-413.5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0.51</w:t>
            </w:r>
          </w:p>
        </w:tc>
        <w:tc>
          <w:tcPr>
            <w:tcW w:type="dxa" w:w="122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69.5%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S4 削峰最优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-45 922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-568.4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0.51</w:t>
            </w:r>
          </w:p>
        </w:tc>
        <w:tc>
          <w:tcPr>
            <w:tcW w:type="dxa" w:w="122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69.5%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S5 平抑波动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-42 223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-568.4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</w:t>
            </w:r>
          </w:p>
        </w:tc>
        <w:tc>
          <w:tcPr>
            <w:tcW w:type="dxa" w:w="122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68.4%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S6 综合权衡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-45 922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-568.4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0.50</w:t>
            </w:r>
          </w:p>
        </w:tc>
        <w:tc>
          <w:tcPr>
            <w:tcW w:type="dxa" w:w="122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69.5%</w:t>
            </w:r>
          </w:p>
        </w:tc>
      </w:tr>
    </w:tbl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与无储能优化（S1）相比，含储能策略（S2）成本进一步下降 3 940 万元（9.4%），峰值净购电由 -82.4 MW 降至 -568.4 MW，波动 MAD 由 94.3 MW 降至 0.5 MW，说明储能通过“低谷充电、高峰放电”实现削峰填谷与波动平抑。储能容量敏感性（表 7）表明容量增至 1.5 倍后指标基本不再变化，附件配置的储能容量已接近饱和需求；充放电效率敏感性表明效率对成本影响较小、但对波动平抑能力影响显著。</w:t>
      </w:r>
    </w:p>
    <w:p>
      <w:pPr>
        <w:spacing w:before="160" w:after="6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7  储能容量敏感性（综合权衡策略）</w:t>
      </w:r>
    </w:p>
    <w:tbl>
      <w:tblPr>
        <w:tblW w:type="dxa" w:w="9072"/>
        <w:jc w:val="center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  <w:tblInd w:w="120" w:type="dxa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2268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容量系数</w:t>
            </w:r>
          </w:p>
        </w:tc>
        <w:tc>
          <w:tcPr>
            <w:tcW w:type="dxa" w:w="2268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成本（万元）</w:t>
            </w:r>
          </w:p>
        </w:tc>
        <w:tc>
          <w:tcPr>
            <w:tcW w:type="dxa" w:w="2268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峰值净购电（MW）</w:t>
            </w:r>
          </w:p>
        </w:tc>
        <w:tc>
          <w:tcPr>
            <w:tcW w:type="dxa" w:w="2268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波动 MAD（MW）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0.25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-43 588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-296.9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66.3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0.50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-44 792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-412.0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35.9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-45 922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-568.4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1.50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-45 934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-618.4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2.00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-45 934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-618.4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0.001</w:t>
            </w:r>
          </w:p>
        </w:tc>
      </w:tr>
    </w:tbl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2496000"/>
            <wp:docPr id="3" name="Picture 3" descr="问题三储能SOC曲线" title="问题三储能SOC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i w:val="0"/>
          <w:sz w:val="21"/>
        </w:rPr>
        <w:t>图 3  问题三储能 SOC 曲线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1345500"/>
            <wp:docPr id="4" name="Picture 4" descr="问题三净购电功率优化前后曲线" title="问题三净购电功率优化前后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_import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34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i w:val="0"/>
          <w:sz w:val="21"/>
        </w:rPr>
        <w:t>图 4  问题三净购电功率优化前后曲线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2812500"/>
            <wp:docPr id="5" name="Picture 5" descr="问题三储能前后关键指标对比" title="问题三储能前后关键指标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ba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i w:val="0"/>
          <w:sz w:val="21"/>
        </w:rPr>
        <w:t>图 5  问题三储能前后关键指标对比</w:t>
      </w:r>
    </w:p>
    <w:p>
      <w:pPr>
        <w:pStyle w:val="Heading2"/>
      </w:pPr>
      <w:r>
        <w:t>5.4 问题四：多区域算—储—电协同优化模型</w:t>
      </w:r>
    </w:p>
    <w:p>
      <w:pPr>
        <w:pStyle w:val="Heading3"/>
      </w:pPr>
      <w:r>
        <w:t>5.4.1 模型框架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问题四的关键在于“耦合”：任务调度决定区域逐时 AI 负荷，负荷进入下层能源—储能优化，决定购售电、充放电与新能源分配；下层优化的边际供应特性（该时段该区域新增 1 MW 负荷由弃电、外送、储能放电还是购电满足，及其边际成本、边际碳排与新能源消纳属性）再反馈到上层任务调度的评分函数。据此构建双层协同迭代结构：上层沿用问题二 WCRS 的滚动调度与加权评分，下层沿用问题三的区域储能 MILP；评分函数中的边际成本、边际碳排与新能源消纳不再采用“先富余消纳、其余购电”的简化口径，而由下层边际供应栈给出，并增加电网余量压力项以引导削峰。</w:t>
      </w:r>
    </w:p>
    <w:p>
      <w:pPr>
        <w:tabs>
          <w:tab w:pos="4535" w:val="center"/>
          <w:tab w:pos="9071" w:val="right"/>
        </w:tabs>
        <w:spacing w:line="240" w:lineRule="auto" w:before="80" w:after="80"/>
      </w:pPr>
      <w:r>
        <w:rPr>
          <w:rFonts w:ascii="Times New Roman" w:hAnsi="Times New Roman" w:eastAsia="宋体"/>
          <w:b w:val="0"/>
          <w:i w:val="0"/>
          <w:sz w:val="24"/>
        </w:rPr>
        <w:tab/>
      </w:r>
      <w:r>
        <w:rPr>
          <w:rFonts w:ascii="Times New Roman" w:hAnsi="Times New Roman" w:eastAsia="宋体"/>
          <w:b w:val="0"/>
          <w:i w:val="0"/>
          <w:sz w:val="24"/>
        </w:rPr>
        <w:t>Score(i,r,s) = α·Cost + β·Carbon + γ·l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i,r</w:t>
      </w:r>
      <w:r>
        <w:rPr>
          <w:rFonts w:ascii="Times New Roman" w:hAnsi="Times New Roman" w:eastAsia="宋体"/>
          <w:b w:val="0"/>
          <w:i w:val="0"/>
          <w:sz w:val="24"/>
        </w:rPr>
        <w:t>·κ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type</w:t>
      </w:r>
      <w:r>
        <w:rPr>
          <w:rFonts w:ascii="Times New Roman" w:hAnsi="Times New Roman" w:eastAsia="宋体"/>
          <w:b w:val="0"/>
          <w:i w:val="0"/>
          <w:sz w:val="24"/>
        </w:rPr>
        <w:t xml:space="preserve"> − δ·RenewableBenefit + μ·Congestion + ν·PeakPressure</w:t>
      </w:r>
      <w:r>
        <w:rPr>
          <w:rFonts w:ascii="Times New Roman" w:hAnsi="Times New Roman" w:eastAsia="宋体"/>
          <w:b w:val="0"/>
          <w:i w:val="0"/>
          <w:sz w:val="24"/>
        </w:rPr>
        <w:tab/>
        <w:t>(4)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其中 Cost 与 Carbon 按边际供应栈的边际成本与边际碳排累加，RenewableBenefit 按边际新能源消纳属性累加，PeakPressure 按电网余量压力累加；κ</w:t>
      </w:r>
      <w:r>
        <w:rPr>
          <w:rFonts w:ascii="Times New Roman" w:hAnsi="Times New Roman" w:eastAsia="宋体"/>
          <w:b/>
          <w:i w:val="0"/>
          <w:sz w:val="24"/>
          <w:vertAlign w:val="subscript"/>
        </w:rPr>
        <w:t>type</w:t>
      </w:r>
      <w:r>
        <w:rPr>
          <w:rFonts w:ascii="Times New Roman" w:hAnsi="Times New Roman" w:eastAsia="宋体"/>
          <w:b w:val="0"/>
          <w:i w:val="0"/>
          <w:sz w:val="24"/>
        </w:rPr>
        <w:t>为任务类型时延乘子（实时推理 3.0、批量推理 1.5、AI 训练 1.0）。下层按区域独立求解储能 MILP，两层交替迭代两次后调度与能源方案相互一致，作为最终协同方案。</w:t>
      </w:r>
    </w:p>
    <w:p>
      <w:pPr>
        <w:pStyle w:val="Heading3"/>
      </w:pPr>
      <w:r>
        <w:t>5.4.2 多目标策略结果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设置 7 组多目标策略，全部策略均实现近全量任务调度（仅低碳优先策略在末端遗留 2 个巨型训练任务，调度率仍达 99.996%），无时延、时限与容量违规，结果如表 8 所示。</w:t>
      </w:r>
    </w:p>
    <w:p>
      <w:pPr>
        <w:spacing w:before="160" w:after="6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8  问题四七种策略关键指标对比（全时域 0–2406）</w:t>
      </w:r>
    </w:p>
    <w:tbl>
      <w:tblPr>
        <w:tblW w:type="dxa" w:w="9072"/>
        <w:jc w:val="center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  <w:tblInd w:w="120" w:type="dxa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100"/>
        <w:gridCol w:w="800"/>
        <w:gridCol w:w="1250"/>
        <w:gridCol w:w="1100"/>
        <w:gridCol w:w="1000"/>
        <w:gridCol w:w="800"/>
        <w:gridCol w:w="1050"/>
        <w:gridCol w:w="972"/>
      </w:tblGrid>
      <w:tr>
        <w:trPr>
          <w:tblHeader/>
        </w:trPr>
        <w:tc>
          <w:tcPr>
            <w:tcW w:type="dxa" w:w="21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策略</w:t>
            </w:r>
          </w:p>
        </w:tc>
        <w:tc>
          <w:tcPr>
            <w:tcW w:type="dxa" w:w="8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未调度</w:t>
            </w:r>
          </w:p>
        </w:tc>
        <w:tc>
          <w:tcPr>
            <w:tcW w:type="dxa" w:w="125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净运行成本</w:t>
              <w:br/>
              <w:t>（万元）</w:t>
            </w:r>
          </w:p>
        </w:tc>
        <w:tc>
          <w:tcPr>
            <w:tcW w:type="dxa" w:w="11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碳排放</w:t>
              <w:br/>
              <w:t>（tCO₂）</w:t>
            </w:r>
          </w:p>
        </w:tc>
        <w:tc>
          <w:tcPr>
            <w:tcW w:type="dxa" w:w="10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平均时延</w:t>
              <w:br/>
              <w:t>（ms）</w:t>
            </w:r>
          </w:p>
        </w:tc>
        <w:tc>
          <w:tcPr>
            <w:tcW w:type="dxa" w:w="8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QoS</w:t>
            </w:r>
          </w:p>
        </w:tc>
        <w:tc>
          <w:tcPr>
            <w:tcW w:type="dxa" w:w="105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新能源</w:t>
              <w:br/>
              <w:t>利用率</w:t>
            </w:r>
          </w:p>
        </w:tc>
        <w:tc>
          <w:tcPr>
            <w:tcW w:type="dxa" w:w="972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峰值净购电</w:t>
              <w:br/>
              <w:t>（MW）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综合权衡 balanced</w:t>
            </w:r>
          </w:p>
        </w:tc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-45 905.6</w:t>
            </w:r>
          </w:p>
        </w:tc>
        <w:tc>
          <w:tcPr>
            <w:tcW w:type="dxa" w:w="11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0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14.46</w:t>
            </w:r>
          </w:p>
        </w:tc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0.971</w:t>
            </w:r>
          </w:p>
        </w:tc>
        <w:tc>
          <w:tcPr>
            <w:tcW w:type="dxa" w:w="10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69.6%</w:t>
            </w:r>
          </w:p>
        </w:tc>
        <w:tc>
          <w:tcPr>
            <w:tcW w:type="dxa" w:w="9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-372.5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成本优先 cost_first</w:t>
            </w:r>
          </w:p>
        </w:tc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-45 908.9</w:t>
            </w:r>
          </w:p>
        </w:tc>
        <w:tc>
          <w:tcPr>
            <w:tcW w:type="dxa" w:w="11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0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12.22</w:t>
            </w:r>
          </w:p>
        </w:tc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0.976</w:t>
            </w:r>
          </w:p>
        </w:tc>
        <w:tc>
          <w:tcPr>
            <w:tcW w:type="dxa" w:w="10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69.6%</w:t>
            </w:r>
          </w:p>
        </w:tc>
        <w:tc>
          <w:tcPr>
            <w:tcW w:type="dxa" w:w="9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低碳优先 carbon_first</w:t>
            </w:r>
          </w:p>
        </w:tc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-45 910.5</w:t>
            </w:r>
          </w:p>
        </w:tc>
        <w:tc>
          <w:tcPr>
            <w:tcW w:type="dxa" w:w="11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0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16.00</w:t>
            </w:r>
          </w:p>
        </w:tc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0.968</w:t>
            </w:r>
          </w:p>
        </w:tc>
        <w:tc>
          <w:tcPr>
            <w:tcW w:type="dxa" w:w="10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69.6%</w:t>
            </w:r>
          </w:p>
        </w:tc>
        <w:tc>
          <w:tcPr>
            <w:tcW w:type="dxa" w:w="9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-25.7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时延优先 latency_first</w:t>
            </w:r>
          </w:p>
        </w:tc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-45 908.6</w:t>
            </w:r>
          </w:p>
        </w:tc>
        <w:tc>
          <w:tcPr>
            <w:tcW w:type="dxa" w:w="11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0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5.33</w:t>
            </w:r>
          </w:p>
        </w:tc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0.989</w:t>
            </w:r>
          </w:p>
        </w:tc>
        <w:tc>
          <w:tcPr>
            <w:tcW w:type="dxa" w:w="10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69.4%</w:t>
            </w:r>
          </w:p>
        </w:tc>
        <w:tc>
          <w:tcPr>
            <w:tcW w:type="dxa" w:w="9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-143.9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新能源优先 renewable_first</w:t>
            </w:r>
          </w:p>
        </w:tc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-45 917.3</w:t>
            </w:r>
          </w:p>
        </w:tc>
        <w:tc>
          <w:tcPr>
            <w:tcW w:type="dxa" w:w="11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0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24.44</w:t>
            </w:r>
          </w:p>
        </w:tc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0.951</w:t>
            </w:r>
          </w:p>
        </w:tc>
        <w:tc>
          <w:tcPr>
            <w:tcW w:type="dxa" w:w="10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69.6%</w:t>
            </w:r>
          </w:p>
        </w:tc>
        <w:tc>
          <w:tcPr>
            <w:tcW w:type="dxa" w:w="9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-180.0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削峰优先 peak_first</w:t>
            </w:r>
          </w:p>
        </w:tc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-45 905.3</w:t>
            </w:r>
          </w:p>
        </w:tc>
        <w:tc>
          <w:tcPr>
            <w:tcW w:type="dxa" w:w="11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0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14.50</w:t>
            </w:r>
          </w:p>
        </w:tc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0.971</w:t>
            </w:r>
          </w:p>
        </w:tc>
        <w:tc>
          <w:tcPr>
            <w:tcW w:type="dxa" w:w="10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69.6%</w:t>
            </w:r>
          </w:p>
        </w:tc>
        <w:tc>
          <w:tcPr>
            <w:tcW w:type="dxa" w:w="9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-378.5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负载均衡 load_balanced</w:t>
            </w:r>
          </w:p>
        </w:tc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-45 910.0</w:t>
            </w:r>
          </w:p>
        </w:tc>
        <w:tc>
          <w:tcPr>
            <w:tcW w:type="dxa" w:w="11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0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18.25</w:t>
            </w:r>
          </w:p>
        </w:tc>
        <w:tc>
          <w:tcPr>
            <w:tcW w:type="dxa" w:w="8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0.964</w:t>
            </w:r>
          </w:p>
        </w:tc>
        <w:tc>
          <w:tcPr>
            <w:tcW w:type="dxa" w:w="105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69.6%</w:t>
            </w:r>
          </w:p>
        </w:tc>
        <w:tc>
          <w:tcPr>
            <w:tcW w:type="dxa" w:w="9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-386.0</w:t>
            </w:r>
          </w:p>
        </w:tc>
      </w:tr>
    </w:tbl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与附件基线相比，七种策略均实现成本由正转负、碳排放降为 0、新能源利用率提升至约 69.6%、峰值净购电由强购电转为弱购电或净外送，形成“零购电、强外送”的低碳经济运行点。多目标权衡关系（图 6）表明：时延优先策略迁移比例仅 1.5%、平均时延 5.33 ms，但新能源利用相对较少；新能源优先策略将 48.2% 的任务迁往西部，利用率最高但时延升至 24.44 ms、QoS 降至 0.951；削峰优先与负载均衡策略的峰值净购电最优（约 -378/-386 MW）。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3471429"/>
            <wp:docPr id="6" name="Picture 6" descr="问题四多目标权衡散点图" title="问题四多目标权衡散点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to_scat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7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i w:val="0"/>
          <w:sz w:val="21"/>
        </w:rPr>
        <w:t>图 6  问题四多目标权衡散点图</w:t>
      </w:r>
    </w:p>
    <w:p>
      <w:pPr>
        <w:pStyle w:val="Heading3"/>
      </w:pPr>
      <w:r>
        <w:t>5.4.3 碳约束场景</w:t>
      </w:r>
    </w:p>
    <w:p>
      <w:pPr>
        <w:spacing w:before="160" w:after="6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9  全局碳约束场景（复用 balanced 调度，仅重解能源层）</w:t>
      </w:r>
    </w:p>
    <w:tbl>
      <w:tblPr>
        <w:tblW w:type="dxa" w:w="9072"/>
        <w:jc w:val="center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  <w:tblInd w:w="120" w:type="dxa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900"/>
        <w:gridCol w:w="1700"/>
        <w:gridCol w:w="2100"/>
        <w:gridCol w:w="1700"/>
        <w:gridCol w:w="1672"/>
      </w:tblGrid>
      <w:tr>
        <w:trPr>
          <w:tblHeader/>
        </w:trPr>
        <w:tc>
          <w:tcPr>
            <w:tcW w:type="dxa" w:w="19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碳上限（tCO₂）</w:t>
            </w:r>
          </w:p>
        </w:tc>
        <w:tc>
          <w:tcPr>
            <w:tcW w:type="dxa" w:w="17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实际碳排（tCO₂）</w:t>
            </w:r>
          </w:p>
        </w:tc>
        <w:tc>
          <w:tcPr>
            <w:tcW w:type="dxa" w:w="21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净运行成本（万元）</w:t>
            </w:r>
          </w:p>
        </w:tc>
        <w:tc>
          <w:tcPr>
            <w:tcW w:type="dxa" w:w="17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新能源利用率</w:t>
            </w:r>
          </w:p>
        </w:tc>
        <w:tc>
          <w:tcPr>
            <w:tcW w:type="dxa" w:w="1672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峰值净购电（MW）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1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-45 905.6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69.6%</w:t>
            </w:r>
          </w:p>
        </w:tc>
        <w:tc>
          <w:tcPr>
            <w:tcW w:type="dxa" w:w="16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-372.5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1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-45 905.6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69.6%</w:t>
            </w:r>
          </w:p>
        </w:tc>
        <w:tc>
          <w:tcPr>
            <w:tcW w:type="dxa" w:w="16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-372.5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1 000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1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-45 904.8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69.6%</w:t>
            </w:r>
          </w:p>
        </w:tc>
        <w:tc>
          <w:tcPr>
            <w:tcW w:type="dxa" w:w="16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-372.5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5 000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1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-45 905.6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69.6%</w:t>
            </w:r>
          </w:p>
        </w:tc>
        <w:tc>
          <w:tcPr>
            <w:tcW w:type="dxa" w:w="16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-372.5</w:t>
            </w:r>
          </w:p>
        </w:tc>
      </w:tr>
    </w:tbl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在附件数据条件下，碳约束均为非紧约束：协同优化后购电归零、碳排放天然为 0，任何不高于 5 000 tCO₂ 的碳预算都不改变能源层最优解。这说明“低碳”是该数据场景下协同优化的自然结果而非约束压力，碳约束机制需在购电无法归零的场景下检验。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1453846"/>
            <wp:docPr id="7" name="Picture 7" descr="碳约束场景曲线" title="碳约束场景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bon_ca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45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i w:val="0"/>
          <w:sz w:val="21"/>
        </w:rPr>
        <w:t>图 7  碳约束场景曲线</w:t>
      </w:r>
    </w:p>
    <w:p>
      <w:pPr>
        <w:pStyle w:val="Heading3"/>
      </w:pPr>
      <w:r>
        <w:t>5.4.4 电价机制场景</w:t>
      </w:r>
    </w:p>
    <w:p>
      <w:pPr>
        <w:spacing w:before="160" w:after="6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10  电价机制场景对比</w:t>
      </w:r>
    </w:p>
    <w:tbl>
      <w:tblPr>
        <w:tblW w:type="dxa" w:w="9072"/>
        <w:jc w:val="center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  <w:tblInd w:w="120" w:type="dxa"/>
        <w:tblCellMar>
          <w:top w:w="40" w:type="dxa"/>
          <w:start w:w="80" w:type="dxa"/>
          <w:bottom w:w="40" w:type="dxa"/>
          <w:end w:w="80" w:type="dxa"/>
        </w:tblCellMar>
      </w:tblPr>
      <w:tblGrid>
        <w:gridCol w:w="2500"/>
        <w:gridCol w:w="2000"/>
        <w:gridCol w:w="1600"/>
        <w:gridCol w:w="1500"/>
        <w:gridCol w:w="1472"/>
      </w:tblGrid>
      <w:tr>
        <w:trPr>
          <w:tblHeader/>
        </w:trPr>
        <w:tc>
          <w:tcPr>
            <w:tcW w:type="dxa" w:w="25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机制</w:t>
            </w:r>
          </w:p>
        </w:tc>
        <w:tc>
          <w:tcPr>
            <w:tcW w:type="dxa" w:w="20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净运行成本（万元）</w:t>
            </w:r>
          </w:p>
        </w:tc>
        <w:tc>
          <w:tcPr>
            <w:tcW w:type="dxa" w:w="16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碳排放（tCO₂）</w:t>
            </w:r>
          </w:p>
        </w:tc>
        <w:tc>
          <w:tcPr>
            <w:tcW w:type="dxa" w:w="15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新能源利用率</w:t>
            </w:r>
          </w:p>
        </w:tc>
        <w:tc>
          <w:tcPr>
            <w:tcW w:type="dxa" w:w="1472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峰值净购电（MW）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实时电价（基准）</w:t>
            </w:r>
          </w:p>
        </w:tc>
        <w:tc>
          <w:tcPr>
            <w:tcW w:type="dxa" w:w="20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-45 905.6</w:t>
            </w:r>
          </w:p>
        </w:tc>
        <w:tc>
          <w:tcPr>
            <w:tcW w:type="dxa" w:w="16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69.6%</w:t>
            </w:r>
          </w:p>
        </w:tc>
        <w:tc>
          <w:tcPr>
            <w:tcW w:type="dxa" w:w="14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-372.5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分时电价 TOU</w:t>
            </w:r>
          </w:p>
        </w:tc>
        <w:tc>
          <w:tcPr>
            <w:tcW w:type="dxa" w:w="20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-45 906.9</w:t>
            </w:r>
          </w:p>
        </w:tc>
        <w:tc>
          <w:tcPr>
            <w:tcW w:type="dxa" w:w="16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69.6%</w:t>
            </w:r>
          </w:p>
        </w:tc>
        <w:tc>
          <w:tcPr>
            <w:tcW w:type="dxa" w:w="14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-388.5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固定电价</w:t>
            </w:r>
          </w:p>
        </w:tc>
        <w:tc>
          <w:tcPr>
            <w:tcW w:type="dxa" w:w="20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-45 906.0</w:t>
            </w:r>
          </w:p>
        </w:tc>
        <w:tc>
          <w:tcPr>
            <w:tcW w:type="dxa" w:w="16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13.7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69.6%</w:t>
            </w:r>
          </w:p>
        </w:tc>
        <w:tc>
          <w:tcPr>
            <w:tcW w:type="dxa" w:w="14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-386.9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实时电价＋碳价 200 元/tCO₂</w:t>
            </w:r>
          </w:p>
        </w:tc>
        <w:tc>
          <w:tcPr>
            <w:tcW w:type="dxa" w:w="20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-45 903.9</w:t>
            </w:r>
          </w:p>
        </w:tc>
        <w:tc>
          <w:tcPr>
            <w:tcW w:type="dxa" w:w="16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69.6%</w:t>
            </w:r>
          </w:p>
        </w:tc>
        <w:tc>
          <w:tcPr>
            <w:tcW w:type="dxa" w:w="14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-365.6</w:t>
            </w:r>
          </w:p>
        </w:tc>
      </w:tr>
    </w:tbl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价格信号对调度行为影响有限（成本差异小于 3 万元）；固定电价消除了峰谷价差，储能套利动机减弱，个别时段出现少量购电（碳排 13.7 tCO₂，占基线碳排的 0.0007%），说明电价结构是储能经济性与零购电运行点的支撑条件之一。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1350000"/>
            <wp:docPr id="8" name="Picture 8" descr="电价机制场景对比" title="电价机制场景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ce_mechanism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i w:val="0"/>
          <w:sz w:val="21"/>
        </w:rPr>
        <w:t>图 8  电价机制场景对比</w:t>
      </w:r>
    </w:p>
    <w:p>
      <w:pPr>
        <w:pStyle w:val="Heading3"/>
      </w:pPr>
      <w:r>
        <w:t>5.4.5 新能源波动场景</w:t>
      </w:r>
    </w:p>
    <w:p>
      <w:pPr>
        <w:spacing w:before="160" w:after="60"/>
        <w:jc w:val="center"/>
      </w:pPr>
      <w:r>
        <w:rPr>
          <w:rFonts w:ascii="Times New Roman" w:hAnsi="Times New Roman" w:eastAsia="黑体"/>
          <w:b/>
          <w:i w:val="0"/>
          <w:sz w:val="21"/>
        </w:rPr>
        <w:t>表 11  新能源波动场景对比（可用出力缩放）</w:t>
      </w:r>
    </w:p>
    <w:tbl>
      <w:tblPr>
        <w:tblW w:type="dxa" w:w="9072"/>
        <w:jc w:val="center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firstColumn="1" w:firstRow="1" w:lastColumn="0" w:lastRow="0" w:noHBand="0" w:noVBand="1" w:val="04A0"/>
        <w:tblInd w:w="120" w:type="dxa"/>
        <w:tblCellMar>
          <w:top w:w="40" w:type="dxa"/>
          <w:start w:w="80" w:type="dxa"/>
          <w:bottom w:w="40" w:type="dxa"/>
          <w:end w:w="80" w:type="dxa"/>
        </w:tblCellMar>
      </w:tblPr>
      <w:tblGrid>
        <w:gridCol w:w="1600"/>
        <w:gridCol w:w="900"/>
        <w:gridCol w:w="1500"/>
        <w:gridCol w:w="1300"/>
        <w:gridCol w:w="1200"/>
        <w:gridCol w:w="1300"/>
        <w:gridCol w:w="1272"/>
      </w:tblGrid>
      <w:tr>
        <w:trPr>
          <w:tblHeader/>
        </w:trPr>
        <w:tc>
          <w:tcPr>
            <w:tcW w:type="dxa" w:w="16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场景</w:t>
            </w:r>
          </w:p>
        </w:tc>
        <w:tc>
          <w:tcPr>
            <w:tcW w:type="dxa" w:w="9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未调度</w:t>
            </w:r>
          </w:p>
        </w:tc>
        <w:tc>
          <w:tcPr>
            <w:tcW w:type="dxa" w:w="15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净运行成本（万元）</w:t>
            </w:r>
          </w:p>
        </w:tc>
        <w:tc>
          <w:tcPr>
            <w:tcW w:type="dxa" w:w="13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碳排放（tCO₂）</w:t>
            </w:r>
          </w:p>
        </w:tc>
        <w:tc>
          <w:tcPr>
            <w:tcW w:type="dxa" w:w="12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平均时延（ms）</w:t>
            </w:r>
          </w:p>
        </w:tc>
        <w:tc>
          <w:tcPr>
            <w:tcW w:type="dxa" w:w="1300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新能源利用率</w:t>
            </w:r>
          </w:p>
        </w:tc>
        <w:tc>
          <w:tcPr>
            <w:tcW w:type="dxa" w:w="1272"/>
            <w:vAlign w:val="center"/>
            <w:tcBorders>
              <w:bottom w:val="single" w:sz="6" w:space="0" w:color="000000"/>
            </w:tcBorders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峰值净购电（MW）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可用出力 ×0.8</w:t>
            </w:r>
          </w:p>
        </w:tc>
        <w:tc>
          <w:tcPr>
            <w:tcW w:type="dxa" w:w="9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-43 090.7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1 696.1</w:t>
            </w:r>
          </w:p>
        </w:tc>
        <w:tc>
          <w:tcPr>
            <w:tcW w:type="dxa" w:w="12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18.63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85.7%</w:t>
            </w:r>
          </w:p>
        </w:tc>
        <w:tc>
          <w:tcPr>
            <w:tcW w:type="dxa" w:w="12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+325.2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基准 ×1.0</w:t>
            </w:r>
          </w:p>
        </w:tc>
        <w:tc>
          <w:tcPr>
            <w:tcW w:type="dxa" w:w="9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-45 905.6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14.46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69.6%</w:t>
            </w:r>
          </w:p>
        </w:tc>
        <w:tc>
          <w:tcPr>
            <w:tcW w:type="dxa" w:w="12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-372.5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可用出力 ×1.2</w:t>
            </w:r>
          </w:p>
        </w:tc>
        <w:tc>
          <w:tcPr>
            <w:tcW w:type="dxa" w:w="9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5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-45 934.1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2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14.20</w:t>
            </w:r>
          </w:p>
        </w:tc>
        <w:tc>
          <w:tcPr>
            <w:tcW w:type="dxa" w:w="130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58.0%</w:t>
            </w:r>
          </w:p>
        </w:tc>
        <w:tc>
          <w:tcPr>
            <w:tcW w:type="dxa" w:w="127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-620.0</w:t>
            </w:r>
          </w:p>
        </w:tc>
      </w:tr>
    </w:tbl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新能源减少 20% 是唯一使系统失去零购电运行点的场景：成本升至 -4.31 亿元、碳排放升至 1 696 tCO₂、峰值净购电转为 +325 MW 的正向购电峰值，调度侧更多向西部迁移（迁移比例升至 41.3%），末端 4 个巨型训练任务因资源紧张未获调度；新能源增加 20% 进一步压低成本与峰值（-620 MW），但利用率口径下降（可用总量增大、外送受上限约束），说明新能源增容需与外送、储能扩容共同评估。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1350000"/>
            <wp:docPr id="9" name="Picture 9" descr="新能源波动场景对比" title="新能源波动场景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ewable_scenari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i w:val="0"/>
          <w:sz w:val="21"/>
        </w:rPr>
        <w:t>图 9  新能源波动场景对比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2059200"/>
            <wp:docPr id="10" name="Picture 10" descr="基线vs协同优化净购电曲线" title="基线vs协同优化净购电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_import_curv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5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i w:val="0"/>
          <w:sz w:val="21"/>
        </w:rPr>
        <w:t>图 10  基线 vs 协同优化净购电曲线</w:t>
      </w:r>
    </w:p>
    <w:p>
      <w:pPr>
        <w:pStyle w:val="Heading1"/>
      </w:pPr>
      <w:r>
        <w:t>六、模型检验</w:t>
      </w:r>
    </w:p>
    <w:p>
      <w:pPr>
        <w:spacing w:after="40" w:line="24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问题一预测检验：</w:t>
      </w:r>
      <w:r>
        <w:rPr>
          <w:rFonts w:ascii="Times New Roman" w:hAnsi="Times New Roman" w:eastAsia="宋体"/>
          <w:b w:val="0"/>
          <w:i w:val="0"/>
          <w:sz w:val="24"/>
        </w:rPr>
        <w:t>三种模型在 10% 测试集上对比，梯度提升树 MAPE 9.51% 最优，90% 预测区间覆盖率 85.8%；建议按赛题建议窗口（2376–2399）进一步复核。</w:t>
      </w:r>
    </w:p>
    <w:p>
      <w:pPr>
        <w:spacing w:after="40" w:line="24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问题二约束校验：</w:t>
      </w:r>
      <w:r>
        <w:rPr>
          <w:rFonts w:ascii="Times New Roman" w:hAnsi="Times New Roman" w:eastAsia="宋体"/>
          <w:b w:val="0"/>
          <w:i w:val="0"/>
          <w:sz w:val="24"/>
        </w:rPr>
        <w:t>对全部策略逐项校验开工/完工时刻、网络时延、GPU/IT/设施功率与任务唯一性，违规数均为 0；权重敏感性通过 8 组策略覆盖不同偏好区间。</w:t>
      </w:r>
    </w:p>
    <w:p>
      <w:pPr>
        <w:spacing w:after="40" w:line="24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问题三约束校验：</w:t>
      </w:r>
      <w:r>
        <w:rPr>
          <w:rFonts w:ascii="Times New Roman" w:hAnsi="Times New Roman" w:eastAsia="宋体"/>
          <w:b w:val="0"/>
          <w:i w:val="0"/>
          <w:sz w:val="24"/>
        </w:rPr>
        <w:t>功率平衡、SOC 递推、充放互斥、购售电边界与终态 SOC 逐项核验，优化场景全部通过；附件基线自身存在终态 SOC 低于初始值等不一致，已在对比口径中说明。</w:t>
      </w:r>
    </w:p>
    <w:p>
      <w:pPr>
        <w:spacing w:after="40" w:line="24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/>
          <w:i w:val="0"/>
          <w:sz w:val="24"/>
        </w:rPr>
        <w:t>问题四约束与一致性校验：</w:t>
      </w:r>
      <w:r>
        <w:rPr>
          <w:rFonts w:ascii="Times New Roman" w:hAnsi="Times New Roman" w:eastAsia="宋体"/>
          <w:b w:val="0"/>
          <w:i w:val="0"/>
          <w:sz w:val="24"/>
        </w:rPr>
        <w:t>16 个场景调度层（时延、完工、容量）与电力层（功率平衡、SOC、互斥、边界）全部校验通过；上层调度生成的 AI 负荷与下层能源输入逐时一致，边际供应栈与最终能源方案自洽；未调度任务仅出现在碳优先（2 个）与新能源 ×0.8（4 个）两个场景的末端紧容量时段，调度率不低于 99.992%。</w:t>
      </w:r>
    </w:p>
    <w:p>
      <w:pPr>
        <w:pStyle w:val="Heading1"/>
      </w:pPr>
      <w:r>
        <w:t>七、模型评价</w:t>
      </w:r>
    </w:p>
    <w:p>
      <w:pPr>
        <w:pStyle w:val="Heading2"/>
      </w:pPr>
      <w:r>
        <w:t>7.1 模型优点</w:t>
      </w:r>
    </w:p>
    <w:p>
      <w:pPr>
        <w:spacing w:after="40" w:line="24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建模口径与附件 1 严格一致（负荷折算、功率映射、SOC 递推、碳排与新能源利用率公式逐项对齐），结果可复现；</w:t>
      </w:r>
    </w:p>
    <w:p>
      <w:pPr>
        <w:spacing w:after="40" w:line="24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问题二采用滚动窗口与加权评分保证大规模调度的求解效率，并以多策略 Pareto 分析系统刻画多目标权衡；</w:t>
      </w:r>
    </w:p>
    <w:p>
      <w:pPr>
        <w:spacing w:after="40" w:line="24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问题三采用精确 MILP 求解（HiGHS），可在给定条件下得到全局最优解，并通过 0-1 互斥变量避免同时充放电；</w:t>
      </w:r>
    </w:p>
    <w:p>
      <w:pPr>
        <w:spacing w:after="40" w:line="24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问题四通过边际供应栈实现算—储—电三层联动，覆盖策略、碳约束、电价机制与新能源波动四类场景，能够回答问题四的全部比较要求；</w:t>
      </w:r>
    </w:p>
    <w:p>
      <w:pPr>
        <w:spacing w:after="40" w:line="24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附带储能容量与效率敏感性分析，结论稳健；</w:t>
      </w:r>
    </w:p>
    <w:p>
      <w:pPr>
        <w:pStyle w:val="Heading2"/>
      </w:pPr>
      <w:r>
        <w:t>7.2 模型不足与改进方向</w:t>
      </w:r>
    </w:p>
    <w:p>
      <w:pPr>
        <w:spacing w:after="40" w:line="24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问题二采用启发式贪心求解，理论最优性无法保证，可引入分支定界或列生成等精确算法验证；</w:t>
      </w:r>
    </w:p>
    <w:p>
      <w:pPr>
        <w:spacing w:after="40" w:line="24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未考虑储能寿命衰减、循环次数成本与功率爬坡限制，可扩展为含循环寿命惩罚的非线性模型；</w:t>
      </w:r>
    </w:p>
    <w:p>
      <w:pPr>
        <w:spacing w:after="40" w:line="24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负荷与新能源出力均为确定性输入，可结合问题一的预测模型开展随机或滚动鲁棒优化；</w:t>
      </w:r>
    </w:p>
    <w:p>
      <w:pPr>
        <w:spacing w:after="40" w:line="24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问题四双层迭代仅 2 轮，理论收敛性可进一步论证；任务迁移未计传输能耗与费用（题目说明豁免），若放开需引入带宽与迁移成本；</w:t>
      </w:r>
    </w:p>
    <w:p>
      <w:pPr>
        <w:spacing w:after="40" w:line="240" w:lineRule="auto"/>
        <w:ind w:left="480"/>
      </w:pPr>
      <w:r>
        <w:rPr>
          <w:rFonts w:ascii="Times New Roman" w:hAnsi="Times New Roman" w:eastAsia="宋体"/>
          <w:b w:val="0"/>
          <w:i w:val="0"/>
          <w:sz w:val="24"/>
        </w:rPr>
        <w:t xml:space="preserve">• </w:t>
      </w:r>
      <w:r>
        <w:rPr>
          <w:rFonts w:ascii="Times New Roman" w:hAnsi="Times New Roman" w:eastAsia="宋体"/>
          <w:b w:val="0"/>
          <w:i w:val="0"/>
          <w:sz w:val="24"/>
        </w:rPr>
        <w:t>问题四碳约束场景复用同一调度方案，碳预算对调度行为的反馈可在未来研究中进一步放开。</w:t>
      </w:r>
    </w:p>
    <w:p>
      <w:pPr>
        <w:pStyle w:val="Heading1"/>
      </w:pPr>
      <w:r>
        <w:t>参考文献</w:t>
      </w:r>
    </w:p>
    <w:p>
      <w:pPr>
        <w:spacing w:after="40" w:line="240" w:lineRule="auto"/>
      </w:pPr>
      <w:r>
        <w:rPr>
          <w:rFonts w:ascii="Times New Roman" w:hAnsi="Times New Roman" w:eastAsia="宋体"/>
          <w:b w:val="0"/>
          <w:i w:val="0"/>
          <w:sz w:val="21"/>
        </w:rPr>
        <w:t>[1] 2026 年华数杯大学生数学建模竞赛组委会. 附件 1：背景说明、术语解释与数据字典[Z]. 2026.</w:t>
      </w:r>
    </w:p>
    <w:p>
      <w:pPr>
        <w:spacing w:after="40" w:line="240" w:lineRule="auto"/>
      </w:pPr>
      <w:r>
        <w:rPr>
          <w:rFonts w:ascii="Times New Roman" w:hAnsi="Times New Roman" w:eastAsia="宋体"/>
          <w:b w:val="0"/>
          <w:i w:val="0"/>
          <w:sz w:val="21"/>
        </w:rPr>
        <w:t>[2] 2026 年华数杯大学生数学建模竞赛组委会. 2026 年华数杯数学建模竞赛论文格式规范与提交说明[Z]. 2026.</w:t>
      </w:r>
    </w:p>
    <w:p>
      <w:pPr>
        <w:spacing w:after="40" w:line="240" w:lineRule="auto"/>
      </w:pPr>
      <w:r>
        <w:rPr>
          <w:rFonts w:ascii="Times New Roman" w:hAnsi="Times New Roman" w:eastAsia="宋体"/>
          <w:b w:val="0"/>
          <w:i w:val="0"/>
          <w:sz w:val="21"/>
        </w:rPr>
        <w:t>[3] Deb K, Pratap A, Agarwal S, et al. A fast and elitist multiobjective genetic algorithm: NSGA-II[J]. IEEE Transactions on Evolutionary Computation, 2002, 6(2): 182-197.</w:t>
      </w:r>
    </w:p>
    <w:p>
      <w:pPr>
        <w:spacing w:after="40" w:line="240" w:lineRule="auto"/>
      </w:pPr>
      <w:r>
        <w:rPr>
          <w:rFonts w:ascii="Times New Roman" w:hAnsi="Times New Roman" w:eastAsia="宋体"/>
          <w:b w:val="0"/>
          <w:i w:val="0"/>
          <w:sz w:val="21"/>
        </w:rPr>
        <w:t>[4] Friedman J H. Greedy function approximation: a gradient boosting machine[J]. Annals of Statistics, 2001, 29(5): 1189-1232.</w:t>
      </w:r>
    </w:p>
    <w:p>
      <w:pPr>
        <w:spacing w:after="40" w:line="240" w:lineRule="auto"/>
      </w:pPr>
      <w:r>
        <w:rPr>
          <w:rFonts w:ascii="Times New Roman" w:hAnsi="Times New Roman" w:eastAsia="宋体"/>
          <w:b w:val="0"/>
          <w:i w:val="0"/>
          <w:sz w:val="21"/>
        </w:rPr>
        <w:t>[5] 【待补】储能优化、电力系统调度、绿色数据中心等相关中英文文献（按正文引用顺序编号，书籍需注明页码）。</w:t>
      </w:r>
    </w:p>
    <w:p>
      <w:pPr>
        <w:pStyle w:val="Heading1"/>
      </w:pPr>
      <w:r>
        <w:t>附录</w:t>
      </w:r>
    </w:p>
    <w:p>
      <w:pPr>
        <w:pStyle w:val="Heading2"/>
      </w:pPr>
      <w:r>
        <w:t>附录 A   AI 工具使用声明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本参赛队在竞赛过程中使用了 AI 工具，主要用于语言润色、写作辅助与代码调试，详细使用情况见附录 B。</w:t>
      </w:r>
    </w:p>
    <w:p>
      <w:pPr>
        <w:spacing w:after="0" w:line="240" w:lineRule="auto"/>
      </w:pPr>
      <w:r>
        <w:rPr>
          <w:rFonts w:ascii="Times New Roman" w:hAnsi="Times New Roman" w:eastAsia="宋体"/>
          <w:b w:val="0"/>
          <w:i w:val="0"/>
          <w:sz w:val="24"/>
        </w:rPr>
        <w:t>参考文献中对应列出所用 AI 工具：【待补】工具名称，版本/型号，开发机构/公司，使用日期。</w:t>
      </w:r>
    </w:p>
    <w:p>
      <w:pPr>
        <w:pStyle w:val="Heading2"/>
      </w:pPr>
      <w:r>
        <w:t>附录 B   AI 工具使用详情（模板）</w:t>
      </w:r>
    </w:p>
    <w:p>
      <w:pPr>
        <w:spacing w:after="0" w:line="240" w:lineRule="auto"/>
      </w:pPr>
      <w:r>
        <w:rPr>
          <w:rFonts w:ascii="Times New Roman" w:hAnsi="Times New Roman" w:eastAsia="宋体"/>
          <w:b w:val="0"/>
          <w:i w:val="0"/>
          <w:sz w:val="24"/>
        </w:rPr>
        <w:t>一、所用 AI 工具名称和版本：【待填】</w:t>
      </w:r>
    </w:p>
    <w:p>
      <w:pPr>
        <w:spacing w:after="0" w:line="240" w:lineRule="auto"/>
      </w:pPr>
      <w:r>
        <w:rPr>
          <w:rFonts w:ascii="Times New Roman" w:hAnsi="Times New Roman" w:eastAsia="宋体"/>
          <w:b w:val="0"/>
          <w:i w:val="0"/>
          <w:sz w:val="24"/>
        </w:rPr>
        <w:t>二、具体使用目的和环节：语言润色（摘要与正文）、写作辅助（章节组织）、代码调试（调度与优化程序）。</w:t>
      </w:r>
    </w:p>
    <w:p>
      <w:pPr>
        <w:spacing w:after="0" w:line="240" w:lineRule="auto"/>
      </w:pPr>
      <w:r>
        <w:rPr>
          <w:rFonts w:ascii="Times New Roman" w:hAnsi="Times New Roman" w:eastAsia="宋体"/>
          <w:b w:val="0"/>
          <w:i w:val="0"/>
          <w:sz w:val="24"/>
        </w:rPr>
        <w:t>三、关键交互记录：重要提示词与 AI 回复要点【待补：保留对话记录后整理】。</w:t>
      </w:r>
    </w:p>
    <w:p>
      <w:pPr>
        <w:spacing w:after="0" w:line="240" w:lineRule="auto"/>
      </w:pPr>
      <w:r>
        <w:rPr>
          <w:rFonts w:ascii="Times New Roman" w:hAnsi="Times New Roman" w:eastAsia="宋体"/>
          <w:b w:val="0"/>
          <w:i w:val="0"/>
          <w:sz w:val="24"/>
        </w:rPr>
        <w:t>四、采纳和人工修改情况：AI 输出经人工核对、修改与重写后纳入论文，核心建模与结果分析由参赛队独立完成。</w:t>
      </w:r>
    </w:p>
    <w:p>
      <w:pPr>
        <w:pStyle w:val="Heading2"/>
      </w:pPr>
      <w:r>
        <w:t>附录 C   程序与数据说明</w:t>
      </w:r>
    </w:p>
    <w:p>
      <w:pPr>
        <w:spacing w:after="0" w:line="240" w:lineRule="auto"/>
        <w:ind w:firstLine="480"/>
      </w:pPr>
      <w:r>
        <w:rPr>
          <w:rFonts w:ascii="Times New Roman" w:hAnsi="Times New Roman" w:eastAsia="宋体"/>
          <w:b w:val="0"/>
          <w:i w:val="0"/>
          <w:sz w:val="24"/>
        </w:rPr>
        <w:t>全部源程序与输出文件见支撑材料（选题+参赛编号+附件.rar）。程序包括：问题一预测与调度（q1_optimized_model.py）、问题二多策略滚动调度（run_pareto.py 等）、问题三储能 MILP（run_all.py 等）。运行环境：Python 3.10+，依赖 pandas、numpy、scipy、scikit-learn、matplotlib。【待补：完整代码清单与运行说明】</w:t>
      </w:r>
    </w:p>
    <w:sectPr w:rsidR="00FC693F" w:rsidRPr="0006063C" w:rsidSect="00034616">
      <w:footerReference w:type="default" r:id="rId19"/>
      <w:pgSz w:w="11906" w:h="16838"/>
      <w:pgMar w:top="1417" w:right="1417" w:bottom="1417" w:left="141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