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val="0"/>
          <w:i w:val="0"/>
          <w:sz w:val="30"/>
        </w:rPr>
        <w:t>面向算电协同的多区域算力调度与储能协同优化</w:t>
      </w:r>
    </w:p>
    <w:p>
      <w:pPr>
        <w:spacing w:after="80"/>
        <w:jc w:val="center"/>
      </w:pPr>
      <w:r>
        <w:rPr>
          <w:rFonts w:ascii="Times New Roman" w:hAnsi="Times New Roman" w:eastAsia="黑体"/>
          <w:b w:val="0"/>
          <w:i w:val="0"/>
          <w:sz w:val="28"/>
        </w:rPr>
        <w:t>摘  要</w:t>
      </w:r>
    </w:p>
    <w:p>
      <w:pPr>
        <w:spacing w:after="0" w:line="240" w:lineRule="auto"/>
        <w:ind w:firstLine="480"/>
      </w:pPr>
      <w:r>
        <w:rPr>
          <w:rFonts w:ascii="Times New Roman" w:hAnsi="Times New Roman" w:eastAsia="宋体"/>
          <w:b w:val="0"/>
          <w:i w:val="0"/>
          <w:sz w:val="24"/>
        </w:rPr>
        <w:t>随着人工智能算力规模持续扩张，数据中心用电成本与碳排放日益成为运营的核心约束，“算电协同”要求算力负荷与电力系统实时耦合、跨区域联合优化。本文针对六区域、三类 AI 任务构成的算—储—电协同场景，建立了“统计预测—碳感知调度—储能协同—全局优化”的递进式模型体系，实现了 50 000 个任务从算力需求预测到多目标调度决策的全链条求解。</w:t>
      </w:r>
    </w:p>
    <w:p>
      <w:pPr>
        <w:spacing w:after="0" w:line="240" w:lineRule="auto"/>
        <w:ind w:firstLine="480"/>
      </w:pPr>
      <w:r>
        <w:rPr>
          <w:rFonts w:ascii="Times New Roman" w:hAnsi="Times New Roman" w:eastAsia="宋体"/>
          <w:b w:val="0"/>
          <w:i w:val="0"/>
          <w:sz w:val="24"/>
        </w:rPr>
        <w:t>针对问题一，对逐小时 GPU 需求进行统计分析，序列均值方差比约为 1.032、一阶自相关接近于 0，近似独立同分布；构建常数均值、AR(2) 与梯度提升树三种预测模型，梯度提升树 MAPE 为 9.51%、90% 预测区间覆盖率为 85.8%。建立基础算力调度模型，最后 24 小时 538 个任务全部按时完成，迁移率 2.8%、零延后，IT 功率峰值约为容量 28%。</w:t>
      </w:r>
    </w:p>
    <w:p>
      <w:pPr>
        <w:spacing w:after="0" w:line="240" w:lineRule="auto"/>
        <w:ind w:firstLine="480"/>
      </w:pPr>
      <w:r>
        <w:rPr>
          <w:rFonts w:ascii="Times New Roman" w:hAnsi="Times New Roman" w:eastAsia="宋体"/>
          <w:b w:val="0"/>
          <w:i w:val="0"/>
          <w:sz w:val="24"/>
        </w:rPr>
        <w:t>针对问题二，以任务迁移目标区域与开工时段为决策变量，建立基于加权综合评分的碳感知滚动窗口调度模型（WCRS），以 8 组权重策略生成候选方案并经 Pareto 非支配筛选。50 000 个任务全部完成调度、约束违规数为 0；与基线相比，新能源利用率由 32.8% 提升至 68.8%，弃电降低 53.6%，系统峰值净购电由 1 907.6 MW 降至 171.2 MW，碳排放由 2 045 367 tCO₂ 降至 160.7 tCO₂。</w:t>
      </w:r>
    </w:p>
    <w:p>
      <w:pPr>
        <w:spacing w:after="0" w:line="240" w:lineRule="auto"/>
        <w:ind w:firstLine="480"/>
      </w:pPr>
      <w:r>
        <w:rPr>
          <w:rFonts w:ascii="Times New Roman" w:hAnsi="Times New Roman" w:eastAsia="宋体"/>
          <w:b w:val="0"/>
          <w:i w:val="0"/>
          <w:sz w:val="24"/>
        </w:rPr>
        <w:t>针对问题三，在给定负荷下建立六区域独立求解的储能协同优化 MILP 模型：与无储能优化相比，储能使运行成本进一步下降 9.4%，系统峰值净购电降至 -568.4 MW，净购电波动 MAD 降至 0.5 MW；容量敏感性表明附件储能容量已接近饱和，效率敏感性表明充放电效率显著影响波动平抑能力。</w:t>
      </w:r>
    </w:p>
    <w:p>
      <w:pPr>
        <w:spacing w:after="0" w:line="240" w:lineRule="auto"/>
        <w:ind w:firstLine="480"/>
      </w:pPr>
      <w:r>
        <w:rPr>
          <w:rFonts w:ascii="Times New Roman" w:hAnsi="Times New Roman" w:eastAsia="宋体"/>
          <w:b w:val="0"/>
          <w:i w:val="0"/>
          <w:sz w:val="24"/>
        </w:rPr>
        <w:t>针对问题四，构建“任务调度层＋能源—储能层＋边际供应栈反馈”的双层协同优化框架并覆盖 16 个场景：七种策略调度率不低于 99.992%，成本由 +18.0 亿元转为 -4.59 亿元、碳排放降为 0、新能源利用率提升至约 69.6%；碳约束均为非紧约束，固定电价机制引入少量购电，新能源出力减少 20% 是唯一失稳场景。本文模型为算电协同场景下的调度决策提供了系统的建模与求解框架。</w:t>
      </w:r>
    </w:p>
    <w:p>
      <w:pPr>
        <w:spacing w:after="80"/>
      </w:pPr>
      <w:r>
        <w:rPr>
          <w:rFonts w:ascii="Times New Roman" w:hAnsi="Times New Roman" w:eastAsia="黑体"/>
          <w:b/>
          <w:i w:val="0"/>
          <w:sz w:val="24"/>
        </w:rPr>
        <w:t>关键词：</w:t>
      </w:r>
      <w:r>
        <w:rPr>
          <w:rFonts w:ascii="Times New Roman" w:hAnsi="Times New Roman" w:eastAsia="宋体"/>
          <w:b w:val="0"/>
          <w:i w:val="0"/>
          <w:sz w:val="24"/>
        </w:rPr>
        <w:t>算电协同；多目标优化；滚动时域调度；Pareto 前沿；储能协同；双层协同优化</w:t>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黑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 GPU 需求总量呈现出明显的日内波动与随机扰动并存的特征：均值方差比接近 1、一阶自相关接近于 0，说明序列近乎独立同分布，没有强周期记忆；但逐时总量仍在数百等效 GPU 至数千等效 GPU 之间波动，客观上要求调度模型具备一定的前瞻能力，以避免末端时段容量饱和导致任务无法安排。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16 个对比场景，分析策略对参数变化的敏感性。</w:t>
      </w:r>
    </w:p>
    <w:p>
      <w:pPr>
        <w:pStyle w:val="Heading2"/>
      </w:pPr>
      <w:r>
        <w:t>2.7 求解思路与主要创新</w:t>
      </w:r>
    </w:p>
    <w:p>
      <w:pPr>
        <w:spacing w:after="0" w:line="240" w:lineRule="auto"/>
        <w:ind w:firstLine="480"/>
      </w:pPr>
      <w:r>
        <w:rPr>
          <w:rFonts w:ascii="Times New Roman" w:hAnsi="Times New Roman" w:eastAsia="宋体"/>
          <w:b w:val="0"/>
          <w:i w:val="0"/>
          <w:sz w:val="24"/>
        </w:rPr>
        <w:t>综合四问的分析，本文求解思路可概括为“自下而上建模、自上而下协同”：先以数据驱动方法解决算力需求统计与预测，再建立基础调度与碳感知多目标调度模型，随后在给定负荷下精确刻画储能协同，最终通过双层迭代实现算、储、电的全局协同。主要创新体现在三个方面：其一，采用滚动时域与加权评分相结合的方式求解 50 000 级任务的大规模调度问题，兼顾可解性与最优性；其二，以边际供应栈作为任务调度层与能源—储能层之间的耦合信号，将储能的时空调配能力显式注入调度决策；其三，构建覆盖多目标策略、碳约束、电价机制与新能源波动的系统场景矩阵，全面回答问题四的比较要求，并揭示“零购电、强外送”低碳运行点的形成机理。</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黑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2400"/>
        <w:gridCol w:w="2200"/>
        <w:gridCol w:w="227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r>
      <w:tr>
        <w:tc>
          <w:tcPr>
            <w:tcW w:type="dxa" w:w="2200"/>
            <w:vAlign w:val="center"/>
          </w:tcPr>
          <w:p>
            <w:pPr>
              <w:spacing w:before="20" w:after="20" w:line="240" w:lineRule="auto"/>
              <w:jc w:val="left"/>
            </w:pPr>
            <w:r>
              <w:rPr>
                <w:rFonts w:ascii="Times New Roman" w:hAnsi="Times New Roman" w:eastAsia="宋体"/>
                <w:b w:val="0"/>
                <w:i w:val="0"/>
                <w:sz w:val="18"/>
              </w:rPr>
              <w:t>r / t</w:t>
            </w:r>
          </w:p>
        </w:tc>
        <w:tc>
          <w:tcPr>
            <w:tcW w:type="dxa" w:w="2400"/>
            <w:vAlign w:val="center"/>
          </w:tcPr>
          <w:p>
            <w:pPr>
              <w:spacing w:before="20" w:after="20" w:line="240" w:lineRule="auto"/>
              <w:jc w:val="center"/>
            </w:pPr>
            <w:r>
              <w:rPr>
                <w:rFonts w:ascii="Times New Roman" w:hAnsi="Times New Roman" w:eastAsia="宋体"/>
                <w:b w:val="0"/>
                <w:i w:val="0"/>
                <w:sz w:val="18"/>
              </w:rPr>
              <w:t>区域 / 时段索引</w:t>
            </w:r>
          </w:p>
        </w:tc>
        <w:tc>
          <w:tcPr>
            <w:tcW w:type="dxa" w:w="2200"/>
            <w:vAlign w:val="center"/>
          </w:tcPr>
          <w:p>
            <w:pPr>
              <w:spacing w:before="20" w:after="20" w:line="240" w:lineRule="auto"/>
              <w:jc w:val="center"/>
            </w:pPr>
            <w:r>
              <w:rPr>
                <w:rFonts w:ascii="Times New Roman" w:hAnsi="Times New Roman" w:eastAsia="宋体"/>
                <w:b w:val="0"/>
                <w:i w:val="0"/>
                <w:sz w:val="18"/>
              </w:rPr>
              <w:t>i</w:t>
            </w:r>
          </w:p>
        </w:tc>
        <w:tc>
          <w:tcPr>
            <w:tcW w:type="dxa" w:w="2272"/>
            <w:vAlign w:val="center"/>
          </w:tcPr>
          <w:p>
            <w:pPr>
              <w:spacing w:before="20" w:after="20" w:line="240" w:lineRule="auto"/>
              <w:jc w:val="center"/>
            </w:pPr>
            <w:r>
              <w:rPr>
                <w:rFonts w:ascii="Times New Roman" w:hAnsi="Times New Roman" w:eastAsia="宋体"/>
                <w:b w:val="0"/>
                <w:i w:val="0"/>
                <w:sz w:val="18"/>
              </w:rPr>
              <w:t>任务索引</w:t>
            </w:r>
          </w:p>
        </w:tc>
      </w:tr>
      <w:tr>
        <w:tc>
          <w:tcPr>
            <w:tcW w:type="dxa" w:w="2200"/>
            <w:vAlign w:val="center"/>
          </w:tcPr>
          <w:p>
            <w:pPr>
              <w:spacing w:before="20" w:after="20" w:line="240" w:lineRule="auto"/>
              <w:jc w:val="left"/>
            </w:pPr>
            <w:r>
              <w:rPr>
                <w:rFonts w:ascii="Times New Roman" w:hAnsi="Times New Roman" w:eastAsia="宋体"/>
                <w:b w:val="0"/>
                <w:i w:val="0"/>
                <w:sz w:val="18"/>
              </w:rPr>
              <w:t>g_i / d_i</w:t>
            </w:r>
          </w:p>
        </w:tc>
        <w:tc>
          <w:tcPr>
            <w:tcW w:type="dxa" w:w="2400"/>
            <w:vAlign w:val="center"/>
          </w:tcPr>
          <w:p>
            <w:pPr>
              <w:spacing w:before="20" w:after="20" w:line="240" w:lineRule="auto"/>
              <w:jc w:val="center"/>
            </w:pPr>
            <w:r>
              <w:rPr>
                <w:rFonts w:ascii="Times New Roman" w:hAnsi="Times New Roman" w:eastAsia="宋体"/>
                <w:b w:val="0"/>
                <w:i w:val="0"/>
                <w:sz w:val="18"/>
              </w:rPr>
              <w:t>GPU 需求 / 执行时长</w:t>
            </w:r>
          </w:p>
        </w:tc>
        <w:tc>
          <w:tcPr>
            <w:tcW w:type="dxa" w:w="2200"/>
            <w:vAlign w:val="center"/>
          </w:tcPr>
          <w:p>
            <w:pPr>
              <w:spacing w:before="20" w:after="20" w:line="240" w:lineRule="auto"/>
              <w:jc w:val="center"/>
            </w:pPr>
            <w:r>
              <w:rPr>
                <w:rFonts w:ascii="Times New Roman" w:hAnsi="Times New Roman" w:eastAsia="宋体"/>
                <w:b w:val="0"/>
                <w:i w:val="0"/>
                <w:sz w:val="18"/>
              </w:rPr>
              <w:t>l_i / L_i</w:t>
            </w:r>
          </w:p>
        </w:tc>
        <w:tc>
          <w:tcPr>
            <w:tcW w:type="dxa" w:w="2272"/>
            <w:vAlign w:val="center"/>
          </w:tcPr>
          <w:p>
            <w:pPr>
              <w:spacing w:before="20" w:after="20" w:line="240" w:lineRule="auto"/>
              <w:jc w:val="center"/>
            </w:pPr>
            <w:r>
              <w:rPr>
                <w:rFonts w:ascii="Times New Roman" w:hAnsi="Times New Roman" w:eastAsia="宋体"/>
                <w:b w:val="0"/>
                <w:i w:val="0"/>
                <w:sz w:val="18"/>
              </w:rPr>
              <w:t>时延上限 / 最晚完成时刻</w:t>
            </w:r>
          </w:p>
        </w:tc>
      </w:tr>
      <w:tr>
        <w:tc>
          <w:tcPr>
            <w:tcW w:type="dxa" w:w="2200"/>
            <w:vAlign w:val="center"/>
          </w:tcPr>
          <w:p>
            <w:pPr>
              <w:spacing w:before="20" w:after="20" w:line="240" w:lineRule="auto"/>
              <w:jc w:val="left"/>
            </w:pPr>
            <w:r>
              <w:rPr>
                <w:rFonts w:ascii="Times New Roman" w:hAnsi="Times New Roman" w:eastAsia="宋体"/>
                <w:b w:val="0"/>
                <w:i w:val="0"/>
                <w:sz w:val="18"/>
              </w:rPr>
              <w:t>x_i,r,s</w:t>
            </w:r>
          </w:p>
        </w:tc>
        <w:tc>
          <w:tcPr>
            <w:tcW w:type="dxa" w:w="2400"/>
            <w:vAlign w:val="center"/>
          </w:tcPr>
          <w:p>
            <w:pPr>
              <w:spacing w:before="20" w:after="20" w:line="240" w:lineRule="auto"/>
              <w:jc w:val="center"/>
            </w:pPr>
            <w:r>
              <w:rPr>
                <w:rFonts w:ascii="Times New Roman" w:hAnsi="Times New Roman" w:eastAsia="宋体"/>
                <w:b w:val="0"/>
                <w:i w:val="0"/>
                <w:sz w:val="18"/>
              </w:rPr>
              <w:t>任务-区域-开工时段 0-1 变量</w:t>
            </w:r>
          </w:p>
        </w:tc>
        <w:tc>
          <w:tcPr>
            <w:tcW w:type="dxa" w:w="2200"/>
            <w:vAlign w:val="center"/>
          </w:tcPr>
          <w:p>
            <w:pPr>
              <w:spacing w:before="20" w:after="20" w:line="240" w:lineRule="auto"/>
              <w:jc w:val="center"/>
            </w:pPr>
            <w:r>
              <w:rPr>
                <w:rFonts w:ascii="Times New Roman" w:hAnsi="Times New Roman" w:eastAsia="宋体"/>
                <w:b w:val="0"/>
                <w:i w:val="0"/>
                <w:sz w:val="18"/>
              </w:rPr>
              <w:t>h_i,t</w:t>
            </w:r>
          </w:p>
        </w:tc>
        <w:tc>
          <w:tcPr>
            <w:tcW w:type="dxa" w:w="2272"/>
            <w:vAlign w:val="center"/>
          </w:tcPr>
          <w:p>
            <w:pPr>
              <w:spacing w:before="20" w:after="20" w:line="240" w:lineRule="auto"/>
              <w:jc w:val="center"/>
            </w:pPr>
            <w:r>
              <w:rPr>
                <w:rFonts w:ascii="Times New Roman" w:hAnsi="Times New Roman" w:eastAsia="宋体"/>
                <w:b w:val="0"/>
                <w:i w:val="0"/>
                <w:sz w:val="18"/>
              </w:rPr>
              <w:t>任务时段重叠系数</w:t>
            </w:r>
          </w:p>
        </w:tc>
      </w:tr>
      <w:tr>
        <w:tc>
          <w:tcPr>
            <w:tcW w:type="dxa" w:w="2200"/>
            <w:vAlign w:val="center"/>
          </w:tcPr>
          <w:p>
            <w:pPr>
              <w:spacing w:before="20" w:after="20" w:line="240" w:lineRule="auto"/>
              <w:jc w:val="left"/>
            </w:pPr>
            <w:r>
              <w:rPr>
                <w:rFonts w:ascii="Times New Roman" w:hAnsi="Times New Roman" w:eastAsia="宋体"/>
                <w:b w:val="0"/>
                <w:i w:val="0"/>
                <w:sz w:val="18"/>
              </w:rPr>
              <w:t>Available_GPU(r)</w:t>
            </w:r>
          </w:p>
        </w:tc>
        <w:tc>
          <w:tcPr>
            <w:tcW w:type="dxa" w:w="2400"/>
            <w:vAlign w:val="center"/>
          </w:tcPr>
          <w:p>
            <w:pPr>
              <w:spacing w:before="20" w:after="20" w:line="240" w:lineRule="auto"/>
              <w:jc w:val="center"/>
            </w:pPr>
            <w:r>
              <w:rPr>
                <w:rFonts w:ascii="Times New Roman" w:hAnsi="Times New Roman" w:eastAsia="宋体"/>
                <w:b w:val="0"/>
                <w:i w:val="0"/>
                <w:sz w:val="18"/>
              </w:rPr>
              <w:t>可调度 GPU 容量</w:t>
            </w:r>
          </w:p>
        </w:tc>
        <w:tc>
          <w:tcPr>
            <w:tcW w:type="dxa" w:w="2200"/>
            <w:vAlign w:val="center"/>
          </w:tcPr>
          <w:p>
            <w:pPr>
              <w:spacing w:before="20" w:after="20" w:line="240" w:lineRule="auto"/>
              <w:jc w:val="center"/>
            </w:pPr>
            <w:r>
              <w:rPr>
                <w:rFonts w:ascii="Times New Roman" w:hAnsi="Times New Roman" w:eastAsia="宋体"/>
                <w:b w:val="0"/>
                <w:i w:val="0"/>
                <w:sz w:val="18"/>
              </w:rPr>
              <w:t>PUE(r)</w:t>
            </w:r>
          </w:p>
        </w:tc>
        <w:tc>
          <w:tcPr>
            <w:tcW w:type="dxa" w:w="2272"/>
            <w:vAlign w:val="center"/>
          </w:tcPr>
          <w:p>
            <w:pPr>
              <w:spacing w:before="20" w:after="20" w:line="240" w:lineRule="auto"/>
              <w:jc w:val="center"/>
            </w:pPr>
            <w:r>
              <w:rPr>
                <w:rFonts w:ascii="Times New Roman" w:hAnsi="Times New Roman" w:eastAsia="宋体"/>
                <w:b w:val="0"/>
                <w:i w:val="0"/>
                <w:sz w:val="18"/>
              </w:rPr>
              <w:t>区域能效系数</w:t>
            </w:r>
          </w:p>
        </w:tc>
      </w:tr>
      <w:tr>
        <w:tc>
          <w:tcPr>
            <w:tcW w:type="dxa" w:w="2200"/>
            <w:vAlign w:val="center"/>
          </w:tcPr>
          <w:p>
            <w:pPr>
              <w:spacing w:before="20" w:after="20" w:line="240" w:lineRule="auto"/>
              <w:jc w:val="left"/>
            </w:pPr>
            <w:r>
              <w:rPr>
                <w:rFonts w:ascii="Times New Roman" w:hAnsi="Times New Roman" w:eastAsia="宋体"/>
                <w:b w:val="0"/>
                <w:i w:val="0"/>
                <w:sz w:val="18"/>
              </w:rPr>
              <w:t>AI_IT_Load(r,t)</w:t>
            </w:r>
          </w:p>
        </w:tc>
        <w:tc>
          <w:tcPr>
            <w:tcW w:type="dxa" w:w="2400"/>
            <w:vAlign w:val="center"/>
          </w:tcPr>
          <w:p>
            <w:pPr>
              <w:spacing w:before="20" w:after="20" w:line="240" w:lineRule="auto"/>
              <w:jc w:val="center"/>
            </w:pPr>
            <w:r>
              <w:rPr>
                <w:rFonts w:ascii="Times New Roman" w:hAnsi="Times New Roman" w:eastAsia="宋体"/>
                <w:b w:val="0"/>
                <w:i w:val="0"/>
                <w:sz w:val="18"/>
              </w:rPr>
              <w:t>AI 任务 IT 负荷</w:t>
            </w:r>
          </w:p>
        </w:tc>
        <w:tc>
          <w:tcPr>
            <w:tcW w:type="dxa" w:w="2200"/>
            <w:vAlign w:val="center"/>
          </w:tcPr>
          <w:p>
            <w:pPr>
              <w:spacing w:before="20" w:after="20" w:line="240" w:lineRule="auto"/>
              <w:jc w:val="center"/>
            </w:pPr>
            <w:r>
              <w:rPr>
                <w:rFonts w:ascii="Times New Roman" w:hAnsi="Times New Roman" w:eastAsia="宋体"/>
                <w:b w:val="0"/>
                <w:i w:val="0"/>
                <w:sz w:val="18"/>
              </w:rPr>
              <w:t>IT_Load(r,t)</w:t>
            </w:r>
          </w:p>
        </w:tc>
        <w:tc>
          <w:tcPr>
            <w:tcW w:type="dxa" w:w="2272"/>
            <w:vAlign w:val="center"/>
          </w:tcPr>
          <w:p>
            <w:pPr>
              <w:spacing w:before="20" w:after="20" w:line="240" w:lineRule="auto"/>
              <w:jc w:val="center"/>
            </w:pPr>
            <w:r>
              <w:rPr>
                <w:rFonts w:ascii="Times New Roman" w:hAnsi="Times New Roman" w:eastAsia="宋体"/>
                <w:b w:val="0"/>
                <w:i w:val="0"/>
                <w:sz w:val="18"/>
              </w:rPr>
              <w:t>总 IT 负荷</w:t>
            </w:r>
          </w:p>
        </w:tc>
      </w:tr>
      <w:tr>
        <w:tc>
          <w:tcPr>
            <w:tcW w:type="dxa" w:w="2200"/>
            <w:vAlign w:val="center"/>
          </w:tcPr>
          <w:p>
            <w:pPr>
              <w:spacing w:before="20" w:after="20" w:line="240" w:lineRule="auto"/>
              <w:jc w:val="left"/>
            </w:pPr>
            <w:r>
              <w:rPr>
                <w:rFonts w:ascii="Times New Roman" w:hAnsi="Times New Roman" w:eastAsia="宋体"/>
                <w:b w:val="0"/>
                <w:i w:val="0"/>
                <w:sz w:val="18"/>
              </w:rPr>
              <w:t>Total_Load(r,t)</w:t>
            </w:r>
          </w:p>
        </w:tc>
        <w:tc>
          <w:tcPr>
            <w:tcW w:type="dxa" w:w="2400"/>
            <w:vAlign w:val="center"/>
          </w:tcPr>
          <w:p>
            <w:pPr>
              <w:spacing w:before="20" w:after="20" w:line="240" w:lineRule="auto"/>
              <w:jc w:val="center"/>
            </w:pPr>
            <w:r>
              <w:rPr>
                <w:rFonts w:ascii="Times New Roman" w:hAnsi="Times New Roman" w:eastAsia="宋体"/>
                <w:b w:val="0"/>
                <w:i w:val="0"/>
                <w:sz w:val="18"/>
              </w:rPr>
              <w:t>设施侧负荷</w:t>
            </w:r>
          </w:p>
        </w:tc>
        <w:tc>
          <w:tcPr>
            <w:tcW w:type="dxa" w:w="2200"/>
            <w:vAlign w:val="center"/>
          </w:tcPr>
          <w:p>
            <w:pPr>
              <w:spacing w:before="20" w:after="20" w:line="240" w:lineRule="auto"/>
              <w:jc w:val="center"/>
            </w:pPr>
            <w:r>
              <w:rPr>
                <w:rFonts w:ascii="Times New Roman" w:hAnsi="Times New Roman" w:eastAsia="宋体"/>
                <w:b w:val="0"/>
                <w:i w:val="0"/>
                <w:sz w:val="18"/>
              </w:rPr>
              <w:t>G_buy(r,t)</w:t>
            </w:r>
          </w:p>
        </w:tc>
        <w:tc>
          <w:tcPr>
            <w:tcW w:type="dxa" w:w="2272"/>
            <w:vAlign w:val="center"/>
          </w:tcPr>
          <w:p>
            <w:pPr>
              <w:spacing w:before="20" w:after="20" w:line="240" w:lineRule="auto"/>
              <w:jc w:val="center"/>
            </w:pPr>
            <w:r>
              <w:rPr>
                <w:rFonts w:ascii="Times New Roman" w:hAnsi="Times New Roman" w:eastAsia="宋体"/>
                <w:b w:val="0"/>
                <w:i w:val="0"/>
                <w:sz w:val="18"/>
              </w:rPr>
              <w:t>电网购电功率</w:t>
            </w:r>
          </w:p>
        </w:tc>
      </w:tr>
      <w:tr>
        <w:tc>
          <w:tcPr>
            <w:tcW w:type="dxa" w:w="2200"/>
            <w:vAlign w:val="center"/>
          </w:tcPr>
          <w:p>
            <w:pPr>
              <w:spacing w:before="20" w:after="20" w:line="240" w:lineRule="auto"/>
              <w:jc w:val="left"/>
            </w:pPr>
            <w:r>
              <w:rPr>
                <w:rFonts w:ascii="Times New Roman" w:hAnsi="Times New Roman" w:eastAsia="宋体"/>
                <w:b w:val="0"/>
                <w:i w:val="0"/>
                <w:sz w:val="18"/>
              </w:rPr>
              <w:t>G_sell(r,t)</w:t>
            </w:r>
          </w:p>
        </w:tc>
        <w:tc>
          <w:tcPr>
            <w:tcW w:type="dxa" w:w="2400"/>
            <w:vAlign w:val="center"/>
          </w:tcPr>
          <w:p>
            <w:pPr>
              <w:spacing w:before="20" w:after="20" w:line="240" w:lineRule="auto"/>
              <w:jc w:val="center"/>
            </w:pPr>
            <w:r>
              <w:rPr>
                <w:rFonts w:ascii="Times New Roman" w:hAnsi="Times New Roman" w:eastAsia="宋体"/>
                <w:b w:val="0"/>
                <w:i w:val="0"/>
                <w:sz w:val="18"/>
              </w:rPr>
              <w:t>外送功率</w:t>
            </w:r>
          </w:p>
        </w:tc>
        <w:tc>
          <w:tcPr>
            <w:tcW w:type="dxa" w:w="2200"/>
            <w:vAlign w:val="center"/>
          </w:tcPr>
          <w:p>
            <w:pPr>
              <w:spacing w:before="20" w:after="20" w:line="240" w:lineRule="auto"/>
              <w:jc w:val="center"/>
            </w:pPr>
            <w:r>
              <w:rPr>
                <w:rFonts w:ascii="Times New Roman" w:hAnsi="Times New Roman" w:eastAsia="宋体"/>
                <w:b w:val="0"/>
                <w:i w:val="0"/>
                <w:sz w:val="18"/>
              </w:rPr>
              <w:t>R_use(r,t)</w:t>
            </w:r>
          </w:p>
        </w:tc>
        <w:tc>
          <w:tcPr>
            <w:tcW w:type="dxa" w:w="2272"/>
            <w:vAlign w:val="center"/>
          </w:tcPr>
          <w:p>
            <w:pPr>
              <w:spacing w:before="20" w:after="20" w:line="240" w:lineRule="auto"/>
              <w:jc w:val="center"/>
            </w:pPr>
            <w:r>
              <w:rPr>
                <w:rFonts w:ascii="Times New Roman" w:hAnsi="Times New Roman" w:eastAsia="宋体"/>
                <w:b w:val="0"/>
                <w:i w:val="0"/>
                <w:sz w:val="18"/>
              </w:rPr>
              <w:t>新能源直接消纳</w:t>
            </w:r>
          </w:p>
        </w:tc>
      </w:tr>
      <w:tr>
        <w:tc>
          <w:tcPr>
            <w:tcW w:type="dxa" w:w="2200"/>
            <w:vAlign w:val="center"/>
          </w:tcPr>
          <w:p>
            <w:pPr>
              <w:spacing w:before="20" w:after="20" w:line="240" w:lineRule="auto"/>
              <w:jc w:val="left"/>
            </w:pPr>
            <w:r>
              <w:rPr>
                <w:rFonts w:ascii="Times New Roman" w:hAnsi="Times New Roman" w:eastAsia="宋体"/>
                <w:b w:val="0"/>
                <w:i w:val="0"/>
                <w:sz w:val="18"/>
              </w:rPr>
              <w:t>R_ch / G_ch</w:t>
            </w:r>
          </w:p>
        </w:tc>
        <w:tc>
          <w:tcPr>
            <w:tcW w:type="dxa" w:w="2400"/>
            <w:vAlign w:val="center"/>
          </w:tcPr>
          <w:p>
            <w:pPr>
              <w:spacing w:before="20" w:after="20" w:line="240" w:lineRule="auto"/>
              <w:jc w:val="center"/>
            </w:pPr>
            <w:r>
              <w:rPr>
                <w:rFonts w:ascii="Times New Roman" w:hAnsi="Times New Roman" w:eastAsia="宋体"/>
                <w:b w:val="0"/>
                <w:i w:val="0"/>
                <w:sz w:val="18"/>
              </w:rPr>
              <w:t>新能源/电网充电功率</w:t>
            </w:r>
          </w:p>
        </w:tc>
        <w:tc>
          <w:tcPr>
            <w:tcW w:type="dxa" w:w="2200"/>
            <w:vAlign w:val="center"/>
          </w:tcPr>
          <w:p>
            <w:pPr>
              <w:spacing w:before="20" w:after="20" w:line="240" w:lineRule="auto"/>
              <w:jc w:val="center"/>
            </w:pPr>
            <w:r>
              <w:rPr>
                <w:rFonts w:ascii="Times New Roman" w:hAnsi="Times New Roman" w:eastAsia="宋体"/>
                <w:b w:val="0"/>
                <w:i w:val="0"/>
                <w:sz w:val="18"/>
              </w:rPr>
              <w:t>P_ch / P_dis</w:t>
            </w:r>
          </w:p>
        </w:tc>
        <w:tc>
          <w:tcPr>
            <w:tcW w:type="dxa" w:w="2272"/>
            <w:vAlign w:val="center"/>
          </w:tcPr>
          <w:p>
            <w:pPr>
              <w:spacing w:before="20" w:after="20" w:line="240" w:lineRule="auto"/>
              <w:jc w:val="center"/>
            </w:pPr>
            <w:r>
              <w:rPr>
                <w:rFonts w:ascii="Times New Roman" w:hAnsi="Times New Roman" w:eastAsia="宋体"/>
                <w:b w:val="0"/>
                <w:i w:val="0"/>
                <w:sz w:val="18"/>
              </w:rPr>
              <w:t>储能充/放电功率</w:t>
            </w:r>
          </w:p>
        </w:tc>
      </w:tr>
      <w:tr>
        <w:tc>
          <w:tcPr>
            <w:tcW w:type="dxa" w:w="2200"/>
            <w:vAlign w:val="center"/>
          </w:tcPr>
          <w:p>
            <w:pPr>
              <w:spacing w:before="20" w:after="20" w:line="240" w:lineRule="auto"/>
              <w:jc w:val="left"/>
            </w:pPr>
            <w:r>
              <w:rPr>
                <w:rFonts w:ascii="Times New Roman" w:hAnsi="Times New Roman" w:eastAsia="宋体"/>
                <w:b w:val="0"/>
                <w:i w:val="0"/>
                <w:sz w:val="18"/>
              </w:rPr>
              <w:t>SOC(r,t)</w:t>
            </w:r>
          </w:p>
        </w:tc>
        <w:tc>
          <w:tcPr>
            <w:tcW w:type="dxa" w:w="2400"/>
            <w:vAlign w:val="center"/>
          </w:tcPr>
          <w:p>
            <w:pPr>
              <w:spacing w:before="20" w:after="20" w:line="240" w:lineRule="auto"/>
              <w:jc w:val="center"/>
            </w:pPr>
            <w:r>
              <w:rPr>
                <w:rFonts w:ascii="Times New Roman" w:hAnsi="Times New Roman" w:eastAsia="宋体"/>
                <w:b w:val="0"/>
                <w:i w:val="0"/>
                <w:sz w:val="18"/>
              </w:rPr>
              <w:t>储能荷电状态</w:t>
            </w:r>
          </w:p>
        </w:tc>
        <w:tc>
          <w:tcPr>
            <w:tcW w:type="dxa" w:w="2200"/>
            <w:vAlign w:val="center"/>
          </w:tcPr>
          <w:p>
            <w:pPr>
              <w:spacing w:before="20" w:after="20" w:line="240" w:lineRule="auto"/>
              <w:jc w:val="center"/>
            </w:pPr>
            <w:r>
              <w:rPr>
                <w:rFonts w:ascii="Times New Roman" w:hAnsi="Times New Roman" w:eastAsia="宋体"/>
                <w:b w:val="0"/>
                <w:i w:val="0"/>
                <w:sz w:val="18"/>
              </w:rPr>
              <w:t>ηc / ηd</w:t>
            </w:r>
          </w:p>
        </w:tc>
        <w:tc>
          <w:tcPr>
            <w:tcW w:type="dxa" w:w="2272"/>
            <w:vAlign w:val="center"/>
          </w:tcPr>
          <w:p>
            <w:pPr>
              <w:spacing w:before="20" w:after="20" w:line="240" w:lineRule="auto"/>
              <w:jc w:val="center"/>
            </w:pPr>
            <w:r>
              <w:rPr>
                <w:rFonts w:ascii="Times New Roman" w:hAnsi="Times New Roman" w:eastAsia="宋体"/>
                <w:b w:val="0"/>
                <w:i w:val="0"/>
                <w:sz w:val="18"/>
              </w:rPr>
              <w:t>充/放电效率</w:t>
            </w:r>
          </w:p>
        </w:tc>
      </w:tr>
      <w:tr>
        <w:tc>
          <w:tcPr>
            <w:tcW w:type="dxa" w:w="2200"/>
            <w:vAlign w:val="center"/>
          </w:tcPr>
          <w:p>
            <w:pPr>
              <w:spacing w:before="20" w:after="20" w:line="240" w:lineRule="auto"/>
              <w:jc w:val="left"/>
            </w:pPr>
            <w:r>
              <w:rPr>
                <w:rFonts w:ascii="Times New Roman" w:hAnsi="Times New Roman" w:eastAsia="宋体"/>
                <w:b w:val="0"/>
                <w:i w:val="0"/>
                <w:sz w:val="18"/>
              </w:rPr>
              <w:t>ElectricityPrice</w:t>
            </w:r>
          </w:p>
        </w:tc>
        <w:tc>
          <w:tcPr>
            <w:tcW w:type="dxa" w:w="2400"/>
            <w:vAlign w:val="center"/>
          </w:tcPr>
          <w:p>
            <w:pPr>
              <w:spacing w:before="20" w:after="20" w:line="240" w:lineRule="auto"/>
              <w:jc w:val="center"/>
            </w:pPr>
            <w:r>
              <w:rPr>
                <w:rFonts w:ascii="Times New Roman" w:hAnsi="Times New Roman" w:eastAsia="宋体"/>
                <w:b w:val="0"/>
                <w:i w:val="0"/>
                <w:sz w:val="18"/>
              </w:rPr>
              <w:t>购电价格</w:t>
            </w:r>
          </w:p>
        </w:tc>
        <w:tc>
          <w:tcPr>
            <w:tcW w:type="dxa" w:w="2200"/>
            <w:vAlign w:val="center"/>
          </w:tcPr>
          <w:p>
            <w:pPr>
              <w:spacing w:before="20" w:after="20" w:line="240" w:lineRule="auto"/>
              <w:jc w:val="center"/>
            </w:pPr>
            <w:r>
              <w:rPr>
                <w:rFonts w:ascii="Times New Roman" w:hAnsi="Times New Roman" w:eastAsia="宋体"/>
                <w:b w:val="0"/>
                <w:i w:val="0"/>
                <w:sz w:val="18"/>
              </w:rPr>
              <w:t>CarbonIntensity</w:t>
            </w:r>
          </w:p>
        </w:tc>
        <w:tc>
          <w:tcPr>
            <w:tcW w:type="dxa" w:w="2272"/>
            <w:vAlign w:val="center"/>
          </w:tcPr>
          <w:p>
            <w:pPr>
              <w:spacing w:before="20" w:after="20" w:line="240" w:lineRule="auto"/>
              <w:jc w:val="center"/>
            </w:pPr>
            <w:r>
              <w:rPr>
                <w:rFonts w:ascii="Times New Roman" w:hAnsi="Times New Roman" w:eastAsia="宋体"/>
                <w:b w:val="0"/>
                <w:i w:val="0"/>
                <w:sz w:val="18"/>
              </w:rPr>
              <w:t>碳强度</w:t>
            </w:r>
          </w:p>
        </w:tc>
      </w:tr>
      <w:tr>
        <w:tc>
          <w:tcPr>
            <w:tcW w:type="dxa" w:w="2200"/>
            <w:vAlign w:val="center"/>
          </w:tcPr>
          <w:p>
            <w:pPr>
              <w:spacing w:before="20" w:after="20" w:line="240" w:lineRule="auto"/>
              <w:jc w:val="left"/>
            </w:pPr>
            <w:r>
              <w:rPr>
                <w:rFonts w:ascii="Times New Roman" w:hAnsi="Times New Roman" w:eastAsia="宋体"/>
                <w:b w:val="0"/>
                <w:i w:val="0"/>
                <w:sz w:val="18"/>
              </w:rPr>
              <w:t>NetGridImport(r,t)</w:t>
            </w:r>
          </w:p>
        </w:tc>
        <w:tc>
          <w:tcPr>
            <w:tcW w:type="dxa" w:w="2400"/>
            <w:vAlign w:val="center"/>
          </w:tcPr>
          <w:p>
            <w:pPr>
              <w:spacing w:before="20" w:after="20" w:line="240" w:lineRule="auto"/>
              <w:jc w:val="center"/>
            </w:pPr>
            <w:r>
              <w:rPr>
                <w:rFonts w:ascii="Times New Roman" w:hAnsi="Times New Roman" w:eastAsia="宋体"/>
                <w:b w:val="0"/>
                <w:i w:val="0"/>
                <w:sz w:val="18"/>
              </w:rPr>
              <w:t>净购电功率</w:t>
            </w:r>
          </w:p>
        </w:tc>
        <w:tc>
          <w:tcPr>
            <w:tcW w:type="dxa" w:w="2200"/>
            <w:vAlign w:val="center"/>
          </w:tcPr>
          <w:p>
            <w:pPr>
              <w:spacing w:before="20" w:after="20" w:line="240" w:lineRule="auto"/>
              <w:jc w:val="center"/>
            </w:pPr>
            <w:r>
              <w:rPr>
                <w:rFonts w:ascii="Times New Roman" w:hAnsi="Times New Roman" w:eastAsia="宋体"/>
                <w:b w:val="0"/>
                <w:i w:val="0"/>
                <w:sz w:val="18"/>
              </w:rPr>
              <w:t>f1–f4</w:t>
            </w:r>
          </w:p>
        </w:tc>
        <w:tc>
          <w:tcPr>
            <w:tcW w:type="dxa" w:w="2272"/>
            <w:vAlign w:val="center"/>
          </w:tcPr>
          <w:p>
            <w:pPr>
              <w:spacing w:before="20" w:after="20" w:line="240" w:lineRule="auto"/>
              <w:jc w:val="center"/>
            </w:pPr>
            <w:r>
              <w:rPr>
                <w:rFonts w:ascii="Times New Roman" w:hAnsi="Times New Roman" w:eastAsia="宋体"/>
                <w:b w:val="0"/>
                <w:i w:val="0"/>
                <w:sz w:val="18"/>
              </w:rPr>
              <w:t>成本/碳排/峰值/波动目标</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个任务按区域与类型进行统计：三类任务数量近乎均衡（各占约三分之一），来源区域以东三区与西部算力中心为主。对逐小时 GPU 需求总量进行描述性统计，序列均值方差比约为 1.032，一阶自相关系数接近于 0，说明逐时需求序列近似独立同分布，无明显趋势与周期记忆成分。该特性表明短期预测应以近期观测信息为主，无需引入复杂的长期记忆模型，这也为后续选择梯度提升树等监督学习模型提供了依据。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黑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黑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黑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黑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黑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黑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黑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黑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黑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黑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黑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黑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黑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组多目标策略，全部策略均实现近全量任务调度（仅低碳优先策略在末端遗留 2 个巨型训练任务，调度率仍达 99.996%），无时延、时限与容量违规，结果如表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黑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14.46</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-372.5</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12.22</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0.0</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2</w:t>
            </w:r>
          </w:p>
        </w:tc>
        <w:tc>
          <w:tcPr>
            <w:tcW w:type="dxa" w:w="1250"/>
            <w:vAlign w:val="center"/>
          </w:tcPr>
          <w:p>
            <w:pPr>
              <w:spacing w:before="20" w:after="20" w:line="240" w:lineRule="auto"/>
              <w:jc w:val="center"/>
            </w:pPr>
            <w:r>
              <w:rPr>
                <w:rFonts w:ascii="Times New Roman" w:hAnsi="Times New Roman" w:eastAsia="宋体"/>
                <w:b w:val="0"/>
                <w:i w:val="0"/>
                <w:sz w:val="18"/>
              </w:rPr>
              <w:t>-45 910.5</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16.00</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-25.7</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-143.9</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-45 917.3</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-45 905.3</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14.50</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-378.5</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-45 910.0</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18.25</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-386.0</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-378/-386 MW），且与综合权衡的成本差异不足 6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黑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碳约束场景复用综合权衡调度、仅重解能源层，考察碳预算对能源运行的影响。四种碳上限（0、200、1 000、5 000 tCO₂）下实际碳排均为 0，净运行成本与新能源利用率几乎不变（表 12），说明在本文数据条件下碳约束均为非紧约束：协同优化后的“零购电”运行点已天然满足任意不高于 5 000 tCO₂ 的碳预算。该结论的政策含义是，算电协同本身即是一种“结构性的低碳化”，碳约束机制需在购电无法归零的场景（如新能源显著不足、外送受限）下才能发挥实际约束作用。</w:t>
      </w:r>
    </w:p>
    <w:p>
      <w:pPr>
        <w:spacing w:before="160" w:after="60"/>
        <w:jc w:val="center"/>
      </w:pPr>
      <w:r>
        <w:rPr>
          <w:rFonts w:ascii="Times New Roman" w:hAnsi="Times New Roman" w:eastAsia="黑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-45 904.8</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13）表明价格信号对调度行为影响有限（成本差异小于 3 万元）；固定电价消除了峰谷价差、储能套利动机减弱，个别时段出现少量购电（碳排 13.7 tCO₂），说明电价结构是储能经济性与零购电运行点的支撑条件之一。</w:t>
      </w:r>
    </w:p>
    <w:p>
      <w:pPr>
        <w:spacing w:before="160" w:after="60"/>
        <w:jc w:val="center"/>
      </w:pPr>
      <w:r>
        <w:rPr>
          <w:rFonts w:ascii="Times New Roman" w:hAnsi="Times New Roman" w:eastAsia="黑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-45 905.6</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-372.5</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-45 906.9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-388.5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-45 906.0</w:t>
            </w:r>
          </w:p>
        </w:tc>
        <w:tc>
          <w:tcPr>
            <w:tcW w:type="dxa" w:w="1600"/>
            <w:vAlign w:val="center"/>
          </w:tcPr>
          <w:p>
            <w:pPr>
              <w:spacing w:before="20" w:after="20" w:line="240" w:lineRule="auto"/>
              <w:jc w:val="center"/>
            </w:pPr>
            <w:r>
              <w:rPr>
                <w:rFonts w:ascii="Times New Roman" w:hAnsi="Times New Roman" w:eastAsia="宋体"/>
                <w:b w:val="0"/>
                <w:i w:val="0"/>
                <w:sz w:val="18"/>
              </w:rPr>
              <w:t>13.7</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-386.9</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-365.6</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-4.31 亿元、碳排放升至 1 696 tCO₂、峰值净购电转为 +325 MW 的正向购电峰值，调度侧更多向西部迁移（迁移比例升至 41.3%），末端 4 个巨型训练任务因资源紧张未获调度；可用出力增加 20% 进一步压低成本与峰值（-620 MW），但利用率口径下降（可用总量增大、外送受上限约束），说明新能源增容需与外送、储能扩容共同评估。</w:t>
      </w:r>
    </w:p>
    <w:p>
      <w:pPr>
        <w:spacing w:before="160" w:after="60"/>
        <w:jc w:val="center"/>
      </w:pPr>
      <w:r>
        <w:rPr>
          <w:rFonts w:ascii="Times New Roman" w:hAnsi="Times New Roman" w:eastAsia="黑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4</w:t>
            </w:r>
          </w:p>
        </w:tc>
        <w:tc>
          <w:tcPr>
            <w:tcW w:type="dxa" w:w="1500"/>
            <w:vAlign w:val="center"/>
          </w:tcPr>
          <w:p>
            <w:pPr>
              <w:spacing w:before="20" w:after="20" w:line="240" w:lineRule="auto"/>
              <w:jc w:val="center"/>
            </w:pPr>
            <w:r>
              <w:rPr>
                <w:rFonts w:ascii="Times New Roman" w:hAnsi="Times New Roman" w:eastAsia="宋体"/>
                <w:b w:val="0"/>
                <w:i w:val="0"/>
                <w:sz w:val="18"/>
              </w:rPr>
              <w:t>-43 090.7</w:t>
            </w:r>
          </w:p>
        </w:tc>
        <w:tc>
          <w:tcPr>
            <w:tcW w:type="dxa" w:w="1300"/>
            <w:vAlign w:val="center"/>
          </w:tcPr>
          <w:p>
            <w:pPr>
              <w:spacing w:before="20" w:after="20" w:line="240" w:lineRule="auto"/>
              <w:jc w:val="center"/>
            </w:pPr>
            <w:r>
              <w:rPr>
                <w:rFonts w:ascii="Times New Roman" w:hAnsi="Times New Roman" w:eastAsia="宋体"/>
                <w:b w:val="0"/>
                <w:i w:val="0"/>
                <w:sz w:val="18"/>
              </w:rPr>
              <w:t>1 696.1</w:t>
            </w:r>
          </w:p>
        </w:tc>
        <w:tc>
          <w:tcPr>
            <w:tcW w:type="dxa" w:w="1200"/>
            <w:vAlign w:val="center"/>
          </w:tcPr>
          <w:p>
            <w:pPr>
              <w:spacing w:before="20" w:after="20" w:line="240" w:lineRule="auto"/>
              <w:jc w:val="center"/>
            </w:pPr>
            <w:r>
              <w:rPr>
                <w:rFonts w:ascii="Times New Roman" w:hAnsi="Times New Roman" w:eastAsia="宋体"/>
                <w:b w:val="0"/>
                <w:i w:val="0"/>
                <w:sz w:val="18"/>
              </w:rPr>
              <w:t>18.63</w:t>
            </w:r>
          </w:p>
        </w:tc>
        <w:tc>
          <w:tcPr>
            <w:tcW w:type="dxa" w:w="1300"/>
            <w:vAlign w:val="center"/>
          </w:tcPr>
          <w:p>
            <w:pPr>
              <w:spacing w:before="20" w:after="20" w:line="240" w:lineRule="auto"/>
              <w:jc w:val="center"/>
            </w:pPr>
            <w:r>
              <w:rPr>
                <w:rFonts w:ascii="Times New Roman" w:hAnsi="Times New Roman" w:eastAsia="宋体"/>
                <w:b w:val="0"/>
                <w:i w:val="0"/>
                <w:sz w:val="18"/>
              </w:rPr>
              <w:t>85.7%</w:t>
            </w:r>
          </w:p>
        </w:tc>
        <w:tc>
          <w:tcPr>
            <w:tcW w:type="dxa" w:w="1272"/>
            <w:vAlign w:val="center"/>
          </w:tcPr>
          <w:p>
            <w:pPr>
              <w:spacing w:before="20" w:after="20" w:line="240" w:lineRule="auto"/>
              <w:jc w:val="center"/>
            </w:pPr>
            <w:r>
              <w:rPr>
                <w:rFonts w:ascii="Times New Roman" w:hAnsi="Times New Roman" w:eastAsia="宋体"/>
                <w:b w:val="0"/>
                <w:i w:val="0"/>
                <w:sz w:val="18"/>
              </w:rPr>
              <w:t>+325.2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-45 905.6</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14.46</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-372.5</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14.20</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黑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黑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16 个场景调度层与电力层约束全部校验通过；上层调度生成的 AI 负荷与下层能源输入逐时一致，边际供应栈与最终能源方案自洽；未调度任务仅出现在碳优先（2 个）与新能源 ×0.8（4 个）场景的末端紧容量时段，调度率不低于 99.992%。</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w:t>
      </w:r>
    </w:p>
    <w:p>
      <w:pPr>
        <w:pStyle w:val="Heading2"/>
      </w:pPr>
      <w:r>
        <w:t>7.1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7.2 模型不足与改进方向</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