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i w:val="0"/>
          <w:sz w:val="32"/>
        </w:rPr>
        <w:t>面向算电协同的多区域算力调度与储能协同优化</w:t>
      </w:r>
    </w:p>
    <w:p>
      <w:pPr>
        <w:spacing w:before="240" w:after="240"/>
        <w:jc w:val="center"/>
      </w:pPr>
      <w:r>
        <w:rPr>
          <w:rFonts w:ascii="Times New Roman" w:hAnsi="Times New Roman" w:eastAsia="黑体"/>
          <w:b/>
          <w:i w:val="0"/>
          <w:sz w:val="32"/>
        </w:rPr>
        <w:t>摘  要</w:t>
      </w:r>
    </w:p>
    <w:p>
      <w:pPr>
        <w:spacing w:after="0" w:line="240" w:lineRule="auto"/>
        <w:ind w:firstLine="480"/>
      </w:pPr>
      <w:r>
        <w:rPr>
          <w:rFonts w:ascii="Times New Roman" w:hAnsi="Times New Roman" w:eastAsia="宋体"/>
          <w:b w:val="0"/>
          <w:i w:val="0"/>
          <w:sz w:val="24"/>
        </w:rPr>
        <w:t>AI 算力规模持续扩张，数据中心电费与碳排放成为运营大头，算电协同要求算力负荷与电力系统实时联动、跨区域优化。本文按“统计预测—碳感知调度—储能协同—全局优化”逐层展开。</w:t>
      </w:r>
    </w:p>
    <w:p>
      <w:pPr>
        <w:spacing w:after="0" w:line="240" w:lineRule="auto"/>
        <w:ind w:firstLine="480"/>
      </w:pPr>
      <w:r>
        <w:rPr>
          <w:rFonts w:ascii="Times New Roman" w:hAnsi="Times New Roman" w:eastAsia="宋体"/>
          <w:b w:val="0"/>
          <w:i w:val="0"/>
          <w:sz w:val="24"/>
        </w:rPr>
        <w:t>针对问题一，用统计与泊松拟合分析任务到达规律，比较常数均值、AR(2) 与梯度提升树三种预测并给出 90% 区间，再以 GPU 容量为硬约束构建基础调度模型。梯度提升树在 2376–2399 小时 MAPE 10.06%、区间覆盖率 91.7%；最后 24 小时 538 个任务全部按时调度，迁移率 2.8%、零延后。</w:t>
      </w:r>
    </w:p>
    <w:p>
      <w:pPr>
        <w:spacing w:after="0" w:line="240" w:lineRule="auto"/>
        <w:ind w:firstLine="480"/>
      </w:pPr>
      <w:r>
        <w:rPr>
          <w:rFonts w:ascii="Times New Roman" w:hAnsi="Times New Roman" w:eastAsia="宋体"/>
          <w:b w:val="0"/>
          <w:i w:val="0"/>
          <w:sz w:val="24"/>
        </w:rPr>
        <w:t>针对问题二，以任务迁移区域与开工时段为决策变量，建立加权综合评分下的碳感知滚动窗口调度模型（WCRS），用 8 组权重生成方案并经 Pareto 筛选。5 万个任务全部调度、0 违规；新能源利用率由 32.8% 升至 68.8%，碳排放降至 160.7 tCO₂。</w:t>
      </w:r>
    </w:p>
    <w:p>
      <w:pPr>
        <w:spacing w:after="0" w:line="240" w:lineRule="auto"/>
        <w:ind w:firstLine="480"/>
      </w:pPr>
      <w:r>
        <w:rPr>
          <w:rFonts w:ascii="Times New Roman" w:hAnsi="Times New Roman" w:eastAsia="宋体"/>
          <w:b w:val="0"/>
          <w:i w:val="0"/>
          <w:sz w:val="24"/>
        </w:rPr>
        <w:t>针对问题三，给定负荷下建立六区域独立的储能协同 MILP 模型并精确求解。相对无储能，储能使成本再降 9.4%，峰值净购电降至 -568.4 MW，净购电波动 MAD 降至 0.5 MW；容量敏感性表明储能容量已近饱和。</w:t>
      </w:r>
    </w:p>
    <w:p>
      <w:pPr>
        <w:spacing w:after="0" w:line="240" w:lineRule="auto"/>
        <w:ind w:firstLine="480"/>
      </w:pPr>
      <w:r>
        <w:rPr>
          <w:rFonts w:ascii="Times New Roman" w:hAnsi="Times New Roman" w:eastAsia="宋体"/>
          <w:b w:val="0"/>
          <w:i w:val="0"/>
          <w:sz w:val="24"/>
        </w:rPr>
        <w:t>针对问题四，以边际供应栈耦合任务调度层与能源—储能层，覆盖 20 个场景。全部场景任务完整调度、0 违规，成本由 +18.0 亿转为 -4.59 亿、碳排放降为 0；新能源减少 20% 时系统失去零购电运行点，碳排存在约 1 630 tCO₂ 下限。</w:t>
      </w:r>
    </w:p>
    <w:p>
      <w:pPr>
        <w:spacing w:after="0" w:line="240" w:lineRule="auto"/>
        <w:ind w:firstLine="480"/>
      </w:pPr>
      <w:r>
        <w:rPr>
          <w:rFonts w:ascii="Times New Roman" w:hAnsi="Times New Roman" w:eastAsia="宋体"/>
          <w:b w:val="0"/>
          <w:i w:val="0"/>
          <w:sz w:val="24"/>
        </w:rPr>
        <w:t>容量与效率敏感性分析验证了模型稳健性；方法可推广至多能互补园区与虚拟电厂等场景。</w:t>
      </w:r>
    </w:p>
    <w:p>
      <w:pPr>
        <w:spacing w:after="80"/>
      </w:pPr>
      <w:r>
        <w:rPr>
          <w:rFonts w:ascii="Times New Roman" w:hAnsi="Times New Roman" w:eastAsia="黑体"/>
          <w:b/>
          <w:i w:val="0"/>
          <w:sz w:val="28"/>
        </w:rPr>
        <w:t>关键词</w:t>
      </w:r>
      <w:r>
        <w:rPr>
          <w:rFonts w:ascii="Times New Roman" w:hAnsi="Times New Roman" w:eastAsia="宋体"/>
          <w:b w:val="0"/>
          <w:i w:val="0"/>
          <w:sz w:val="24"/>
        </w:rPr>
        <w:t>：算电协同；多目标优化；滚动时域调度；储能协同；双层协同优化</w:t>
      </w:r>
    </w:p>
    <w:p>
      <w:r>
        <w:br w:type="page"/>
      </w:r>
    </w:p>
    <w:p>
      <w:pPr>
        <w:spacing w:before="240" w:after="240"/>
        <w:jc w:val="center"/>
      </w:pPr>
      <w:r>
        <w:rPr>
          <w:rFonts w:ascii="Times New Roman" w:hAnsi="Times New Roman" w:eastAsia="黑体"/>
          <w:b/>
          <w:i w:val="0"/>
          <w:sz w:val="32"/>
        </w:rPr>
        <w:t>目 录</w:t>
      </w:r>
    </w:p>
    <w:p>
      <w:r>
        <w:fldChar w:fldCharType="begin"/>
        <w:instrText xml:space="preserve">TOC \o "1-3" \h \z \u</w:instrText>
        <w:fldChar w:fldCharType="separate"/>
        <w:t>（目录将自动生成：在 Word 中按 Ctrl+A 后按 F9 更新域）</w:t>
        <w:fldChar w:fldCharType="end"/>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宋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小时。逐时任务到达数的均值方差比约为 1.032，符合泊松分布“均值≈方差”的特征；逐时 GPU 需求总量与 GPU-hour 需求的方差则显著大于均值（过离散），但两类序列的一阶自相关均接近于 0，说明不存在显著的短期记忆或强周期成分。因此预测建模应关注近期观测信息与时变特征，并保留对需求波动的风险刻画能力，以避免末端时段容量饱和导致任务无法安排。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20 个对比场景（含新能源减少场景下的碳约束组合），分析策略对参数变化的敏感性。</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宋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000"/>
        <w:gridCol w:w="4600"/>
        <w:gridCol w:w="2472"/>
      </w:tblGrid>
      <w:tr>
        <w:trPr>
          <w:tblHeader/>
        </w:trPr>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4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符号意义</w:t>
            </w:r>
          </w:p>
        </w:tc>
        <w:tc>
          <w:tcPr>
            <w:tcW w:type="dxa" w:w="2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备注/单位</w:t>
            </w:r>
          </w:p>
        </w:tc>
      </w:tr>
      <w:tr>
        <w:tc>
          <w:tcPr>
            <w:tcW w:type="dxa" w:w="2000"/>
            <w:vAlign w:val="center"/>
          </w:tcPr>
          <w:p>
            <w:pPr>
              <w:spacing w:before="20" w:after="20" w:line="240" w:lineRule="auto"/>
              <w:jc w:val="left"/>
            </w:pPr>
            <w:r>
              <w:rPr>
                <w:rFonts w:ascii="Times New Roman" w:hAnsi="Times New Roman" w:eastAsia="宋体"/>
                <w:b w:val="0"/>
                <w:i w:val="0"/>
                <w:sz w:val="18"/>
              </w:rPr>
              <w:t>r / t</w:t>
            </w:r>
          </w:p>
        </w:tc>
        <w:tc>
          <w:tcPr>
            <w:tcW w:type="dxa" w:w="4600"/>
            <w:vAlign w:val="center"/>
          </w:tcPr>
          <w:p>
            <w:pPr>
              <w:spacing w:before="20" w:after="20" w:line="240" w:lineRule="auto"/>
              <w:jc w:val="center"/>
            </w:pPr>
            <w:r>
              <w:rPr>
                <w:rFonts w:ascii="Times New Roman" w:hAnsi="Times New Roman" w:eastAsia="宋体"/>
                <w:b w:val="0"/>
                <w:i w:val="0"/>
                <w:sz w:val="18"/>
              </w:rPr>
              <w:t>区域索引（A–F）/ 时段索引（0–2406）</w:t>
            </w:r>
          </w:p>
        </w:tc>
        <w:tc>
          <w:tcPr>
            <w:tcW w:type="dxa" w:w="2472"/>
            <w:vAlign w:val="center"/>
          </w:tcPr>
          <w:p>
            <w:pPr>
              <w:spacing w:before="20" w:after="20" w:line="240" w:lineRule="auto"/>
              <w:jc w:val="center"/>
            </w:pPr>
            <w:r>
              <w:rPr>
                <w:rFonts w:ascii="Times New Roman" w:hAnsi="Times New Roman" w:eastAsia="宋体"/>
                <w:b w:val="0"/>
                <w:i w:val="0"/>
                <w:sz w:val="18"/>
              </w:rPr>
              <w:t>— / h</w:t>
            </w:r>
          </w:p>
        </w:tc>
      </w:tr>
      <w:tr>
        <w:tc>
          <w:tcPr>
            <w:tcW w:type="dxa" w:w="2000"/>
            <w:vAlign w:val="center"/>
          </w:tcPr>
          <w:p>
            <w:pPr>
              <w:spacing w:before="20" w:after="20" w:line="240" w:lineRule="auto"/>
              <w:jc w:val="left"/>
            </w:pPr>
            <w:r>
              <w:rPr>
                <w:rFonts w:ascii="Times New Roman" w:hAnsi="Times New Roman" w:eastAsia="宋体"/>
                <w:b w:val="0"/>
                <w:i w:val="0"/>
                <w:sz w:val="18"/>
              </w:rPr>
              <w:t>i</w:t>
            </w:r>
          </w:p>
        </w:tc>
        <w:tc>
          <w:tcPr>
            <w:tcW w:type="dxa" w:w="4600"/>
            <w:vAlign w:val="center"/>
          </w:tcPr>
          <w:p>
            <w:pPr>
              <w:spacing w:before="20" w:after="20" w:line="240" w:lineRule="auto"/>
              <w:jc w:val="center"/>
            </w:pPr>
            <w:r>
              <w:rPr>
                <w:rFonts w:ascii="Times New Roman" w:hAnsi="Times New Roman" w:eastAsia="宋体"/>
                <w:b w:val="0"/>
                <w:i w:val="0"/>
                <w:sz w:val="18"/>
              </w:rPr>
              <w:t>任务索引</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g_i</w:t>
            </w:r>
          </w:p>
        </w:tc>
        <w:tc>
          <w:tcPr>
            <w:tcW w:type="dxa" w:w="4600"/>
            <w:vAlign w:val="center"/>
          </w:tcPr>
          <w:p>
            <w:pPr>
              <w:spacing w:before="20" w:after="20" w:line="240" w:lineRule="auto"/>
              <w:jc w:val="center"/>
            </w:pPr>
            <w:r>
              <w:rPr>
                <w:rFonts w:ascii="Times New Roman" w:hAnsi="Times New Roman" w:eastAsia="宋体"/>
                <w:b w:val="0"/>
                <w:i w:val="0"/>
                <w:sz w:val="18"/>
              </w:rPr>
              <w:t>任务 GPU 需求</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d_i</w:t>
            </w:r>
          </w:p>
        </w:tc>
        <w:tc>
          <w:tcPr>
            <w:tcW w:type="dxa" w:w="4600"/>
            <w:vAlign w:val="center"/>
          </w:tcPr>
          <w:p>
            <w:pPr>
              <w:spacing w:before="20" w:after="20" w:line="240" w:lineRule="auto"/>
              <w:jc w:val="center"/>
            </w:pPr>
            <w:r>
              <w:rPr>
                <w:rFonts w:ascii="Times New Roman" w:hAnsi="Times New Roman" w:eastAsia="宋体"/>
                <w:b w:val="0"/>
                <w:i w:val="0"/>
                <w:sz w:val="18"/>
              </w:rPr>
              <w:t>任务执行时长</w:t>
            </w:r>
          </w:p>
        </w:tc>
        <w:tc>
          <w:tcPr>
            <w:tcW w:type="dxa" w:w="2472"/>
            <w:vAlign w:val="center"/>
          </w:tcPr>
          <w:p>
            <w:pPr>
              <w:spacing w:before="20" w:after="20" w:line="240" w:lineRule="auto"/>
              <w:jc w:val="center"/>
            </w:pPr>
            <w:r>
              <w:rPr>
                <w:rFonts w:ascii="Times New Roman" w:hAnsi="Times New Roman" w:eastAsia="宋体"/>
                <w:b w:val="0"/>
                <w:i w:val="0"/>
                <w:sz w:val="18"/>
              </w:rPr>
              <w:t>h</w:t>
            </w:r>
          </w:p>
        </w:tc>
      </w:tr>
      <w:tr>
        <w:tc>
          <w:tcPr>
            <w:tcW w:type="dxa" w:w="2000"/>
            <w:vAlign w:val="center"/>
          </w:tcPr>
          <w:p>
            <w:pPr>
              <w:spacing w:before="20" w:after="20" w:line="240" w:lineRule="auto"/>
              <w:jc w:val="left"/>
            </w:pPr>
            <w:r>
              <w:rPr>
                <w:rFonts w:ascii="Times New Roman" w:hAnsi="Times New Roman" w:eastAsia="宋体"/>
                <w:b w:val="0"/>
                <w:i w:val="0"/>
                <w:sz w:val="18"/>
              </w:rPr>
              <w:t>l_i / L_i</w:t>
            </w:r>
          </w:p>
        </w:tc>
        <w:tc>
          <w:tcPr>
            <w:tcW w:type="dxa" w:w="4600"/>
            <w:vAlign w:val="center"/>
          </w:tcPr>
          <w:p>
            <w:pPr>
              <w:spacing w:before="20" w:after="20" w:line="240" w:lineRule="auto"/>
              <w:jc w:val="center"/>
            </w:pPr>
            <w:r>
              <w:rPr>
                <w:rFonts w:ascii="Times New Roman" w:hAnsi="Times New Roman" w:eastAsia="宋体"/>
                <w:b w:val="0"/>
                <w:i w:val="0"/>
                <w:sz w:val="18"/>
              </w:rPr>
              <w:t>最大可接受时延 / 最晚完成时刻</w:t>
            </w:r>
          </w:p>
        </w:tc>
        <w:tc>
          <w:tcPr>
            <w:tcW w:type="dxa" w:w="2472"/>
            <w:vAlign w:val="center"/>
          </w:tcPr>
          <w:p>
            <w:pPr>
              <w:spacing w:before="20" w:after="20" w:line="240" w:lineRule="auto"/>
              <w:jc w:val="center"/>
            </w:pPr>
            <w:r>
              <w:rPr>
                <w:rFonts w:ascii="Times New Roman" w:hAnsi="Times New Roman" w:eastAsia="宋体"/>
                <w:b w:val="0"/>
                <w:i w:val="0"/>
                <w:sz w:val="18"/>
              </w:rPr>
              <w:t>ms / h</w:t>
            </w:r>
          </w:p>
        </w:tc>
      </w:tr>
      <w:tr>
        <w:tc>
          <w:tcPr>
            <w:tcW w:type="dxa" w:w="2000"/>
            <w:vAlign w:val="center"/>
          </w:tcPr>
          <w:p>
            <w:pPr>
              <w:spacing w:before="20" w:after="20" w:line="240" w:lineRule="auto"/>
              <w:jc w:val="left"/>
            </w:pPr>
            <w:r>
              <w:rPr>
                <w:rFonts w:ascii="Times New Roman" w:hAnsi="Times New Roman" w:eastAsia="宋体"/>
                <w:b w:val="0"/>
                <w:i w:val="0"/>
                <w:sz w:val="18"/>
              </w:rPr>
              <w:t>x_i,r,s</w:t>
            </w:r>
          </w:p>
        </w:tc>
        <w:tc>
          <w:tcPr>
            <w:tcW w:type="dxa" w:w="4600"/>
            <w:vAlign w:val="center"/>
          </w:tcPr>
          <w:p>
            <w:pPr>
              <w:spacing w:before="20" w:after="20" w:line="240" w:lineRule="auto"/>
              <w:jc w:val="center"/>
            </w:pPr>
            <w:r>
              <w:rPr>
                <w:rFonts w:ascii="Times New Roman" w:hAnsi="Times New Roman" w:eastAsia="宋体"/>
                <w:b w:val="0"/>
                <w:i w:val="0"/>
                <w:sz w:val="18"/>
              </w:rPr>
              <w:t>任务 i 在区域 r、时段 s 开工的 0-1 变量</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h_i,t</w:t>
            </w:r>
          </w:p>
        </w:tc>
        <w:tc>
          <w:tcPr>
            <w:tcW w:type="dxa" w:w="4600"/>
            <w:vAlign w:val="center"/>
          </w:tcPr>
          <w:p>
            <w:pPr>
              <w:spacing w:before="20" w:after="20" w:line="240" w:lineRule="auto"/>
              <w:jc w:val="center"/>
            </w:pPr>
            <w:r>
              <w:rPr>
                <w:rFonts w:ascii="Times New Roman" w:hAnsi="Times New Roman" w:eastAsia="宋体"/>
                <w:b w:val="0"/>
                <w:i w:val="0"/>
                <w:sz w:val="18"/>
              </w:rPr>
              <w:t>任务 i 在时段 t 的重叠系数</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Available_GPU(r)</w:t>
            </w:r>
          </w:p>
        </w:tc>
        <w:tc>
          <w:tcPr>
            <w:tcW w:type="dxa" w:w="4600"/>
            <w:vAlign w:val="center"/>
          </w:tcPr>
          <w:p>
            <w:pPr>
              <w:spacing w:before="20" w:after="20" w:line="240" w:lineRule="auto"/>
              <w:jc w:val="center"/>
            </w:pPr>
            <w:r>
              <w:rPr>
                <w:rFonts w:ascii="Times New Roman" w:hAnsi="Times New Roman" w:eastAsia="宋体"/>
                <w:b w:val="0"/>
                <w:i w:val="0"/>
                <w:sz w:val="18"/>
              </w:rPr>
              <w:t>区域可调度 GPU 容量</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PUE(r)</w:t>
            </w:r>
          </w:p>
        </w:tc>
        <w:tc>
          <w:tcPr>
            <w:tcW w:type="dxa" w:w="4600"/>
            <w:vAlign w:val="center"/>
          </w:tcPr>
          <w:p>
            <w:pPr>
              <w:spacing w:before="20" w:after="20" w:line="240" w:lineRule="auto"/>
              <w:jc w:val="center"/>
            </w:pPr>
            <w:r>
              <w:rPr>
                <w:rFonts w:ascii="Times New Roman" w:hAnsi="Times New Roman" w:eastAsia="宋体"/>
                <w:b w:val="0"/>
                <w:i w:val="0"/>
                <w:sz w:val="18"/>
              </w:rPr>
              <w:t>区域能源使用效率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AI_IT_Load(r,t) / IT_Load(r,t)</w:t>
            </w:r>
          </w:p>
        </w:tc>
        <w:tc>
          <w:tcPr>
            <w:tcW w:type="dxa" w:w="4600"/>
            <w:vAlign w:val="center"/>
          </w:tcPr>
          <w:p>
            <w:pPr>
              <w:spacing w:before="20" w:after="20" w:line="240" w:lineRule="auto"/>
              <w:jc w:val="center"/>
            </w:pPr>
            <w:r>
              <w:rPr>
                <w:rFonts w:ascii="Times New Roman" w:hAnsi="Times New Roman" w:eastAsia="宋体"/>
                <w:b w:val="0"/>
                <w:i w:val="0"/>
                <w:sz w:val="18"/>
              </w:rPr>
              <w:t>AI 任务 IT 负荷 / 总 IT 负荷</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Total_Load(r,t)</w:t>
            </w:r>
          </w:p>
        </w:tc>
        <w:tc>
          <w:tcPr>
            <w:tcW w:type="dxa" w:w="4600"/>
            <w:vAlign w:val="center"/>
          </w:tcPr>
          <w:p>
            <w:pPr>
              <w:spacing w:before="20" w:after="20" w:line="240" w:lineRule="auto"/>
              <w:jc w:val="center"/>
            </w:pPr>
            <w:r>
              <w:rPr>
                <w:rFonts w:ascii="Times New Roman" w:hAnsi="Times New Roman" w:eastAsia="宋体"/>
                <w:b w:val="0"/>
                <w:i w:val="0"/>
                <w:sz w:val="18"/>
              </w:rPr>
              <w:t>设施侧负荷（=IT×PUE）</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G_buy(r,t) / G_sell(r,t)</w:t>
            </w:r>
          </w:p>
        </w:tc>
        <w:tc>
          <w:tcPr>
            <w:tcW w:type="dxa" w:w="4600"/>
            <w:vAlign w:val="center"/>
          </w:tcPr>
          <w:p>
            <w:pPr>
              <w:spacing w:before="20" w:after="20" w:line="240" w:lineRule="auto"/>
              <w:jc w:val="center"/>
            </w:pPr>
            <w:r>
              <w:rPr>
                <w:rFonts w:ascii="Times New Roman" w:hAnsi="Times New Roman" w:eastAsia="宋体"/>
                <w:b w:val="0"/>
                <w:i w:val="0"/>
                <w:sz w:val="18"/>
              </w:rPr>
              <w:t>电网购电 / 外送功率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R_use(r,t) / Curt(r,t)</w:t>
            </w:r>
          </w:p>
        </w:tc>
        <w:tc>
          <w:tcPr>
            <w:tcW w:type="dxa" w:w="4600"/>
            <w:vAlign w:val="center"/>
          </w:tcPr>
          <w:p>
            <w:pPr>
              <w:spacing w:before="20" w:after="20" w:line="240" w:lineRule="auto"/>
              <w:jc w:val="center"/>
            </w:pPr>
            <w:r>
              <w:rPr>
                <w:rFonts w:ascii="Times New Roman" w:hAnsi="Times New Roman" w:eastAsia="宋体"/>
                <w:b w:val="0"/>
                <w:i w:val="0"/>
                <w:sz w:val="18"/>
              </w:rPr>
              <w:t>新能源直接消纳 / 弃电功率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R_ch(r,t) / G_ch(r,t)</w:t>
            </w:r>
          </w:p>
        </w:tc>
        <w:tc>
          <w:tcPr>
            <w:tcW w:type="dxa" w:w="4600"/>
            <w:vAlign w:val="center"/>
          </w:tcPr>
          <w:p>
            <w:pPr>
              <w:spacing w:before="20" w:after="20" w:line="240" w:lineRule="auto"/>
              <w:jc w:val="center"/>
            </w:pPr>
            <w:r>
              <w:rPr>
                <w:rFonts w:ascii="Times New Roman" w:hAnsi="Times New Roman" w:eastAsia="宋体"/>
                <w:b w:val="0"/>
                <w:i w:val="0"/>
                <w:sz w:val="18"/>
              </w:rPr>
              <w:t>新能源充电 / 电网充电功率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P_ch(r,t) / P_dis(r,t)</w:t>
            </w:r>
          </w:p>
        </w:tc>
        <w:tc>
          <w:tcPr>
            <w:tcW w:type="dxa" w:w="4600"/>
            <w:vAlign w:val="center"/>
          </w:tcPr>
          <w:p>
            <w:pPr>
              <w:spacing w:before="20" w:after="20" w:line="240" w:lineRule="auto"/>
              <w:jc w:val="center"/>
            </w:pPr>
            <w:r>
              <w:rPr>
                <w:rFonts w:ascii="Times New Roman" w:hAnsi="Times New Roman" w:eastAsia="宋体"/>
                <w:b w:val="0"/>
                <w:i w:val="0"/>
                <w:sz w:val="18"/>
              </w:rPr>
              <w:t>储能充电 / 放电功率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SOC(r,t)</w:t>
            </w:r>
          </w:p>
        </w:tc>
        <w:tc>
          <w:tcPr>
            <w:tcW w:type="dxa" w:w="4600"/>
            <w:vAlign w:val="center"/>
          </w:tcPr>
          <w:p>
            <w:pPr>
              <w:spacing w:before="20" w:after="20" w:line="240" w:lineRule="auto"/>
              <w:jc w:val="center"/>
            </w:pPr>
            <w:r>
              <w:rPr>
                <w:rFonts w:ascii="Times New Roman" w:hAnsi="Times New Roman" w:eastAsia="宋体"/>
                <w:b w:val="0"/>
                <w:i w:val="0"/>
                <w:sz w:val="18"/>
              </w:rPr>
              <w:t>储能时段末荷电状态</w:t>
            </w:r>
          </w:p>
        </w:tc>
        <w:tc>
          <w:tcPr>
            <w:tcW w:type="dxa" w:w="2472"/>
            <w:vAlign w:val="center"/>
          </w:tcPr>
          <w:p>
            <w:pPr>
              <w:spacing w:before="20" w:after="20" w:line="240" w:lineRule="auto"/>
              <w:jc w:val="center"/>
            </w:pPr>
            <w:r>
              <w:rPr>
                <w:rFonts w:ascii="Times New Roman" w:hAnsi="Times New Roman" w:eastAsia="宋体"/>
                <w:b w:val="0"/>
                <w:i w:val="0"/>
                <w:sz w:val="18"/>
              </w:rPr>
              <w:t>MWh</w:t>
            </w:r>
          </w:p>
        </w:tc>
      </w:tr>
      <w:tr>
        <w:tc>
          <w:tcPr>
            <w:tcW w:type="dxa" w:w="2000"/>
            <w:vAlign w:val="center"/>
          </w:tcPr>
          <w:p>
            <w:pPr>
              <w:spacing w:before="20" w:after="20" w:line="240" w:lineRule="auto"/>
              <w:jc w:val="left"/>
            </w:pPr>
            <w:r>
              <w:rPr>
                <w:rFonts w:ascii="Times New Roman" w:hAnsi="Times New Roman" w:eastAsia="宋体"/>
                <w:b w:val="0"/>
                <w:i w:val="0"/>
                <w:sz w:val="18"/>
              </w:rPr>
              <w:t>ηc / ηd</w:t>
            </w:r>
          </w:p>
        </w:tc>
        <w:tc>
          <w:tcPr>
            <w:tcW w:type="dxa" w:w="4600"/>
            <w:vAlign w:val="center"/>
          </w:tcPr>
          <w:p>
            <w:pPr>
              <w:spacing w:before="20" w:after="20" w:line="240" w:lineRule="auto"/>
              <w:jc w:val="center"/>
            </w:pPr>
            <w:r>
              <w:rPr>
                <w:rFonts w:ascii="Times New Roman" w:hAnsi="Times New Roman" w:eastAsia="宋体"/>
                <w:b w:val="0"/>
                <w:i w:val="0"/>
                <w:sz w:val="18"/>
              </w:rPr>
              <w:t>储能充 / 放电效率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ElectricityPrice(r,t)</w:t>
            </w:r>
          </w:p>
        </w:tc>
        <w:tc>
          <w:tcPr>
            <w:tcW w:type="dxa" w:w="4600"/>
            <w:vAlign w:val="center"/>
          </w:tcPr>
          <w:p>
            <w:pPr>
              <w:spacing w:before="20" w:after="20" w:line="240" w:lineRule="auto"/>
              <w:jc w:val="center"/>
            </w:pPr>
            <w:r>
              <w:rPr>
                <w:rFonts w:ascii="Times New Roman" w:hAnsi="Times New Roman" w:eastAsia="宋体"/>
                <w:b w:val="0"/>
                <w:i w:val="0"/>
                <w:sz w:val="18"/>
              </w:rPr>
              <w:t>购电价格</w:t>
            </w:r>
          </w:p>
        </w:tc>
        <w:tc>
          <w:tcPr>
            <w:tcW w:type="dxa" w:w="2472"/>
            <w:vAlign w:val="center"/>
          </w:tcPr>
          <w:p>
            <w:pPr>
              <w:spacing w:before="20" w:after="20" w:line="240" w:lineRule="auto"/>
              <w:jc w:val="center"/>
            </w:pPr>
            <w:r>
              <w:rPr>
                <w:rFonts w:ascii="Times New Roman" w:hAnsi="Times New Roman" w:eastAsia="宋体"/>
                <w:b w:val="0"/>
                <w:i w:val="0"/>
                <w:sz w:val="18"/>
              </w:rPr>
              <w:t>元/MWh</w:t>
            </w:r>
          </w:p>
        </w:tc>
      </w:tr>
      <w:tr>
        <w:tc>
          <w:tcPr>
            <w:tcW w:type="dxa" w:w="2000"/>
            <w:vAlign w:val="center"/>
          </w:tcPr>
          <w:p>
            <w:pPr>
              <w:spacing w:before="20" w:after="20" w:line="240" w:lineRule="auto"/>
              <w:jc w:val="left"/>
            </w:pPr>
            <w:r>
              <w:rPr>
                <w:rFonts w:ascii="Times New Roman" w:hAnsi="Times New Roman" w:eastAsia="宋体"/>
                <w:b w:val="0"/>
                <w:i w:val="0"/>
                <w:sz w:val="18"/>
              </w:rPr>
              <w:t>CarbonIntensity(r,t)</w:t>
            </w:r>
          </w:p>
        </w:tc>
        <w:tc>
          <w:tcPr>
            <w:tcW w:type="dxa" w:w="4600"/>
            <w:vAlign w:val="center"/>
          </w:tcPr>
          <w:p>
            <w:pPr>
              <w:spacing w:before="20" w:after="20" w:line="240" w:lineRule="auto"/>
              <w:jc w:val="center"/>
            </w:pPr>
            <w:r>
              <w:rPr>
                <w:rFonts w:ascii="Times New Roman" w:hAnsi="Times New Roman" w:eastAsia="宋体"/>
                <w:b w:val="0"/>
                <w:i w:val="0"/>
                <w:sz w:val="18"/>
              </w:rPr>
              <w:t>电网碳强度</w:t>
            </w:r>
          </w:p>
        </w:tc>
        <w:tc>
          <w:tcPr>
            <w:tcW w:type="dxa" w:w="2472"/>
            <w:vAlign w:val="center"/>
          </w:tcPr>
          <w:p>
            <w:pPr>
              <w:spacing w:before="20" w:after="20" w:line="240" w:lineRule="auto"/>
              <w:jc w:val="center"/>
            </w:pPr>
            <w:r>
              <w:rPr>
                <w:rFonts w:ascii="Times New Roman" w:hAnsi="Times New Roman" w:eastAsia="宋体"/>
                <w:b w:val="0"/>
                <w:i w:val="0"/>
                <w:sz w:val="18"/>
              </w:rPr>
              <w:t>tCO₂/MWh</w:t>
            </w:r>
          </w:p>
        </w:tc>
      </w:tr>
      <w:tr>
        <w:tc>
          <w:tcPr>
            <w:tcW w:type="dxa" w:w="2000"/>
            <w:vAlign w:val="center"/>
          </w:tcPr>
          <w:p>
            <w:pPr>
              <w:spacing w:before="20" w:after="20" w:line="240" w:lineRule="auto"/>
              <w:jc w:val="left"/>
            </w:pPr>
            <w:r>
              <w:rPr>
                <w:rFonts w:ascii="Times New Roman" w:hAnsi="Times New Roman" w:eastAsia="宋体"/>
                <w:b w:val="0"/>
                <w:i w:val="0"/>
                <w:sz w:val="18"/>
              </w:rPr>
              <w:t>NetGridImport(r,t)</w:t>
            </w:r>
          </w:p>
        </w:tc>
        <w:tc>
          <w:tcPr>
            <w:tcW w:type="dxa" w:w="4600"/>
            <w:vAlign w:val="center"/>
          </w:tcPr>
          <w:p>
            <w:pPr>
              <w:spacing w:before="20" w:after="20" w:line="240" w:lineRule="auto"/>
              <w:jc w:val="center"/>
            </w:pPr>
            <w:r>
              <w:rPr>
                <w:rFonts w:ascii="Times New Roman" w:hAnsi="Times New Roman" w:eastAsia="宋体"/>
                <w:b w:val="0"/>
                <w:i w:val="0"/>
                <w:sz w:val="18"/>
              </w:rPr>
              <w:t>净购电功率（购电−外送）</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个任务按区域与类型进行统计：三类任务数量近乎均衡（各占约三分之一），来源区域以东三区与西部算力中心为主。对逐时任务到达数进行统计分析，其均值方差比约为 1.032、一阶自相关接近于 0，近似服从泊松分布；逐时 GPU 需求总量与 GPU-hour 需求的方差显著大于均值（过离散），但一阶自相关同样接近于 0，无明显趋势与周期记忆成分。上述特性表明短期预测应以近期观测信息与时变特征为主，无需引入复杂的长期记忆模型，这也为后续选择梯度提升树等监督学习模型提供了依据。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宋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宋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宋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宋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宋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宋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宋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宋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宋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宋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宋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宋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宋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 50 000/50 000 个任务的完整调度、调度率 100%，无时延、时限与容量违规，结果如表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宋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-45 910.1</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-390.4</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-45 908.4</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12.20</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-38.3</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-45 909.9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15.97</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-31.4</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-186.3</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-45 916.7</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-45 904.2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-384.4</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-45 911.2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18.17</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-393.8</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-384/-394 MW），且与综合权衡的成本差异不足 7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宋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碳约束场景复用综合权衡调度、仅重解能源层，考察碳预算对能源运行的影响。基准（新能源 1.0×）下四种碳上限（0、200、1 000、5 000 tCO₂）的实际碳排均为 0，净运行成本与新能源利用率几乎不变（表 12），碳约束均为非紧约束，说明“零购电”运行点已天然满足任意不高于 5 000 tCO₂ 的碳预算。而在新能源出力减少 20% 的场景下，系统存在约 1 630 tCO₂ 的碳排可行下限：碳上限 1 000/200 tCO₂ 时输出最低碳解（碳排 1 629.8 tCO₂），碳上限 5 000 tCO₂ 时碳排升至 1 658.8 tCO₂、成本略降，低于下限则判定不可满足。这说明碳约束机制在新能源不足、购电无法归零的场景下才会发挥实际约束作用。</w:t>
      </w:r>
    </w:p>
    <w:p>
      <w:pPr>
        <w:spacing w:before="160" w:after="60"/>
        <w:jc w:val="center"/>
      </w:pPr>
      <w:r>
        <w:rPr>
          <w:rFonts w:ascii="Times New Roman" w:hAnsi="Times New Roman" w:eastAsia="宋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基准 1.0×：0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新能源 0.8×：1 000/200</w:t>
            </w:r>
          </w:p>
        </w:tc>
        <w:tc>
          <w:tcPr>
            <w:tcW w:type="dxa" w:w="1700"/>
            <w:vAlign w:val="center"/>
          </w:tcPr>
          <w:p>
            <w:pPr>
              <w:spacing w:before="20" w:after="20" w:line="240" w:lineRule="auto"/>
              <w:jc w:val="center"/>
            </w:pPr>
            <w:r>
              <w:rPr>
                <w:rFonts w:ascii="Times New Roman" w:hAnsi="Times New Roman" w:eastAsia="宋体"/>
                <w:b w:val="0"/>
                <w:i w:val="0"/>
                <w:sz w:val="18"/>
              </w:rPr>
              <w:t>1 629.8</w:t>
            </w:r>
          </w:p>
        </w:tc>
        <w:tc>
          <w:tcPr>
            <w:tcW w:type="dxa" w:w="2100"/>
            <w:vAlign w:val="center"/>
          </w:tcPr>
          <w:p>
            <w:pPr>
              <w:spacing w:before="20" w:after="20" w:line="240" w:lineRule="auto"/>
              <w:jc w:val="center"/>
            </w:pPr>
            <w:r>
              <w:rPr>
                <w:rFonts w:ascii="Times New Roman" w:hAnsi="Times New Roman" w:eastAsia="宋体"/>
                <w:b w:val="0"/>
                <w:i w:val="0"/>
                <w:sz w:val="18"/>
              </w:rPr>
              <w:t>-43 080.3</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+274.0</w:t>
            </w:r>
          </w:p>
        </w:tc>
      </w:tr>
      <w:tr>
        <w:tc>
          <w:tcPr>
            <w:tcW w:type="dxa" w:w="1900"/>
            <w:vAlign w:val="center"/>
          </w:tcPr>
          <w:p>
            <w:pPr>
              <w:spacing w:before="20" w:after="20" w:line="240" w:lineRule="auto"/>
              <w:jc w:val="left"/>
            </w:pPr>
            <w:r>
              <w:rPr>
                <w:rFonts w:ascii="Times New Roman" w:hAnsi="Times New Roman" w:eastAsia="宋体"/>
                <w:b w:val="0"/>
                <w:i w:val="0"/>
                <w:sz w:val="18"/>
              </w:rPr>
              <w:t>新能源 0.8×：5 000</w:t>
            </w:r>
          </w:p>
        </w:tc>
        <w:tc>
          <w:tcPr>
            <w:tcW w:type="dxa" w:w="1700"/>
            <w:vAlign w:val="center"/>
          </w:tcPr>
          <w:p>
            <w:pPr>
              <w:spacing w:before="20" w:after="20" w:line="240" w:lineRule="auto"/>
              <w:jc w:val="center"/>
            </w:pPr>
            <w:r>
              <w:rPr>
                <w:rFonts w:ascii="Times New Roman" w:hAnsi="Times New Roman" w:eastAsia="宋体"/>
                <w:b w:val="0"/>
                <w:i w:val="0"/>
                <w:sz w:val="18"/>
              </w:rPr>
              <w:t>1 658.8</w:t>
            </w:r>
          </w:p>
        </w:tc>
        <w:tc>
          <w:tcPr>
            <w:tcW w:type="dxa" w:w="2100"/>
            <w:vAlign w:val="center"/>
          </w:tcPr>
          <w:p>
            <w:pPr>
              <w:spacing w:before="20" w:after="20" w:line="240" w:lineRule="auto"/>
              <w:jc w:val="center"/>
            </w:pPr>
            <w:r>
              <w:rPr>
                <w:rFonts w:ascii="Times New Roman" w:hAnsi="Times New Roman" w:eastAsia="宋体"/>
                <w:b w:val="0"/>
                <w:i w:val="0"/>
                <w:sz w:val="18"/>
              </w:rPr>
              <w:t>-43 132.2</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+100.3</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13）表明价格信号对调度行为影响有限（成本差异不足 9 万元）；固定电价消除了峰谷价差、储能套利动机减弱，个别时段出现少量购电（购电 84 MWh、碳排 19.8 tCO₂），说明电价结构是储能经济性与零购电运行点的支撑条件之一；碳价并入购电成本后因边际碳排已为 0 而不改变策略。</w:t>
      </w:r>
    </w:p>
    <w:p>
      <w:pPr>
        <w:spacing w:before="160" w:after="60"/>
        <w:jc w:val="center"/>
      </w:pPr>
      <w:r>
        <w:rPr>
          <w:rFonts w:ascii="Times New Roman" w:hAnsi="Times New Roman" w:eastAsia="宋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-45 910.1</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-390.4</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-45 901.9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-377.5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-45 904.7</w:t>
            </w:r>
          </w:p>
        </w:tc>
        <w:tc>
          <w:tcPr>
            <w:tcW w:type="dxa" w:w="1600"/>
            <w:vAlign w:val="center"/>
          </w:tcPr>
          <w:p>
            <w:pPr>
              <w:spacing w:before="20" w:after="20" w:line="240" w:lineRule="auto"/>
              <w:jc w:val="center"/>
            </w:pPr>
            <w:r>
              <w:rPr>
                <w:rFonts w:ascii="Times New Roman" w:hAnsi="Times New Roman" w:eastAsia="宋体"/>
                <w:b w:val="0"/>
                <w:i w:val="0"/>
                <w:sz w:val="18"/>
              </w:rPr>
              <w:t>19.8</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-382.5</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-45 903.8</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-383.7</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-4.27 亿元、碳排放升至 1 769 tCO₂、峰值净购电转为 +152 MW 的正向购电峰值，储能充电量激增至约 25.3 万 MWh（约为基准的 5 倍），调度侧更多向西部迁移（迁移比例升至 40.8%）；在修复机制下 50 000 个任务仍全部完成调度。可用出力增加 20% 进一步压低成本与峰值（-620 MW），但利用率口径下降（可用总量增大、外送受上限约束、弃电增加），说明新能源增容需与外送、储能扩容共同评估。</w:t>
      </w:r>
    </w:p>
    <w:p>
      <w:pPr>
        <w:spacing w:before="160" w:after="60"/>
        <w:jc w:val="center"/>
      </w:pPr>
      <w:r>
        <w:rPr>
          <w:rFonts w:ascii="Times New Roman" w:hAnsi="Times New Roman" w:eastAsia="宋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-42 696.9</w:t>
            </w:r>
          </w:p>
        </w:tc>
        <w:tc>
          <w:tcPr>
            <w:tcW w:type="dxa" w:w="1300"/>
            <w:vAlign w:val="center"/>
          </w:tcPr>
          <w:p>
            <w:pPr>
              <w:spacing w:before="20" w:after="20" w:line="240" w:lineRule="auto"/>
              <w:jc w:val="center"/>
            </w:pPr>
            <w:r>
              <w:rPr>
                <w:rFonts w:ascii="Times New Roman" w:hAnsi="Times New Roman" w:eastAsia="宋体"/>
                <w:b w:val="0"/>
                <w:i w:val="0"/>
                <w:sz w:val="18"/>
              </w:rPr>
              <w:t>1 769.4</w:t>
            </w:r>
          </w:p>
        </w:tc>
        <w:tc>
          <w:tcPr>
            <w:tcW w:type="dxa" w:w="1200"/>
            <w:vAlign w:val="center"/>
          </w:tcPr>
          <w:p>
            <w:pPr>
              <w:spacing w:before="20" w:after="20" w:line="240" w:lineRule="auto"/>
              <w:jc w:val="center"/>
            </w:pPr>
            <w:r>
              <w:rPr>
                <w:rFonts w:ascii="Times New Roman" w:hAnsi="Times New Roman" w:eastAsia="宋体"/>
                <w:b w:val="0"/>
                <w:i w:val="0"/>
                <w:sz w:val="18"/>
              </w:rPr>
              <w:t>18.44</w:t>
            </w:r>
          </w:p>
        </w:tc>
        <w:tc>
          <w:tcPr>
            <w:tcW w:type="dxa" w:w="1300"/>
            <w:vAlign w:val="center"/>
          </w:tcPr>
          <w:p>
            <w:pPr>
              <w:spacing w:before="20" w:after="20" w:line="240" w:lineRule="auto"/>
              <w:jc w:val="center"/>
            </w:pPr>
            <w:r>
              <w:rPr>
                <w:rFonts w:ascii="Times New Roman" w:hAnsi="Times New Roman" w:eastAsia="宋体"/>
                <w:b w:val="0"/>
                <w:i w:val="0"/>
                <w:sz w:val="18"/>
              </w:rPr>
              <w:t>85.5%</w:t>
            </w:r>
          </w:p>
        </w:tc>
        <w:tc>
          <w:tcPr>
            <w:tcW w:type="dxa" w:w="1272"/>
            <w:vAlign w:val="center"/>
          </w:tcPr>
          <w:p>
            <w:pPr>
              <w:spacing w:before="20" w:after="20" w:line="240" w:lineRule="auto"/>
              <w:jc w:val="center"/>
            </w:pPr>
            <w:r>
              <w:rPr>
                <w:rFonts w:ascii="Times New Roman" w:hAnsi="Times New Roman" w:eastAsia="宋体"/>
                <w:b w:val="0"/>
                <w:i w:val="0"/>
                <w:sz w:val="18"/>
              </w:rPr>
              <w:t>+152.2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-45 910.1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14.43</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-390.4</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14.21</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宋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宋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20 个场景调度层（开工/完工/时延/GPU/IT/设施功率/重复调度）与电力层（新能源平衡/功率平衡/SOC/互斥/边界）约束全部校验通过，全部场景实现 50 000/50 000 个任务完整调度；上层调度生成的 AI 负荷与下层能源输入逐时一致，边际供应栈与最终能源方案自洽。</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七、模型评价与优化</w:t>
      </w:r>
    </w:p>
    <w:p>
      <w:pPr>
        <w:pStyle w:val="Heading2"/>
      </w:pPr>
      <w:r>
        <w:t>7.1 误差分析</w:t>
      </w:r>
    </w:p>
    <w:p>
      <w:pPr>
        <w:spacing w:after="0" w:line="240" w:lineRule="auto"/>
        <w:ind w:firstLine="480"/>
      </w:pPr>
      <w:r>
        <w:rPr>
          <w:rFonts w:ascii="Times New Roman" w:hAnsi="Times New Roman" w:eastAsia="宋体"/>
          <w:b w:val="0"/>
          <w:i w:val="0"/>
          <w:sz w:val="24"/>
        </w:rPr>
        <w:t>预测误差方面，梯度提升树在 2376–2399 小时最终测试窗口的 MAPE 为 10.06%，较常数均值（14.63%）与 AR(2)（14.41%）分别下降约 31.2% 与 30.2%，且预测残差近似服从零均值正态分布、无系统性偏差；90% 预测区间覆盖率为 91.7%，接近名义水平。调度与能源优化方面，问题二 8 种策略的约束违规数均为 0，问题三全部优化场景通过功率平衡、SOC 递推与边界校验，问题四 20 个场景的调度层与电力层约束逐项校验通过，最大数值残差均处于浮点噪声量级，模型求解精度可靠。</w:t>
      </w:r>
    </w:p>
    <w:p>
      <w:pPr>
        <w:pStyle w:val="Heading2"/>
      </w:pPr>
      <w:r>
        <w:t>7.2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7.3 模型缺点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pStyle w:val="Heading2"/>
      </w:pPr>
      <w:r>
        <w:t>7.4 模型推广</w:t>
      </w:r>
    </w:p>
    <w:p>
      <w:pPr>
        <w:spacing w:after="0" w:line="240" w:lineRule="auto"/>
        <w:ind w:firstLine="480"/>
      </w:pPr>
      <w:r>
        <w:rPr>
          <w:rFonts w:ascii="Times New Roman" w:hAnsi="Times New Roman" w:eastAsia="宋体"/>
          <w:b w:val="0"/>
          <w:i w:val="0"/>
          <w:sz w:val="24"/>
        </w:rPr>
        <w:t>本文提出的“统计预测—碳感知调度—储能协同—双层协同优化”方法链具有较强的通用性，可推广至以下场景：其一，多能互补园区，将冷热电联供与储能纳入统一优化，实现多能源品种的协同调度；其二，虚拟电厂，将分布式算力、储能与新能源聚合参与电力市场，本文的边际供应栈思想可直接用于报价与调度决策；其三，算力网络与东数西算工程，结合真实网络时延与电价曲线进行跨区域算力调度；其四，结合问题一预测模型开展随机规划与滚动鲁棒优化，应对新能源预测误差；其五，面向碳交易市场，将碳价与碳约束动态纳入调度模型，评估不同碳政策下的系统响应。</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jc w:val="center"/>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