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반품·교환 정책 2026</w:t>
      </w:r>
    </w:p>
    <w:p>
      <w:r>
        <w:t>반품 가능 기간은 구매일로부터 30일입니다.</w:t>
      </w:r>
    </w:p>
    <w:p>
      <w:r>
        <w:t>반품 대상 상품은 미개봉, 미사용, 재판매 가능 상태여야 하며 원본 영수증을 함께 제출해야 합니다.</w:t>
      </w:r>
    </w:p>
    <w:p>
      <w:r>
        <w:t>훼손되었거나 변경된 상품은 반품 대상이 아닙니다.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