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고객응대 매뉴얼</w:t>
      </w:r>
    </w:p>
    <w:p>
      <w:r>
        <w:t>일반 문의의 최초 응답 목표는 영업일 기준 4시간 이내입니다.</w:t>
      </w:r>
    </w:p>
    <w:p>
      <w:r>
        <w:t>반품 문의는 승인된 반품·교환 정책을 기준으로 안내합니다.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