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 사업운영방침</w:t>
      </w:r>
    </w:p>
    <w:p>
      <w:r>
        <w:t>한빛유통은 거래처·상품·주문 식별자를 기준으로 영업과 물류 데이터를 연결합니다.</w:t>
      </w:r>
    </w:p>
    <w:p>
      <w:r>
        <w:t>운영 판단에는 승인된 마스터와 당일 재고 현황을 사용합니다.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지표</w:t>
            </w:r>
          </w:p>
        </w:tc>
        <w:tc>
          <w:tcPr>
            <w:tcW w:type="dxa" w:w="4320"/>
          </w:tcPr>
          <w:p>
            <w:r>
              <w:t>2026 기준</w:t>
            </w:r>
          </w:p>
        </w:tc>
      </w:tr>
      <w:tr>
        <w:tc>
          <w:tcPr>
            <w:tcW w:type="dxa" w:w="4320"/>
          </w:tcPr>
          <w:p>
            <w:r>
              <w:t>주문 기준</w:t>
            </w:r>
          </w:p>
        </w:tc>
        <w:tc>
          <w:tcPr>
            <w:tcW w:type="dxa" w:w="4320"/>
          </w:tcPr>
          <w:p>
            <w:r>
              <w:t>주문원장_2026</w:t>
            </w:r>
          </w:p>
        </w:tc>
      </w:tr>
      <w:tr>
        <w:tc>
          <w:tcPr>
            <w:tcW w:type="dxa" w:w="4320"/>
          </w:tcPr>
          <w:p>
            <w:r>
              <w:t>재고 기준</w:t>
            </w:r>
          </w:p>
        </w:tc>
        <w:tc>
          <w:tcPr>
            <w:tcW w:type="dxa" w:w="4320"/>
          </w:tcPr>
          <w:p>
            <w:r>
              <w:t>재고현황_2026-09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