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Droid Sans" w:cs="Droid Sans" w:eastAsia="Droid Sans" w:hAnsi="Droid Sans"/>
          <w:b w:val="1"/>
          <w:color w:val="2d3b45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Impact of COVID-19 on Travel (CSCI E-101 Thanksgiving Challenge)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Ashwin Pillai, Syukri Shukor, Teena Thankachan</w:t>
      </w:r>
    </w:p>
    <w:p w:rsidR="00000000" w:rsidDel="00000000" w:rsidP="00000000" w:rsidRDefault="00000000" w:rsidRPr="00000000" w14:paraId="00000003">
      <w:pPr>
        <w:spacing w:before="120" w:line="240" w:lineRule="auto"/>
        <w:rPr>
          <w:rFonts w:ascii="Droid Sans" w:cs="Droid Sans" w:eastAsia="Droid Sans" w:hAnsi="Droid Sans"/>
          <w:b w:val="1"/>
          <w:color w:val="2d3b45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Research Question(s)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20" w:line="240" w:lineRule="auto"/>
        <w:ind w:left="720" w:hanging="360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Did COVID-19 impact domestic travel during the Thanksgiving holiday in 2021.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How does TSA traveler throughput compare between Pre-COVID (2019), Peak-COVID (2020) and Current (2021)?</w:t>
      </w:r>
    </w:p>
    <w:p w:rsidR="00000000" w:rsidDel="00000000" w:rsidP="00000000" w:rsidRDefault="00000000" w:rsidRPr="00000000" w14:paraId="00000006">
      <w:pPr>
        <w:spacing w:before="120" w:line="240" w:lineRule="auto"/>
        <w:rPr>
          <w:rFonts w:ascii="Droid Sans" w:cs="Droid Sans" w:eastAsia="Droid Sans" w:hAnsi="Droid Sans"/>
          <w:color w:val="2d3b45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Hypotheses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We hypothesize that there is a difference in domestic travel in 2021 compared to 2019 and 2020.</w:t>
      </w:r>
    </w:p>
    <w:p w:rsidR="00000000" w:rsidDel="00000000" w:rsidP="00000000" w:rsidRDefault="00000000" w:rsidRPr="00000000" w14:paraId="00000008">
      <w:pPr>
        <w:spacing w:before="120" w:line="240" w:lineRule="auto"/>
        <w:rPr>
          <w:rFonts w:ascii="Droid Sans" w:cs="Droid Sans" w:eastAsia="Droid Sans" w:hAnsi="Droid Sans"/>
          <w:b w:val="1"/>
          <w:color w:val="2d3b45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Data Source(s)</w:t>
      </w:r>
    </w:p>
    <w:p w:rsidR="00000000" w:rsidDel="00000000" w:rsidP="00000000" w:rsidRDefault="00000000" w:rsidRPr="00000000" w14:paraId="00000009">
      <w:pPr>
        <w:spacing w:before="120" w:line="240" w:lineRule="auto"/>
        <w:rPr>
          <w:rFonts w:ascii="Calibri" w:cs="Calibri" w:eastAsia="Calibri" w:hAnsi="Calibri"/>
          <w:color w:val="2d3b45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We obtained a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 from </w:t>
      </w:r>
      <w:hyperlink r:id="rId7">
        <w:r w:rsidDel="00000000" w:rsidR="00000000" w:rsidRPr="00000000">
          <w:rPr>
            <w:rFonts w:ascii="Calibri" w:cs="Calibri" w:eastAsia="Calibri" w:hAnsi="Calibri"/>
            <w:color w:val="2d3b45"/>
            <w:highlight w:val="white"/>
            <w:u w:val="single"/>
            <w:rtl w:val="0"/>
          </w:rPr>
          <w:t xml:space="preserve">https://www.tsa.gov/coronavirus/passenger-throughput</w:t>
        </w:r>
      </w:hyperlink>
      <w:r w:rsidDel="00000000" w:rsidR="00000000" w:rsidRPr="00000000">
        <w:rPr>
          <w:rFonts w:ascii="Calibri" w:cs="Calibri" w:eastAsia="Calibri" w:hAnsi="Calibri"/>
          <w:color w:val="2d3b45"/>
          <w:highlight w:val="white"/>
          <w:rtl w:val="0"/>
        </w:rPr>
        <w:t xml:space="preserve"> comparing daily TSA traveler throughput from 11th Nov 2020 - 29th Nov 2021.</w:t>
      </w:r>
    </w:p>
    <w:p w:rsidR="00000000" w:rsidDel="00000000" w:rsidP="00000000" w:rsidRDefault="00000000" w:rsidRPr="00000000" w14:paraId="0000000A">
      <w:pPr>
        <w:spacing w:before="120" w:line="240" w:lineRule="auto"/>
        <w:rPr>
          <w:rFonts w:ascii="Droid Sans" w:cs="Droid Sans" w:eastAsia="Droid Sans" w:hAnsi="Droid Sans"/>
          <w:b w:val="1"/>
          <w:color w:val="2d3b45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0B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Links are provided to the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Markdown</w:t>
        </w:r>
      </w:hyperlink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 and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Python</w:t>
        </w:r>
      </w:hyperlink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 files. We defined Thanksgiving as the last 2 weeks of November. For early data analysis, we plotted the slopes of daily TSA travelers in 2019, 2020, and 2021 during Thanksgiving with Spotfire in </w:t>
      </w:r>
      <w:r w:rsidDel="00000000" w:rsidR="00000000" w:rsidRPr="00000000">
        <w:rPr>
          <w:rFonts w:ascii="Calibri" w:cs="Calibri" w:eastAsia="Calibri" w:hAnsi="Calibri"/>
          <w:b w:val="1"/>
          <w:color w:val="2d3b45"/>
          <w:rtl w:val="0"/>
        </w:rPr>
        <w:t xml:space="preserve">Figure 1 (</w:t>
      </w: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Figures can be found in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Supplementary</w:t>
        </w:r>
      </w:hyperlink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We then performed an ANOVA and pairwise two-tailed Independent t-Test comparing daily travel from 15th - 30th Nov in 2021, 2020, and 2019. The null hypothesis was that there is no difference between the 2 years compared. </w:t>
      </w:r>
    </w:p>
    <w:p w:rsidR="00000000" w:rsidDel="00000000" w:rsidP="00000000" w:rsidRDefault="00000000" w:rsidRPr="00000000" w14:paraId="0000000D">
      <w:pPr>
        <w:spacing w:before="120" w:line="240" w:lineRule="auto"/>
        <w:rPr>
          <w:rFonts w:ascii="Calibri" w:cs="Calibri" w:eastAsia="Calibri" w:hAnsi="Calibri"/>
          <w:color w:val="2d3b45"/>
          <w:u w:val="single"/>
        </w:rPr>
      </w:pPr>
      <w:r w:rsidDel="00000000" w:rsidR="00000000" w:rsidRPr="00000000">
        <w:rPr>
          <w:rFonts w:ascii="Droid Sans" w:cs="Droid Sans" w:eastAsia="Droid Sans" w:hAnsi="Droid Sans"/>
          <w:b w:val="1"/>
          <w:color w:val="2d3b45"/>
          <w:sz w:val="24"/>
          <w:szCs w:val="24"/>
          <w:rtl w:val="0"/>
        </w:rPr>
        <w:t xml:space="preserve">Findings &amp;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="240" w:lineRule="auto"/>
        <w:rPr>
          <w:rFonts w:ascii="Calibri" w:cs="Calibri" w:eastAsia="Calibri" w:hAnsi="Calibri"/>
          <w:color w:val="2d3b45"/>
          <w:u w:val="single"/>
        </w:rPr>
      </w:pPr>
      <w:r w:rsidDel="00000000" w:rsidR="00000000" w:rsidRPr="00000000">
        <w:rPr>
          <w:rFonts w:ascii="Calibri" w:cs="Calibri" w:eastAsia="Calibri" w:hAnsi="Calibri"/>
          <w:color w:val="2d3b45"/>
          <w:u w:val="single"/>
          <w:rtl w:val="0"/>
        </w:rPr>
        <w:t xml:space="preserve">One-Way ANOVA</w:t>
      </w:r>
    </w:p>
    <w:p w:rsidR="00000000" w:rsidDel="00000000" w:rsidP="00000000" w:rsidRDefault="00000000" w:rsidRPr="00000000" w14:paraId="0000000F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We did a one-way ANOVA test  and observed p-value &lt;.05,this implies that there is a significant difference between the 3 groups.</w:t>
      </w:r>
    </w:p>
    <w:p w:rsidR="00000000" w:rsidDel="00000000" w:rsidP="00000000" w:rsidRDefault="00000000" w:rsidRPr="00000000" w14:paraId="00000010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b w:val="1"/>
          <w:color w:val="2d3b45"/>
          <w:rtl w:val="0"/>
        </w:rPr>
        <w:t xml:space="preserve">Anova Result (p-value) is </w:t>
      </w:r>
      <w:r w:rsidDel="00000000" w:rsidR="00000000" w:rsidRPr="00000000">
        <w:rPr>
          <w:rFonts w:ascii="Calibri" w:cs="Calibri" w:eastAsia="Calibri" w:hAnsi="Calibri"/>
          <w:b w:val="1"/>
          <w:color w:val="2d3b45"/>
          <w:sz w:val="21"/>
          <w:szCs w:val="21"/>
          <w:highlight w:val="white"/>
          <w:rtl w:val="0"/>
        </w:rPr>
        <w:t xml:space="preserve">1.4605962861436873e-18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40" w:lineRule="auto"/>
        <w:jc w:val="center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</w:rPr>
        <w:drawing>
          <wp:inline distB="114300" distT="114300" distL="114300" distR="114300">
            <wp:extent cx="4176713" cy="8926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892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Looking at the Multicompare p-value which is &lt;0.05 outputs we do see that the domestic travel in 2021 is significantly different from 2019 and 2020.</w:t>
      </w:r>
    </w:p>
    <w:p w:rsidR="00000000" w:rsidDel="00000000" w:rsidP="00000000" w:rsidRDefault="00000000" w:rsidRPr="00000000" w14:paraId="00000013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u w:val="single"/>
          <w:rtl w:val="0"/>
        </w:rPr>
        <w:t xml:space="preserve">Two-tailed t-Test</w:t>
      </w:r>
      <w:r w:rsidDel="00000000" w:rsidR="00000000" w:rsidRPr="00000000">
        <w:rPr>
          <w:rtl w:val="0"/>
        </w:rPr>
      </w:r>
    </w:p>
    <w:tbl>
      <w:tblPr>
        <w:tblStyle w:val="Table1"/>
        <w:tblW w:w="34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1740"/>
        <w:tblGridChange w:id="0">
          <w:tblGrid>
            <w:gridCol w:w="1755"/>
            <w:gridCol w:w="1740"/>
          </w:tblGrid>
        </w:tblGridChange>
      </w:tblGrid>
      <w:tr>
        <w:trPr>
          <w:cantSplit w:val="0"/>
          <w:trHeight w:val="14.399999999999999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d3b45"/>
                <w:sz w:val="18"/>
                <w:szCs w:val="18"/>
                <w:rtl w:val="0"/>
              </w:rPr>
              <w:t xml:space="preserve">Years Compared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d3b45"/>
                <w:sz w:val="18"/>
                <w:szCs w:val="18"/>
                <w:rtl w:val="0"/>
              </w:rPr>
              <w:t xml:space="preserve">P-value (99% C.I)</w:t>
            </w:r>
          </w:p>
        </w:tc>
      </w:tr>
      <w:tr>
        <w:trPr>
          <w:cantSplit w:val="0"/>
          <w:trHeight w:val="14.399999999999999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2021 vs 2020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2.017e-12</w:t>
            </w:r>
          </w:p>
        </w:tc>
      </w:tr>
      <w:tr>
        <w:trPr>
          <w:cantSplit w:val="0"/>
          <w:trHeight w:val="14.399999999999999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2021 vs 2019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0.015</w:t>
            </w:r>
          </w:p>
        </w:tc>
      </w:tr>
      <w:tr>
        <w:trPr>
          <w:cantSplit w:val="0"/>
          <w:trHeight w:val="14.399999999999999" w:hRule="atLeast"/>
          <w:tblHeader w:val="0"/>
        </w:trP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2020 vs 2019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2d3b45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d3b45"/>
                <w:sz w:val="16"/>
                <w:szCs w:val="16"/>
                <w:rtl w:val="0"/>
              </w:rPr>
              <w:t xml:space="preserve">1.4e-14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240" w:lineRule="auto"/>
        <w:rPr>
          <w:rFonts w:ascii="Calibri" w:cs="Calibri" w:eastAsia="Calibri" w:hAnsi="Calibri"/>
          <w:color w:val="2d3b45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Supported visually by </w:t>
      </w:r>
      <w:r w:rsidDel="00000000" w:rsidR="00000000" w:rsidRPr="00000000">
        <w:rPr>
          <w:rFonts w:ascii="Calibri" w:cs="Calibri" w:eastAsia="Calibri" w:hAnsi="Calibri"/>
          <w:b w:val="1"/>
          <w:color w:val="2d3b45"/>
          <w:rtl w:val="0"/>
        </w:rPr>
        <w:t xml:space="preserve">Figure 2 (</w:t>
      </w: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Figures can be found in </w:t>
      </w: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Supplementary</w:t>
        </w:r>
      </w:hyperlink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1"/>
          <w:color w:val="2d3b45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2021 Thanksgiving travel was significantly higher than 2020, but is significantly lower than 2019 (p-values &lt;0.05). 2020 travel was significantly lower than 2021 and 2019. Therefore, we reject the null hypothesis that there is no difference in Thanksgiving travel in 2019-2021.</w:t>
      </w:r>
    </w:p>
    <w:p w:rsidR="00000000" w:rsidDel="00000000" w:rsidP="00000000" w:rsidRDefault="00000000" w:rsidRPr="00000000" w14:paraId="0000001D">
      <w:pPr>
        <w:spacing w:before="120" w:line="240" w:lineRule="auto"/>
        <w:rPr>
          <w:rFonts w:ascii="Droid Sans" w:cs="Droid Sans" w:eastAsia="Droid Sans" w:hAnsi="Droid Sans"/>
          <w:b w:val="1"/>
          <w:color w:val="2d3b45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d3b45"/>
          <w:rtl w:val="0"/>
        </w:rPr>
        <w:t xml:space="preserve">In conclusion, using 2019 as baseline, travel was worse during peak-COVID and is recovering in 2021. Both ANOVA T-Test results suggest that 2021 travel during Thanksgiving was not as impacted as COVID as it was in 2020, and is almost comparable to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docs.google.com/document/d/1T27RY0T2f6KajUS78404DsOMo-NmkoXYgLHQWrc_udU/edit?usp=sharing" TargetMode="External"/><Relationship Id="rId12" Type="http://schemas.openxmlformats.org/officeDocument/2006/relationships/hyperlink" Target="https://docs.google.com/document/d/1T27RY0T2f6KajUS78404DsOMo-NmkoXYgLHQWrc_udU/edit?usp=sharing" TargetMode="External"/><Relationship Id="rId9" Type="http://schemas.openxmlformats.org/officeDocument/2006/relationships/hyperlink" Target="https://drive.google.com/file/d/1gABpd5lUl5a4Nr_NIKjr--ZKKcdejB33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94yVQ6AdW3btXIK_t3LvhCKEi2praUGM/edit?usp=sharing&amp;ouid=102670333289286460218&amp;rtpof=true&amp;sd=true" TargetMode="External"/><Relationship Id="rId7" Type="http://schemas.openxmlformats.org/officeDocument/2006/relationships/hyperlink" Target="https://www.tsa.gov/coronavirus/passenger-throughput" TargetMode="External"/><Relationship Id="rId8" Type="http://schemas.openxmlformats.org/officeDocument/2006/relationships/hyperlink" Target="https://drive.google.com/file/d/18J9yp6u_dwESE46O1QhS29NmaT8UO-7u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