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7D7E9" w14:textId="35308536" w:rsidR="00F846B2" w:rsidRPr="009E3603" w:rsidRDefault="009E3603" w:rsidP="009E3603">
      <w:pPr>
        <w:jc w:val="center"/>
        <w:rPr>
          <w:b/>
        </w:rPr>
      </w:pPr>
      <w:r w:rsidRPr="009E3603">
        <w:rPr>
          <w:b/>
        </w:rPr>
        <w:t>Point-by-</w:t>
      </w:r>
      <w:r w:rsidR="009C3314">
        <w:rPr>
          <w:b/>
        </w:rPr>
        <w:t>P</w:t>
      </w:r>
      <w:r w:rsidRPr="009E3603">
        <w:rPr>
          <w:b/>
        </w:rPr>
        <w:t>oint Reply</w:t>
      </w:r>
    </w:p>
    <w:p w14:paraId="60D240EA" w14:textId="77777777" w:rsidR="009C3314" w:rsidRDefault="009C3314"/>
    <w:p w14:paraId="6372E5ED" w14:textId="1BF25B77" w:rsidR="00CC21E5" w:rsidRPr="009C3314" w:rsidRDefault="009C3314">
      <w:pPr>
        <w:rPr>
          <w:i/>
          <w:sz w:val="22"/>
          <w:szCs w:val="22"/>
        </w:rPr>
      </w:pPr>
      <w:r w:rsidRPr="009C3314">
        <w:rPr>
          <w:i/>
          <w:sz w:val="22"/>
          <w:szCs w:val="22"/>
        </w:rPr>
        <w:t>Our responses are given in red below, whereas changes made to the manuscript are given in blue in the revised version.</w:t>
      </w:r>
    </w:p>
    <w:p w14:paraId="217348C1" w14:textId="77777777" w:rsidR="009C3314" w:rsidRDefault="009C3314"/>
    <w:p w14:paraId="0C138FC3" w14:textId="5D897A87" w:rsidR="009E2FA8" w:rsidRPr="009E2FA8" w:rsidRDefault="00CC21E5" w:rsidP="009E2FA8">
      <w:pPr>
        <w:rPr>
          <w:rFonts w:eastAsia="Times New Roman"/>
          <w:i/>
          <w:color w:val="000000"/>
          <w:sz w:val="22"/>
          <w:szCs w:val="22"/>
        </w:rPr>
      </w:pPr>
      <w:r w:rsidRPr="00CC21E5">
        <w:rPr>
          <w:rFonts w:eastAsia="Times New Roman"/>
          <w:color w:val="000000"/>
          <w:sz w:val="22"/>
          <w:szCs w:val="22"/>
          <w:shd w:val="clear" w:color="auto" w:fill="FFFFFF"/>
        </w:rPr>
        <w:t>Reviewer 1 Comments: </w:t>
      </w:r>
      <w:r w:rsidRPr="00CC21E5">
        <w:rPr>
          <w:rFonts w:eastAsia="Times New Roman"/>
          <w:color w:val="000000"/>
          <w:sz w:val="22"/>
          <w:szCs w:val="22"/>
        </w:rPr>
        <w:br/>
      </w:r>
      <w:r w:rsidRPr="00CC21E5">
        <w:rPr>
          <w:rFonts w:eastAsia="Times New Roman"/>
          <w:color w:val="000000"/>
          <w:sz w:val="22"/>
          <w:szCs w:val="22"/>
        </w:rPr>
        <w:br/>
      </w:r>
      <w:r w:rsidRPr="00CC21E5">
        <w:rPr>
          <w:rFonts w:eastAsia="Times New Roman"/>
          <w:color w:val="000000"/>
          <w:sz w:val="22"/>
          <w:szCs w:val="22"/>
          <w:shd w:val="clear" w:color="auto" w:fill="FFFFFF"/>
        </w:rPr>
        <w:t>This manuscript evaluates the performance of the effective fragment potential for</w:t>
      </w:r>
      <w:r>
        <w:rPr>
          <w:rFonts w:eastAsia="Times New Roman"/>
          <w:color w:val="000000"/>
          <w:sz w:val="22"/>
          <w:szCs w:val="22"/>
          <w:shd w:val="clear" w:color="auto" w:fill="FFFFFF"/>
        </w:rPr>
        <w:t xml:space="preserve"> </w:t>
      </w:r>
      <w:r w:rsidRPr="00CC21E5">
        <w:rPr>
          <w:rFonts w:eastAsia="Times New Roman"/>
          <w:color w:val="000000"/>
          <w:sz w:val="22"/>
          <w:szCs w:val="22"/>
          <w:shd w:val="clear" w:color="auto" w:fill="FFFFFF"/>
        </w:rPr>
        <w:t xml:space="preserve">the intermolecular interactions in ionic liquids by comparing the results term by term to results from symmetry adapted perturbation theory (SAPT). The authors employ two model IL families based on imidazolium and </w:t>
      </w:r>
      <w:proofErr w:type="spellStart"/>
      <w:r w:rsidRPr="00CC21E5">
        <w:rPr>
          <w:rFonts w:eastAsia="Times New Roman"/>
          <w:color w:val="000000"/>
          <w:sz w:val="22"/>
          <w:szCs w:val="22"/>
          <w:shd w:val="clear" w:color="auto" w:fill="FFFFFF"/>
        </w:rPr>
        <w:t>pyrrolidinium</w:t>
      </w:r>
      <w:proofErr w:type="spellEnd"/>
      <w:r w:rsidRPr="00CC21E5">
        <w:rPr>
          <w:rFonts w:eastAsia="Times New Roman"/>
          <w:color w:val="000000"/>
          <w:sz w:val="22"/>
          <w:szCs w:val="22"/>
          <w:shd w:val="clear" w:color="auto" w:fill="FFFFFF"/>
        </w:rPr>
        <w:t xml:space="preserve"> based </w:t>
      </w:r>
      <w:proofErr w:type="spellStart"/>
      <w:r w:rsidRPr="00CC21E5">
        <w:rPr>
          <w:rFonts w:eastAsia="Times New Roman"/>
          <w:color w:val="000000"/>
          <w:sz w:val="22"/>
          <w:szCs w:val="22"/>
          <w:shd w:val="clear" w:color="auto" w:fill="FFFFFF"/>
        </w:rPr>
        <w:t>cations</w:t>
      </w:r>
      <w:proofErr w:type="spellEnd"/>
      <w:r w:rsidRPr="00CC21E5">
        <w:rPr>
          <w:rFonts w:eastAsia="Times New Roman"/>
          <w:color w:val="000000"/>
          <w:sz w:val="22"/>
          <w:szCs w:val="22"/>
          <w:shd w:val="clear" w:color="auto" w:fill="FFFFFF"/>
        </w:rPr>
        <w:t xml:space="preserve"> with eight different anions. Overall, this is a paper that presents interesting insights and should be suitable for publication after the issues below have been addressed: </w:t>
      </w:r>
      <w:r w:rsidRPr="00CC21E5">
        <w:rPr>
          <w:rFonts w:eastAsia="Times New Roman"/>
          <w:color w:val="000000"/>
          <w:sz w:val="22"/>
          <w:szCs w:val="22"/>
        </w:rPr>
        <w:br/>
      </w:r>
      <w:r w:rsidRPr="00CC21E5">
        <w:rPr>
          <w:rFonts w:eastAsia="Times New Roman"/>
          <w:color w:val="000000"/>
          <w:sz w:val="22"/>
          <w:szCs w:val="22"/>
        </w:rPr>
        <w:br/>
      </w:r>
      <w:r w:rsidRPr="00CC21E5">
        <w:rPr>
          <w:rFonts w:eastAsia="Times New Roman"/>
          <w:color w:val="000000"/>
          <w:sz w:val="22"/>
          <w:szCs w:val="22"/>
          <w:shd w:val="clear" w:color="auto" w:fill="FFFFFF"/>
        </w:rPr>
        <w:t xml:space="preserve">The most important issue to be addressed is the term-by-term comparison. As stated by the authors in pp. 10 "Polarization in EFP is analogous to induction in SAPT with one exception. The SAPT </w:t>
      </w:r>
      <w:r>
        <w:rPr>
          <w:rFonts w:eastAsia="Times New Roman"/>
          <w:color w:val="000000"/>
          <w:sz w:val="22"/>
          <w:szCs w:val="22"/>
          <w:shd w:val="clear" w:color="auto" w:fill="FFFFFF"/>
        </w:rPr>
        <w:t>i</w:t>
      </w:r>
      <w:r w:rsidRPr="00CC21E5">
        <w:rPr>
          <w:rFonts w:eastAsia="Times New Roman"/>
          <w:color w:val="000000"/>
          <w:sz w:val="22"/>
          <w:szCs w:val="22"/>
          <w:shd w:val="clear" w:color="auto" w:fill="FFFFFF"/>
        </w:rPr>
        <w:t>nduction term also contains the charge-transfer energy ..." </w:t>
      </w:r>
      <w:r w:rsidRPr="00CC21E5">
        <w:rPr>
          <w:rFonts w:eastAsia="Times New Roman"/>
          <w:color w:val="000000"/>
          <w:sz w:val="22"/>
          <w:szCs w:val="22"/>
        </w:rPr>
        <w:br/>
      </w:r>
      <w:r w:rsidRPr="00CC21E5">
        <w:rPr>
          <w:rFonts w:eastAsia="Times New Roman"/>
          <w:color w:val="000000"/>
          <w:sz w:val="22"/>
          <w:szCs w:val="22"/>
          <w:shd w:val="clear" w:color="auto" w:fill="FFFFFF"/>
        </w:rPr>
        <w:t xml:space="preserve">Thus, SAPT does not separate the charge transfer, e.g. JCP, 140, 094106, 2014. Therefore, the one-to-one comparison for each of the second order terms is slightly misleading. Especially since there is not one single way to decompose the energy and EFP is based on a </w:t>
      </w:r>
      <w:proofErr w:type="spellStart"/>
      <w:r w:rsidRPr="00CC21E5">
        <w:rPr>
          <w:rFonts w:eastAsia="Times New Roman"/>
          <w:color w:val="000000"/>
          <w:sz w:val="22"/>
          <w:szCs w:val="22"/>
          <w:shd w:val="clear" w:color="auto" w:fill="FFFFFF"/>
        </w:rPr>
        <w:t>variational</w:t>
      </w:r>
      <w:proofErr w:type="spellEnd"/>
      <w:r w:rsidRPr="00CC21E5">
        <w:rPr>
          <w:rFonts w:eastAsia="Times New Roman"/>
          <w:color w:val="000000"/>
          <w:sz w:val="22"/>
          <w:szCs w:val="22"/>
          <w:shd w:val="clear" w:color="auto" w:fill="FFFFFF"/>
        </w:rPr>
        <w:t xml:space="preserve"> decomposition (not </w:t>
      </w:r>
      <w:proofErr w:type="spellStart"/>
      <w:r w:rsidRPr="00CC21E5">
        <w:rPr>
          <w:rFonts w:eastAsia="Times New Roman"/>
          <w:color w:val="000000"/>
          <w:sz w:val="22"/>
          <w:szCs w:val="22"/>
          <w:shd w:val="clear" w:color="auto" w:fill="FFFFFF"/>
        </w:rPr>
        <w:t>perturbational</w:t>
      </w:r>
      <w:proofErr w:type="spellEnd"/>
      <w:r w:rsidRPr="00CC21E5">
        <w:rPr>
          <w:rFonts w:eastAsia="Times New Roman"/>
          <w:color w:val="000000"/>
          <w:sz w:val="22"/>
          <w:szCs w:val="22"/>
          <w:shd w:val="clear" w:color="auto" w:fill="FFFFFF"/>
        </w:rPr>
        <w:t>). Therefore, it is recommended that the authors also compare the sum of the polarization and charge transfer from EFP to induction from SAPT, as well as provide a more thorough explanation of the errors in the total intermolecular interaction energy </w:t>
      </w:r>
      <w:r w:rsidRPr="00CC21E5">
        <w:rPr>
          <w:rFonts w:eastAsia="Times New Roman"/>
          <w:color w:val="000000"/>
          <w:sz w:val="22"/>
          <w:szCs w:val="22"/>
        </w:rPr>
        <w:br/>
      </w:r>
    </w:p>
    <w:p w14:paraId="4CC46CC0" w14:textId="4F8C8E5D" w:rsidR="009F29D3" w:rsidRDefault="00F846B2" w:rsidP="009E3603">
      <w:pPr>
        <w:jc w:val="both"/>
        <w:rPr>
          <w:rFonts w:eastAsia="Times New Roman"/>
          <w:color w:val="FF0000"/>
          <w:sz w:val="22"/>
          <w:szCs w:val="22"/>
        </w:rPr>
      </w:pPr>
      <w:r>
        <w:rPr>
          <w:rFonts w:eastAsia="Times New Roman"/>
          <w:color w:val="FF0000"/>
          <w:sz w:val="22"/>
          <w:szCs w:val="22"/>
        </w:rPr>
        <w:t xml:space="preserve"># </w:t>
      </w:r>
      <w:r w:rsidR="00CF706D" w:rsidRPr="00F846B2">
        <w:rPr>
          <w:rFonts w:eastAsia="Times New Roman"/>
          <w:color w:val="FF0000"/>
          <w:sz w:val="22"/>
          <w:szCs w:val="22"/>
        </w:rPr>
        <w:t xml:space="preserve">This is an important point raised. </w:t>
      </w:r>
      <w:r w:rsidR="00F82D08">
        <w:rPr>
          <w:rFonts w:eastAsia="Times New Roman"/>
          <w:color w:val="FF0000"/>
          <w:sz w:val="22"/>
          <w:szCs w:val="22"/>
        </w:rPr>
        <w:t>The reason for why the sum of the polarization and charge transfer terms from EFP were not directly compared to the SAPT induction comes from</w:t>
      </w:r>
      <w:r w:rsidR="00CF706D" w:rsidRPr="00F846B2">
        <w:rPr>
          <w:rFonts w:eastAsia="Times New Roman"/>
          <w:color w:val="FF0000"/>
          <w:sz w:val="22"/>
          <w:szCs w:val="22"/>
        </w:rPr>
        <w:t xml:space="preserve"> the fundamental difference </w:t>
      </w:r>
      <w:r w:rsidR="00F82D08">
        <w:rPr>
          <w:rFonts w:eastAsia="Times New Roman"/>
          <w:color w:val="FF0000"/>
          <w:sz w:val="22"/>
          <w:szCs w:val="22"/>
        </w:rPr>
        <w:t xml:space="preserve">in </w:t>
      </w:r>
      <w:r w:rsidR="00CF706D" w:rsidRPr="00F846B2">
        <w:rPr>
          <w:rFonts w:eastAsia="Times New Roman"/>
          <w:color w:val="FF0000"/>
          <w:sz w:val="22"/>
          <w:szCs w:val="22"/>
        </w:rPr>
        <w:t xml:space="preserve">definitions of the charge-transfer energy. </w:t>
      </w:r>
      <w:r w:rsidR="00F82D08">
        <w:rPr>
          <w:rFonts w:eastAsia="Times New Roman"/>
          <w:color w:val="FF0000"/>
          <w:sz w:val="22"/>
          <w:szCs w:val="22"/>
        </w:rPr>
        <w:t>In SAPT</w:t>
      </w:r>
      <w:r w:rsidR="00CA040B">
        <w:rPr>
          <w:rFonts w:eastAsia="Times New Roman"/>
          <w:color w:val="FF0000"/>
          <w:sz w:val="22"/>
          <w:szCs w:val="22"/>
        </w:rPr>
        <w:t>,</w:t>
      </w:r>
      <w:r w:rsidR="00F82D08">
        <w:rPr>
          <w:rFonts w:eastAsia="Times New Roman"/>
          <w:color w:val="FF0000"/>
          <w:sz w:val="22"/>
          <w:szCs w:val="22"/>
        </w:rPr>
        <w:t xml:space="preserve"> charge transfer is included </w:t>
      </w:r>
      <w:r w:rsidR="00FB56C7">
        <w:rPr>
          <w:rFonts w:eastAsia="Times New Roman"/>
          <w:color w:val="FF0000"/>
          <w:sz w:val="22"/>
          <w:szCs w:val="22"/>
        </w:rPr>
        <w:t>as part of induction and is basi</w:t>
      </w:r>
      <w:r w:rsidR="009E3603">
        <w:rPr>
          <w:rFonts w:eastAsia="Times New Roman"/>
          <w:color w:val="FF0000"/>
          <w:sz w:val="22"/>
          <w:szCs w:val="22"/>
        </w:rPr>
        <w:t>s set dependent</w:t>
      </w:r>
      <w:r w:rsidR="00FB56C7">
        <w:rPr>
          <w:rFonts w:eastAsia="Times New Roman"/>
          <w:color w:val="FF0000"/>
          <w:sz w:val="22"/>
          <w:szCs w:val="22"/>
        </w:rPr>
        <w:t xml:space="preserve">, vanishing in the </w:t>
      </w:r>
      <w:r w:rsidR="009E3603">
        <w:rPr>
          <w:rFonts w:eastAsia="Times New Roman"/>
          <w:color w:val="FF0000"/>
          <w:sz w:val="22"/>
          <w:szCs w:val="22"/>
        </w:rPr>
        <w:t>complete basis set</w:t>
      </w:r>
      <w:r w:rsidR="00FB56C7">
        <w:rPr>
          <w:rFonts w:eastAsia="Times New Roman"/>
          <w:color w:val="FF0000"/>
          <w:sz w:val="22"/>
          <w:szCs w:val="22"/>
        </w:rPr>
        <w:t xml:space="preserve"> limit. In contrast, induction does not depend on basis set.</w:t>
      </w:r>
    </w:p>
    <w:p w14:paraId="4EED1AFD" w14:textId="77777777" w:rsidR="00FB56C7" w:rsidRDefault="00FB56C7" w:rsidP="009E3603">
      <w:pPr>
        <w:jc w:val="both"/>
        <w:rPr>
          <w:rFonts w:eastAsia="Times New Roman"/>
          <w:color w:val="FF0000"/>
          <w:sz w:val="22"/>
          <w:szCs w:val="22"/>
        </w:rPr>
      </w:pPr>
    </w:p>
    <w:p w14:paraId="79313393" w14:textId="5F4BFF6D" w:rsidR="00FB56C7" w:rsidRPr="00F846B2" w:rsidRDefault="009E3603" w:rsidP="009E3603">
      <w:pPr>
        <w:jc w:val="both"/>
        <w:rPr>
          <w:rFonts w:eastAsia="Times New Roman"/>
          <w:color w:val="FF0000"/>
          <w:sz w:val="22"/>
          <w:szCs w:val="22"/>
        </w:rPr>
      </w:pPr>
      <w:r>
        <w:rPr>
          <w:rFonts w:eastAsia="Times New Roman"/>
          <w:color w:val="FF0000"/>
          <w:sz w:val="22"/>
          <w:szCs w:val="22"/>
        </w:rPr>
        <w:t xml:space="preserve">In the few cases </w:t>
      </w:r>
      <w:r w:rsidR="00F17BF3">
        <w:rPr>
          <w:rFonts w:eastAsia="Times New Roman"/>
          <w:color w:val="FF0000"/>
          <w:sz w:val="22"/>
          <w:szCs w:val="22"/>
        </w:rPr>
        <w:t xml:space="preserve">(mainly halides) </w:t>
      </w:r>
      <w:r>
        <w:rPr>
          <w:rFonts w:eastAsia="Times New Roman"/>
          <w:color w:val="FF0000"/>
          <w:sz w:val="22"/>
          <w:szCs w:val="22"/>
        </w:rPr>
        <w:t xml:space="preserve">that we managed to run SAPT2+3 with the </w:t>
      </w:r>
      <w:proofErr w:type="spellStart"/>
      <w:r>
        <w:rPr>
          <w:rFonts w:eastAsia="Times New Roman"/>
          <w:color w:val="FF0000"/>
          <w:sz w:val="22"/>
          <w:szCs w:val="22"/>
        </w:rPr>
        <w:t>aug</w:t>
      </w:r>
      <w:proofErr w:type="spellEnd"/>
      <w:r>
        <w:rPr>
          <w:rFonts w:eastAsia="Times New Roman"/>
          <w:color w:val="FF0000"/>
          <w:sz w:val="22"/>
          <w:szCs w:val="22"/>
        </w:rPr>
        <w:t>-cc-</w:t>
      </w:r>
      <w:proofErr w:type="spellStart"/>
      <w:r>
        <w:rPr>
          <w:rFonts w:eastAsia="Times New Roman"/>
          <w:color w:val="FF0000"/>
          <w:sz w:val="22"/>
          <w:szCs w:val="22"/>
        </w:rPr>
        <w:t>pVTZ</w:t>
      </w:r>
      <w:proofErr w:type="spellEnd"/>
      <w:r>
        <w:rPr>
          <w:rFonts w:eastAsia="Times New Roman"/>
          <w:color w:val="FF0000"/>
          <w:sz w:val="22"/>
          <w:szCs w:val="22"/>
        </w:rPr>
        <w:t xml:space="preserve"> basis set</w:t>
      </w:r>
      <w:r w:rsidR="004F1B41">
        <w:rPr>
          <w:rFonts w:eastAsia="Times New Roman"/>
          <w:color w:val="FF0000"/>
          <w:sz w:val="22"/>
          <w:szCs w:val="22"/>
        </w:rPr>
        <w:t>,</w:t>
      </w:r>
      <w:r>
        <w:rPr>
          <w:rFonts w:eastAsia="Times New Roman"/>
          <w:color w:val="FF0000"/>
          <w:sz w:val="22"/>
          <w:szCs w:val="22"/>
        </w:rPr>
        <w:t xml:space="preserve"> it was established that the </w:t>
      </w:r>
      <w:r w:rsidR="00FB56C7">
        <w:rPr>
          <w:rFonts w:eastAsia="Times New Roman"/>
          <w:color w:val="FF0000"/>
          <w:sz w:val="22"/>
          <w:szCs w:val="22"/>
        </w:rPr>
        <w:t xml:space="preserve">SAPT Induction </w:t>
      </w:r>
      <w:r w:rsidR="00595DF8">
        <w:rPr>
          <w:rFonts w:eastAsia="Times New Roman"/>
          <w:color w:val="FF0000"/>
          <w:sz w:val="22"/>
          <w:szCs w:val="22"/>
        </w:rPr>
        <w:t xml:space="preserve">interaction </w:t>
      </w:r>
      <w:r>
        <w:rPr>
          <w:rFonts w:eastAsia="Times New Roman"/>
          <w:color w:val="FF0000"/>
          <w:sz w:val="22"/>
          <w:szCs w:val="22"/>
        </w:rPr>
        <w:t>changed only marginally</w:t>
      </w:r>
      <w:r w:rsidR="00FB56C7">
        <w:rPr>
          <w:rFonts w:eastAsia="Times New Roman"/>
          <w:color w:val="FF0000"/>
          <w:sz w:val="22"/>
          <w:szCs w:val="22"/>
        </w:rPr>
        <w:t xml:space="preserve"> </w:t>
      </w:r>
      <w:r>
        <w:rPr>
          <w:rFonts w:eastAsia="Times New Roman"/>
          <w:color w:val="FF0000"/>
          <w:sz w:val="22"/>
          <w:szCs w:val="22"/>
        </w:rPr>
        <w:t xml:space="preserve">going from </w:t>
      </w:r>
      <w:r w:rsidR="00FB56C7">
        <w:rPr>
          <w:rFonts w:eastAsia="Times New Roman"/>
          <w:color w:val="FF0000"/>
          <w:sz w:val="22"/>
          <w:szCs w:val="22"/>
        </w:rPr>
        <w:t>AVDZ to AVTZ (&lt; 1 kJ mol</w:t>
      </w:r>
      <w:r w:rsidR="00FB56C7" w:rsidRPr="00FB56C7">
        <w:rPr>
          <w:rFonts w:eastAsia="Times New Roman"/>
          <w:color w:val="FF0000"/>
          <w:sz w:val="22"/>
          <w:szCs w:val="22"/>
          <w:vertAlign w:val="superscript"/>
        </w:rPr>
        <w:t xml:space="preserve">-1 </w:t>
      </w:r>
      <w:r>
        <w:rPr>
          <w:rFonts w:eastAsia="Times New Roman"/>
          <w:color w:val="FF0000"/>
          <w:sz w:val="22"/>
          <w:szCs w:val="22"/>
        </w:rPr>
        <w:t>on average). In the same series of calculations</w:t>
      </w:r>
      <w:r w:rsidR="0082715F">
        <w:rPr>
          <w:rFonts w:eastAsia="Times New Roman"/>
          <w:color w:val="FF0000"/>
          <w:sz w:val="22"/>
          <w:szCs w:val="22"/>
        </w:rPr>
        <w:t>,</w:t>
      </w:r>
      <w:r>
        <w:rPr>
          <w:rFonts w:eastAsia="Times New Roman"/>
          <w:color w:val="FF0000"/>
          <w:sz w:val="22"/>
          <w:szCs w:val="22"/>
        </w:rPr>
        <w:t xml:space="preserve"> the </w:t>
      </w:r>
      <w:r w:rsidR="00FB56C7">
        <w:rPr>
          <w:rFonts w:eastAsia="Times New Roman"/>
          <w:color w:val="FF0000"/>
          <w:sz w:val="22"/>
          <w:szCs w:val="22"/>
        </w:rPr>
        <w:t xml:space="preserve">CT </w:t>
      </w:r>
      <w:r>
        <w:rPr>
          <w:rFonts w:eastAsia="Times New Roman"/>
          <w:color w:val="FF0000"/>
          <w:sz w:val="22"/>
          <w:szCs w:val="22"/>
        </w:rPr>
        <w:t xml:space="preserve">decreased </w:t>
      </w:r>
      <w:r w:rsidR="00FB56C7">
        <w:rPr>
          <w:rFonts w:eastAsia="Times New Roman"/>
          <w:color w:val="FF0000"/>
          <w:sz w:val="22"/>
          <w:szCs w:val="22"/>
        </w:rPr>
        <w:t>by 8 kJ mol</w:t>
      </w:r>
      <w:r w:rsidR="00FB56C7" w:rsidRPr="009E3603">
        <w:rPr>
          <w:rFonts w:eastAsia="Times New Roman"/>
          <w:color w:val="FF0000"/>
          <w:sz w:val="22"/>
          <w:szCs w:val="22"/>
          <w:vertAlign w:val="superscript"/>
        </w:rPr>
        <w:t>-1</w:t>
      </w:r>
      <w:r w:rsidR="00F17BF3">
        <w:rPr>
          <w:rFonts w:eastAsia="Times New Roman"/>
          <w:color w:val="FF0000"/>
          <w:sz w:val="22"/>
          <w:szCs w:val="22"/>
        </w:rPr>
        <w:t xml:space="preserve"> on average</w:t>
      </w:r>
      <w:r w:rsidR="00FB56C7">
        <w:rPr>
          <w:rFonts w:eastAsia="Times New Roman"/>
          <w:color w:val="FF0000"/>
          <w:sz w:val="22"/>
          <w:szCs w:val="22"/>
        </w:rPr>
        <w:t>. It has to be noted that the CT energy is -7 kJ mol</w:t>
      </w:r>
      <w:r w:rsidR="00FB56C7" w:rsidRPr="00FB56C7">
        <w:rPr>
          <w:rFonts w:eastAsia="Times New Roman"/>
          <w:color w:val="FF0000"/>
          <w:sz w:val="22"/>
          <w:szCs w:val="22"/>
          <w:vertAlign w:val="superscript"/>
        </w:rPr>
        <w:t>-1</w:t>
      </w:r>
      <w:r w:rsidR="00FB56C7">
        <w:rPr>
          <w:rFonts w:eastAsia="Times New Roman"/>
          <w:color w:val="FF0000"/>
          <w:sz w:val="22"/>
          <w:szCs w:val="22"/>
        </w:rPr>
        <w:t xml:space="preserve"> on average for </w:t>
      </w:r>
      <w:r w:rsidR="00F17BF3">
        <w:rPr>
          <w:rFonts w:eastAsia="Times New Roman"/>
          <w:color w:val="FF0000"/>
          <w:sz w:val="22"/>
          <w:szCs w:val="22"/>
        </w:rPr>
        <w:t xml:space="preserve">other typical ionic liquid anions as calculated with the </w:t>
      </w:r>
      <w:proofErr w:type="spellStart"/>
      <w:r w:rsidR="00F17BF3">
        <w:rPr>
          <w:rFonts w:eastAsia="Times New Roman"/>
          <w:color w:val="FF0000"/>
          <w:sz w:val="22"/>
          <w:szCs w:val="22"/>
        </w:rPr>
        <w:t>aug</w:t>
      </w:r>
      <w:proofErr w:type="spellEnd"/>
      <w:r w:rsidR="00F17BF3">
        <w:rPr>
          <w:rFonts w:eastAsia="Times New Roman"/>
          <w:color w:val="FF0000"/>
          <w:sz w:val="22"/>
          <w:szCs w:val="22"/>
        </w:rPr>
        <w:t>-cc-</w:t>
      </w:r>
      <w:proofErr w:type="spellStart"/>
      <w:r w:rsidR="00F17BF3">
        <w:rPr>
          <w:rFonts w:eastAsia="Times New Roman"/>
          <w:color w:val="FF0000"/>
          <w:sz w:val="22"/>
          <w:szCs w:val="22"/>
        </w:rPr>
        <w:t>pVDZ</w:t>
      </w:r>
      <w:proofErr w:type="spellEnd"/>
      <w:r w:rsidR="00F17BF3">
        <w:rPr>
          <w:rFonts w:eastAsia="Times New Roman"/>
          <w:color w:val="FF0000"/>
          <w:sz w:val="22"/>
          <w:szCs w:val="22"/>
        </w:rPr>
        <w:t>, s</w:t>
      </w:r>
      <w:r w:rsidR="00FB56C7">
        <w:rPr>
          <w:rFonts w:eastAsia="Times New Roman"/>
          <w:color w:val="FF0000"/>
          <w:sz w:val="22"/>
          <w:szCs w:val="22"/>
        </w:rPr>
        <w:t xml:space="preserve">uggesting that it </w:t>
      </w:r>
      <w:r w:rsidR="00F17BF3">
        <w:rPr>
          <w:rFonts w:eastAsia="Times New Roman"/>
          <w:color w:val="FF0000"/>
          <w:sz w:val="22"/>
          <w:szCs w:val="22"/>
        </w:rPr>
        <w:t>would</w:t>
      </w:r>
      <w:r w:rsidR="00FB56C7">
        <w:rPr>
          <w:rFonts w:eastAsia="Times New Roman"/>
          <w:color w:val="FF0000"/>
          <w:sz w:val="22"/>
          <w:szCs w:val="22"/>
        </w:rPr>
        <w:t xml:space="preserve"> </w:t>
      </w:r>
      <w:r w:rsidR="00F17BF3">
        <w:rPr>
          <w:rFonts w:eastAsia="Times New Roman"/>
          <w:color w:val="FF0000"/>
          <w:sz w:val="22"/>
          <w:szCs w:val="22"/>
        </w:rPr>
        <w:t>fall</w:t>
      </w:r>
      <w:r w:rsidR="00FB56C7">
        <w:rPr>
          <w:rFonts w:eastAsia="Times New Roman"/>
          <w:color w:val="FF0000"/>
          <w:sz w:val="22"/>
          <w:szCs w:val="22"/>
        </w:rPr>
        <w:t xml:space="preserve"> below chemical accu</w:t>
      </w:r>
      <w:r w:rsidR="00F17BF3">
        <w:rPr>
          <w:rFonts w:eastAsia="Times New Roman"/>
          <w:color w:val="FF0000"/>
          <w:sz w:val="22"/>
          <w:szCs w:val="22"/>
        </w:rPr>
        <w:t xml:space="preserve">racy with increasing basis set. In contrast, the trend in the CT energy from EFP goes in the opposite direction increasing from </w:t>
      </w:r>
      <w:r w:rsidR="009713D5" w:rsidRPr="009713D5">
        <w:rPr>
          <w:rFonts w:eastAsia="Times New Roman"/>
          <w:color w:val="FF0000"/>
          <w:sz w:val="22"/>
          <w:szCs w:val="22"/>
        </w:rPr>
        <w:t>2</w:t>
      </w:r>
      <w:r w:rsidR="00F17BF3">
        <w:rPr>
          <w:rFonts w:eastAsia="Times New Roman"/>
          <w:color w:val="FF0000"/>
          <w:sz w:val="22"/>
          <w:szCs w:val="22"/>
        </w:rPr>
        <w:t xml:space="preserve"> kJ mol</w:t>
      </w:r>
      <w:r w:rsidR="00F17BF3" w:rsidRPr="00F17BF3">
        <w:rPr>
          <w:rFonts w:eastAsia="Times New Roman"/>
          <w:color w:val="FF0000"/>
          <w:sz w:val="22"/>
          <w:szCs w:val="22"/>
          <w:vertAlign w:val="superscript"/>
        </w:rPr>
        <w:t>-1</w:t>
      </w:r>
      <w:r w:rsidR="00F17BF3">
        <w:rPr>
          <w:rFonts w:eastAsia="Times New Roman"/>
          <w:color w:val="FF0000"/>
          <w:sz w:val="22"/>
          <w:szCs w:val="22"/>
        </w:rPr>
        <w:t xml:space="preserve"> with AVDZ to </w:t>
      </w:r>
      <w:r w:rsidR="009713D5">
        <w:rPr>
          <w:rFonts w:eastAsia="Times New Roman"/>
          <w:color w:val="FF0000"/>
          <w:sz w:val="22"/>
          <w:szCs w:val="22"/>
        </w:rPr>
        <w:t>7</w:t>
      </w:r>
      <w:r w:rsidR="00F17BF3">
        <w:rPr>
          <w:rFonts w:eastAsia="Times New Roman"/>
          <w:color w:val="FF0000"/>
          <w:sz w:val="22"/>
          <w:szCs w:val="22"/>
        </w:rPr>
        <w:t xml:space="preserve"> kJ mol</w:t>
      </w:r>
      <w:r w:rsidR="00F17BF3" w:rsidRPr="00F17BF3">
        <w:rPr>
          <w:rFonts w:eastAsia="Times New Roman"/>
          <w:color w:val="FF0000"/>
          <w:sz w:val="22"/>
          <w:szCs w:val="22"/>
          <w:vertAlign w:val="superscript"/>
        </w:rPr>
        <w:t>-1</w:t>
      </w:r>
      <w:r w:rsidR="001B70E0">
        <w:rPr>
          <w:rFonts w:eastAsia="Times New Roman"/>
          <w:color w:val="FF0000"/>
          <w:sz w:val="22"/>
          <w:szCs w:val="22"/>
        </w:rPr>
        <w:t xml:space="preserve"> with AVTZ. We believe that the difference in </w:t>
      </w:r>
      <w:proofErr w:type="spellStart"/>
      <w:r w:rsidR="001B70E0">
        <w:rPr>
          <w:rFonts w:eastAsia="Times New Roman"/>
          <w:color w:val="FF0000"/>
          <w:sz w:val="22"/>
          <w:szCs w:val="22"/>
        </w:rPr>
        <w:t>behaviour</w:t>
      </w:r>
      <w:proofErr w:type="spellEnd"/>
      <w:r w:rsidR="001B70E0">
        <w:rPr>
          <w:rFonts w:eastAsia="Times New Roman"/>
          <w:color w:val="FF0000"/>
          <w:sz w:val="22"/>
          <w:szCs w:val="22"/>
        </w:rPr>
        <w:t xml:space="preserve"> of the CT energy with increasing basis set warrants for exclusion of the CT energy from the induction term. </w:t>
      </w:r>
    </w:p>
    <w:p w14:paraId="08157BE6" w14:textId="77777777" w:rsidR="009F29D3" w:rsidRPr="00F846B2" w:rsidRDefault="009F29D3" w:rsidP="00CC21E5">
      <w:pPr>
        <w:rPr>
          <w:rFonts w:eastAsia="Times New Roman"/>
          <w:color w:val="FF0000"/>
          <w:sz w:val="22"/>
          <w:szCs w:val="22"/>
        </w:rPr>
      </w:pPr>
    </w:p>
    <w:p w14:paraId="03F39C19" w14:textId="2D3366E8" w:rsidR="00FD32A1" w:rsidRDefault="00F17BF3" w:rsidP="00FD32A1">
      <w:pPr>
        <w:jc w:val="both"/>
        <w:rPr>
          <w:rFonts w:eastAsia="Times New Roman"/>
          <w:color w:val="FF0000"/>
          <w:sz w:val="22"/>
          <w:szCs w:val="22"/>
        </w:rPr>
      </w:pPr>
      <w:r w:rsidRPr="00FD32A1">
        <w:rPr>
          <w:rFonts w:eastAsia="Times New Roman"/>
          <w:color w:val="FF0000"/>
          <w:sz w:val="22"/>
          <w:szCs w:val="22"/>
        </w:rPr>
        <w:t xml:space="preserve">To </w:t>
      </w:r>
      <w:r w:rsidR="001B70E0" w:rsidRPr="00FD32A1">
        <w:rPr>
          <w:rFonts w:eastAsia="Times New Roman"/>
          <w:color w:val="FF0000"/>
          <w:sz w:val="22"/>
          <w:szCs w:val="22"/>
        </w:rPr>
        <w:t xml:space="preserve">further clarify this </w:t>
      </w:r>
      <w:r w:rsidR="00FD32A1" w:rsidRPr="00FD32A1">
        <w:rPr>
          <w:rFonts w:eastAsia="Times New Roman"/>
          <w:color w:val="FF0000"/>
          <w:sz w:val="22"/>
          <w:szCs w:val="22"/>
        </w:rPr>
        <w:t>point</w:t>
      </w:r>
      <w:r w:rsidR="00FD32A1">
        <w:rPr>
          <w:rFonts w:eastAsia="Times New Roman"/>
          <w:color w:val="FF0000"/>
          <w:sz w:val="22"/>
          <w:szCs w:val="22"/>
        </w:rPr>
        <w:t xml:space="preserve"> we have modified the text on page 13 (shown in blue in the revised manuscript):</w:t>
      </w:r>
    </w:p>
    <w:p w14:paraId="602FCF61" w14:textId="74B21ADC" w:rsidR="00387007" w:rsidRDefault="00FD32A1" w:rsidP="00FD32A1">
      <w:pPr>
        <w:jc w:val="both"/>
        <w:rPr>
          <w:rFonts w:eastAsia="Times New Roman"/>
          <w:color w:val="FF0000"/>
          <w:sz w:val="22"/>
          <w:szCs w:val="22"/>
        </w:rPr>
      </w:pPr>
      <w:r>
        <w:rPr>
          <w:rFonts w:eastAsia="Times New Roman"/>
          <w:color w:val="FF0000"/>
          <w:sz w:val="22"/>
          <w:szCs w:val="22"/>
        </w:rPr>
        <w:t>“It has to be pointed out that due to the difference in the definitions of charge transfer in the EFP and SAPT approaches the EFP polarization term was directly compared to the SAPT induction without inclusion of the CT energy.”</w:t>
      </w:r>
      <w:r w:rsidR="001B70E0">
        <w:rPr>
          <w:rFonts w:eastAsia="Times New Roman"/>
          <w:color w:val="FF0000"/>
          <w:sz w:val="22"/>
          <w:szCs w:val="22"/>
        </w:rPr>
        <w:t xml:space="preserve"> </w:t>
      </w:r>
    </w:p>
    <w:p w14:paraId="7CA8C835" w14:textId="77777777" w:rsidR="00FB56C7" w:rsidRPr="00FB56C7" w:rsidRDefault="00FB56C7" w:rsidP="00CC21E5">
      <w:pPr>
        <w:rPr>
          <w:rFonts w:eastAsia="Times New Roman"/>
          <w:color w:val="FF0000"/>
          <w:sz w:val="22"/>
          <w:szCs w:val="22"/>
        </w:rPr>
      </w:pPr>
    </w:p>
    <w:p w14:paraId="678641D6" w14:textId="3C87408C" w:rsidR="009E2FA8" w:rsidRDefault="00CC21E5" w:rsidP="00CC21E5">
      <w:pPr>
        <w:rPr>
          <w:rFonts w:eastAsia="Times New Roman"/>
          <w:i/>
          <w:color w:val="000000"/>
          <w:sz w:val="22"/>
          <w:szCs w:val="22"/>
        </w:rPr>
      </w:pPr>
      <w:r w:rsidRPr="00CC21E5">
        <w:rPr>
          <w:rFonts w:eastAsia="Times New Roman"/>
          <w:color w:val="000000"/>
          <w:sz w:val="22"/>
          <w:szCs w:val="22"/>
          <w:shd w:val="clear" w:color="auto" w:fill="FFFFFF"/>
        </w:rPr>
        <w:t>-The authors neglect to cite several potentials for ionic liquids that are based on energy decomposition analysis such as those developed by the group of J.R. Schmidt (JPCL, 5, 2670, 2014) or the AMOEBA potential for ILs (JPCB, 118, 7156, 2014) or other polarizable IL potentials such as APPLE&amp;P from the Borodin group. </w:t>
      </w:r>
      <w:r w:rsidRPr="00CC21E5">
        <w:rPr>
          <w:rFonts w:eastAsia="Times New Roman"/>
          <w:color w:val="000000"/>
          <w:sz w:val="22"/>
          <w:szCs w:val="22"/>
        </w:rPr>
        <w:br/>
      </w:r>
    </w:p>
    <w:p w14:paraId="6EA91A75" w14:textId="27FF95DE" w:rsidR="00866600" w:rsidRDefault="00FD32A1" w:rsidP="00FD32A1">
      <w:pPr>
        <w:jc w:val="both"/>
        <w:rPr>
          <w:rFonts w:eastAsia="Times New Roman"/>
          <w:color w:val="FF0000"/>
          <w:sz w:val="22"/>
          <w:szCs w:val="22"/>
        </w:rPr>
      </w:pPr>
      <w:r>
        <w:rPr>
          <w:rFonts w:eastAsia="Times New Roman"/>
          <w:color w:val="FF0000"/>
          <w:sz w:val="22"/>
          <w:szCs w:val="22"/>
        </w:rPr>
        <w:t>#We thank the reviewer for this comment. On page 2 we have now amended the text to incorporate recent publications on the development of polarizable force fields for ionic liquids (shown in blue in the revised manuscript):</w:t>
      </w:r>
    </w:p>
    <w:p w14:paraId="13253959" w14:textId="77777777" w:rsidR="00FD32A1" w:rsidRDefault="00FD32A1" w:rsidP="00FD32A1">
      <w:pPr>
        <w:jc w:val="both"/>
        <w:rPr>
          <w:rFonts w:eastAsia="Times New Roman"/>
          <w:color w:val="FF0000"/>
          <w:sz w:val="22"/>
          <w:szCs w:val="22"/>
        </w:rPr>
      </w:pPr>
    </w:p>
    <w:p w14:paraId="1615BAB1" w14:textId="34463D65" w:rsidR="00FD32A1" w:rsidRPr="002F6BF4" w:rsidRDefault="00FD32A1" w:rsidP="002F6BF4">
      <w:pPr>
        <w:widowControl w:val="0"/>
        <w:autoSpaceDE w:val="0"/>
        <w:autoSpaceDN w:val="0"/>
        <w:adjustRightInd w:val="0"/>
        <w:jc w:val="both"/>
        <w:rPr>
          <w:color w:val="FF0000"/>
          <w:sz w:val="22"/>
          <w:szCs w:val="22"/>
        </w:rPr>
      </w:pPr>
      <w:r w:rsidRPr="002F6BF4">
        <w:rPr>
          <w:rFonts w:eastAsia="Times New Roman"/>
          <w:color w:val="FF0000"/>
          <w:sz w:val="22"/>
          <w:szCs w:val="22"/>
        </w:rPr>
        <w:lastRenderedPageBreak/>
        <w:t>“</w:t>
      </w:r>
      <w:r w:rsidR="002F6BF4" w:rsidRPr="002F6BF4">
        <w:rPr>
          <w:color w:val="FF0000"/>
          <w:sz w:val="22"/>
          <w:szCs w:val="22"/>
        </w:rPr>
        <w:t>This challenge of predicting properties for ionic liquids has been taken upon by several groups previously using classical force fields.</w:t>
      </w:r>
      <w:r w:rsidR="002F6BF4" w:rsidRPr="002F6BF4">
        <w:rPr>
          <w:color w:val="FF0000"/>
          <w:sz w:val="22"/>
          <w:szCs w:val="22"/>
          <w:vertAlign w:val="superscript"/>
        </w:rPr>
        <w:t>6,7</w:t>
      </w:r>
      <w:r w:rsidR="002F6BF4" w:rsidRPr="002F6BF4">
        <w:rPr>
          <w:color w:val="FF0000"/>
          <w:sz w:val="22"/>
          <w:szCs w:val="22"/>
        </w:rPr>
        <w:t xml:space="preserve"> The advantage of classical methods is that simulations can be run on large systems with relatively little computational effort. Some notable examples of molecular dynamics that have found success in the realm of ionic liquids include the </w:t>
      </w:r>
      <w:proofErr w:type="spellStart"/>
      <w:r w:rsidR="002F6BF4" w:rsidRPr="002F6BF4">
        <w:rPr>
          <w:color w:val="FF0000"/>
          <w:sz w:val="22"/>
          <w:szCs w:val="22"/>
        </w:rPr>
        <w:t>polarisable</w:t>
      </w:r>
      <w:proofErr w:type="spellEnd"/>
      <w:r w:rsidR="002F6BF4" w:rsidRPr="002F6BF4">
        <w:rPr>
          <w:color w:val="FF0000"/>
          <w:sz w:val="22"/>
          <w:szCs w:val="22"/>
        </w:rPr>
        <w:t xml:space="preserve"> potentials developed by Borodin et al.</w:t>
      </w:r>
      <w:r w:rsidR="002F6BF4" w:rsidRPr="002F6BF4">
        <w:rPr>
          <w:color w:val="FF0000"/>
          <w:sz w:val="22"/>
          <w:szCs w:val="22"/>
          <w:vertAlign w:val="superscript"/>
        </w:rPr>
        <w:t>2,8</w:t>
      </w:r>
      <w:r w:rsidR="002F6BF4" w:rsidRPr="002F6BF4">
        <w:rPr>
          <w:color w:val="FF0000"/>
          <w:sz w:val="22"/>
          <w:szCs w:val="22"/>
        </w:rPr>
        <w:t xml:space="preserve"> Induction was shown to be very important in the prediction of physical properties of ionic liquids, with </w:t>
      </w:r>
      <w:proofErr w:type="spellStart"/>
      <w:r w:rsidR="002F6BF4" w:rsidRPr="002F6BF4">
        <w:rPr>
          <w:color w:val="FF0000"/>
          <w:sz w:val="22"/>
          <w:szCs w:val="22"/>
        </w:rPr>
        <w:t>polarisable</w:t>
      </w:r>
      <w:proofErr w:type="spellEnd"/>
      <w:r w:rsidR="002F6BF4" w:rsidRPr="002F6BF4">
        <w:rPr>
          <w:color w:val="FF0000"/>
          <w:sz w:val="22"/>
          <w:szCs w:val="22"/>
        </w:rPr>
        <w:t xml:space="preserve"> force fields that explicitly include induction effects performing better for these complex systems.</w:t>
      </w:r>
      <w:r w:rsidR="002F6BF4" w:rsidRPr="002F6BF4">
        <w:rPr>
          <w:color w:val="FF0000"/>
          <w:sz w:val="22"/>
          <w:szCs w:val="22"/>
          <w:vertAlign w:val="superscript"/>
        </w:rPr>
        <w:t>9,10</w:t>
      </w:r>
      <w:r w:rsidR="002F6BF4" w:rsidRPr="002F6BF4">
        <w:rPr>
          <w:color w:val="FF0000"/>
          <w:sz w:val="22"/>
          <w:szCs w:val="22"/>
        </w:rPr>
        <w:t xml:space="preserve"> Furthermore, methods which offer an energy decomposition of the intermolecular interaction, have been constructed, such as an AMOEBA (a multipolar force field) force field for </w:t>
      </w:r>
      <w:proofErr w:type="spellStart"/>
      <w:r w:rsidR="002F6BF4" w:rsidRPr="002F6BF4">
        <w:rPr>
          <w:color w:val="FF0000"/>
          <w:sz w:val="22"/>
          <w:szCs w:val="22"/>
        </w:rPr>
        <w:t>imidazolium</w:t>
      </w:r>
      <w:proofErr w:type="spellEnd"/>
      <w:r w:rsidR="002F6BF4" w:rsidRPr="002F6BF4">
        <w:rPr>
          <w:color w:val="FF0000"/>
          <w:sz w:val="22"/>
          <w:szCs w:val="22"/>
        </w:rPr>
        <w:t>-based ionic liquids,</w:t>
      </w:r>
      <w:r w:rsidR="002F6BF4" w:rsidRPr="002F6BF4">
        <w:rPr>
          <w:color w:val="FF0000"/>
          <w:sz w:val="22"/>
          <w:szCs w:val="22"/>
          <w:vertAlign w:val="superscript"/>
        </w:rPr>
        <w:t>11</w:t>
      </w:r>
      <w:r w:rsidR="002F6BF4" w:rsidRPr="002F6BF4">
        <w:rPr>
          <w:color w:val="FF0000"/>
          <w:sz w:val="22"/>
          <w:szCs w:val="22"/>
        </w:rPr>
        <w:t xml:space="preserve"> and the 1-butyl-3-methylimidazolium </w:t>
      </w:r>
      <w:proofErr w:type="spellStart"/>
      <w:r w:rsidR="002F6BF4" w:rsidRPr="002F6BF4">
        <w:rPr>
          <w:color w:val="FF0000"/>
          <w:sz w:val="22"/>
          <w:szCs w:val="22"/>
        </w:rPr>
        <w:t>tetrafluoroborate</w:t>
      </w:r>
      <w:proofErr w:type="spellEnd"/>
      <w:r w:rsidR="002F6BF4" w:rsidRPr="002F6BF4">
        <w:rPr>
          <w:color w:val="FF0000"/>
          <w:sz w:val="22"/>
          <w:szCs w:val="22"/>
        </w:rPr>
        <w:t xml:space="preserve"> force field developed by Choi et al.</w:t>
      </w:r>
      <w:r w:rsidR="002F6BF4" w:rsidRPr="002F6BF4">
        <w:rPr>
          <w:color w:val="FF0000"/>
          <w:sz w:val="22"/>
          <w:szCs w:val="22"/>
          <w:vertAlign w:val="superscript"/>
        </w:rPr>
        <w:t>12</w:t>
      </w:r>
      <w:r w:rsidR="002F6BF4" w:rsidRPr="002F6BF4">
        <w:rPr>
          <w:color w:val="FF0000"/>
          <w:sz w:val="22"/>
          <w:szCs w:val="22"/>
        </w:rPr>
        <w:t xml:space="preserve"> The latter </w:t>
      </w:r>
      <w:proofErr w:type="spellStart"/>
      <w:r w:rsidR="002F6BF4" w:rsidRPr="002F6BF4">
        <w:rPr>
          <w:color w:val="FF0000"/>
          <w:sz w:val="22"/>
          <w:szCs w:val="22"/>
        </w:rPr>
        <w:t>parametrised</w:t>
      </w:r>
      <w:proofErr w:type="spellEnd"/>
      <w:r w:rsidR="002F6BF4" w:rsidRPr="002F6BF4">
        <w:rPr>
          <w:color w:val="FF0000"/>
          <w:sz w:val="22"/>
          <w:szCs w:val="22"/>
        </w:rPr>
        <w:t xml:space="preserve"> intermolecular interaction terms to reproduce SAPT energies. This resulted in a better force field that performed well in the prediction of thermodynamic and transport properties of the ionic liquid when compared to experiment. The authors expect their force field to be transferable due to the </w:t>
      </w:r>
      <w:proofErr w:type="spellStart"/>
      <w:r w:rsidR="002F6BF4" w:rsidRPr="002F6BF4">
        <w:rPr>
          <w:color w:val="FF0000"/>
          <w:sz w:val="22"/>
          <w:szCs w:val="22"/>
        </w:rPr>
        <w:t>parametrisation</w:t>
      </w:r>
      <w:proofErr w:type="spellEnd"/>
      <w:r w:rsidR="002F6BF4" w:rsidRPr="002F6BF4">
        <w:rPr>
          <w:color w:val="FF0000"/>
          <w:sz w:val="22"/>
          <w:szCs w:val="22"/>
        </w:rPr>
        <w:t xml:space="preserve"> being based on first principles.</w:t>
      </w:r>
      <w:r w:rsidRPr="002F6BF4">
        <w:rPr>
          <w:rFonts w:eastAsia="Times New Roman"/>
          <w:color w:val="FF0000"/>
          <w:sz w:val="22"/>
          <w:szCs w:val="22"/>
        </w:rPr>
        <w:t>”</w:t>
      </w:r>
    </w:p>
    <w:p w14:paraId="529FC12D" w14:textId="6868EE6A" w:rsidR="00435424" w:rsidRDefault="00CC21E5" w:rsidP="00CC21E5">
      <w:pPr>
        <w:rPr>
          <w:rFonts w:eastAsia="Times New Roman"/>
          <w:i/>
          <w:color w:val="000000"/>
          <w:sz w:val="22"/>
          <w:szCs w:val="22"/>
        </w:rPr>
      </w:pPr>
      <w:r w:rsidRPr="00CC21E5">
        <w:rPr>
          <w:rFonts w:eastAsia="Times New Roman"/>
          <w:color w:val="000000"/>
          <w:sz w:val="22"/>
          <w:szCs w:val="22"/>
        </w:rPr>
        <w:br/>
      </w:r>
      <w:r w:rsidRPr="00CC21E5">
        <w:rPr>
          <w:rFonts w:eastAsia="Times New Roman"/>
          <w:color w:val="000000"/>
          <w:sz w:val="22"/>
          <w:szCs w:val="22"/>
          <w:shd w:val="clear" w:color="auto" w:fill="FFFFFF"/>
        </w:rPr>
        <w:t>-subsection 2.2, pp. 10: There is no mention of the overlap damping employed in EFP to account for penetration effects in the Coulomb and Polarization terms. </w:t>
      </w:r>
      <w:r w:rsidRPr="00CC21E5">
        <w:rPr>
          <w:rFonts w:eastAsia="Times New Roman"/>
          <w:color w:val="000000"/>
          <w:sz w:val="22"/>
          <w:szCs w:val="22"/>
        </w:rPr>
        <w:br/>
      </w:r>
    </w:p>
    <w:p w14:paraId="067C5BCF" w14:textId="77777777" w:rsidR="00873A50" w:rsidRDefault="00873A50" w:rsidP="00CC21E5">
      <w:pPr>
        <w:rPr>
          <w:rFonts w:eastAsia="Times New Roman"/>
          <w:color w:val="FF0000"/>
          <w:sz w:val="22"/>
          <w:szCs w:val="22"/>
        </w:rPr>
      </w:pPr>
      <w:r>
        <w:rPr>
          <w:rFonts w:eastAsia="Times New Roman"/>
          <w:color w:val="FF0000"/>
          <w:sz w:val="22"/>
          <w:szCs w:val="22"/>
        </w:rPr>
        <w:t>#We thank the reviewer for pointing out this oversight. We have modified the text on page 11 to address this point:</w:t>
      </w:r>
    </w:p>
    <w:p w14:paraId="45898E3B" w14:textId="77777777" w:rsidR="00873A50" w:rsidRDefault="00873A50" w:rsidP="00CC21E5">
      <w:pPr>
        <w:rPr>
          <w:rFonts w:eastAsia="Times New Roman"/>
          <w:color w:val="FF0000"/>
          <w:sz w:val="22"/>
          <w:szCs w:val="22"/>
        </w:rPr>
      </w:pPr>
    </w:p>
    <w:p w14:paraId="48E777B9" w14:textId="0ADDBD00" w:rsidR="00873A50" w:rsidRPr="00873A50" w:rsidRDefault="00873A50" w:rsidP="00873A50">
      <w:pPr>
        <w:widowControl w:val="0"/>
        <w:autoSpaceDE w:val="0"/>
        <w:autoSpaceDN w:val="0"/>
        <w:adjustRightInd w:val="0"/>
        <w:rPr>
          <w:color w:val="FF0000"/>
          <w:sz w:val="22"/>
          <w:szCs w:val="22"/>
        </w:rPr>
      </w:pPr>
      <w:r w:rsidRPr="00873A50">
        <w:rPr>
          <w:rFonts w:eastAsia="Times New Roman"/>
          <w:color w:val="FF0000"/>
          <w:sz w:val="22"/>
          <w:szCs w:val="22"/>
        </w:rPr>
        <w:t>“</w:t>
      </w:r>
      <w:r w:rsidR="00B4791A">
        <w:rPr>
          <w:color w:val="FF0000"/>
          <w:sz w:val="22"/>
          <w:szCs w:val="22"/>
        </w:rPr>
        <w:t>To prevent ‘</w:t>
      </w:r>
      <w:proofErr w:type="spellStart"/>
      <w:r w:rsidRPr="00873A50">
        <w:rPr>
          <w:color w:val="FF0000"/>
          <w:sz w:val="22"/>
          <w:szCs w:val="22"/>
        </w:rPr>
        <w:t>polarisation</w:t>
      </w:r>
      <w:proofErr w:type="spellEnd"/>
      <w:r w:rsidRPr="00873A50">
        <w:rPr>
          <w:color w:val="FF0000"/>
          <w:sz w:val="22"/>
          <w:szCs w:val="22"/>
        </w:rPr>
        <w:t xml:space="preserve"> collapse’</w:t>
      </w:r>
      <w:r>
        <w:rPr>
          <w:color w:val="FF0000"/>
          <w:sz w:val="22"/>
          <w:szCs w:val="22"/>
        </w:rPr>
        <w:t xml:space="preserve"> at short </w:t>
      </w:r>
      <w:r w:rsidRPr="00873A50">
        <w:rPr>
          <w:color w:val="FF0000"/>
          <w:sz w:val="22"/>
          <w:szCs w:val="22"/>
        </w:rPr>
        <w:t>intermolecular distances, EFP employs Gaussian-type damping, due to its mathematical</w:t>
      </w:r>
      <w:r>
        <w:rPr>
          <w:color w:val="FF0000"/>
          <w:sz w:val="22"/>
          <w:szCs w:val="22"/>
        </w:rPr>
        <w:t xml:space="preserve"> </w:t>
      </w:r>
      <w:r w:rsidRPr="00873A50">
        <w:rPr>
          <w:color w:val="FF0000"/>
          <w:sz w:val="22"/>
          <w:szCs w:val="22"/>
        </w:rPr>
        <w:t>simplicity and independence of the choice of Coulomb damping.</w:t>
      </w:r>
      <w:r w:rsidRPr="00873A50">
        <w:rPr>
          <w:color w:val="FF0000"/>
          <w:sz w:val="22"/>
          <w:szCs w:val="22"/>
          <w:vertAlign w:val="superscript"/>
        </w:rPr>
        <w:t>76</w:t>
      </w:r>
      <w:r w:rsidRPr="00873A50">
        <w:rPr>
          <w:rFonts w:eastAsia="Times New Roman"/>
          <w:color w:val="FF0000"/>
          <w:sz w:val="22"/>
          <w:szCs w:val="22"/>
        </w:rPr>
        <w:t>”</w:t>
      </w:r>
    </w:p>
    <w:p w14:paraId="077D6993" w14:textId="72E8C161" w:rsidR="009E2FA8" w:rsidRDefault="00CC21E5" w:rsidP="00CC21E5">
      <w:pPr>
        <w:rPr>
          <w:rFonts w:eastAsia="Times New Roman"/>
          <w:color w:val="000000"/>
          <w:sz w:val="22"/>
          <w:szCs w:val="22"/>
          <w:shd w:val="clear" w:color="auto" w:fill="FFFFFF"/>
        </w:rPr>
      </w:pPr>
      <w:r w:rsidRPr="00CC21E5">
        <w:rPr>
          <w:rFonts w:eastAsia="Times New Roman"/>
          <w:color w:val="000000"/>
          <w:sz w:val="22"/>
          <w:szCs w:val="22"/>
        </w:rPr>
        <w:br/>
      </w:r>
      <w:r w:rsidRPr="00CC21E5">
        <w:rPr>
          <w:rFonts w:eastAsia="Times New Roman"/>
          <w:color w:val="000000"/>
          <w:sz w:val="22"/>
          <w:szCs w:val="22"/>
          <w:shd w:val="clear" w:color="auto" w:fill="FFFFFF"/>
        </w:rPr>
        <w:t>-pp. 14, subsection 3.0.3: The authors could cite the work by Sherrill et al (JCP, 140, 094106, 2014) to justify the SAPT level employed for the reference. </w:t>
      </w:r>
    </w:p>
    <w:p w14:paraId="15341F65" w14:textId="77777777" w:rsidR="006D2EDD" w:rsidRDefault="006D2EDD" w:rsidP="00CC21E5">
      <w:pPr>
        <w:rPr>
          <w:rFonts w:eastAsia="Times New Roman"/>
          <w:color w:val="000000"/>
          <w:sz w:val="22"/>
          <w:szCs w:val="22"/>
        </w:rPr>
      </w:pPr>
    </w:p>
    <w:p w14:paraId="0CA568F8" w14:textId="4D4D8654" w:rsidR="00873A50" w:rsidRDefault="00873A50" w:rsidP="00873A50">
      <w:pPr>
        <w:rPr>
          <w:rFonts w:eastAsia="Times New Roman"/>
          <w:color w:val="FF0000"/>
          <w:sz w:val="22"/>
          <w:szCs w:val="22"/>
        </w:rPr>
      </w:pPr>
      <w:r>
        <w:rPr>
          <w:rFonts w:eastAsia="Times New Roman"/>
          <w:color w:val="FF0000"/>
          <w:sz w:val="22"/>
          <w:szCs w:val="22"/>
        </w:rPr>
        <w:t># On page 1</w:t>
      </w:r>
      <w:r w:rsidR="00231BCE">
        <w:rPr>
          <w:rFonts w:eastAsia="Times New Roman"/>
          <w:color w:val="FF0000"/>
          <w:sz w:val="22"/>
          <w:szCs w:val="22"/>
        </w:rPr>
        <w:t>7 (former page 14)</w:t>
      </w:r>
      <w:r>
        <w:rPr>
          <w:rFonts w:eastAsia="Times New Roman"/>
          <w:color w:val="FF0000"/>
          <w:sz w:val="22"/>
          <w:szCs w:val="22"/>
        </w:rPr>
        <w:t xml:space="preserve"> we have mentioned the work by Parker et al. to justify our choice of basis set for SAPT2+3 calculations:</w:t>
      </w:r>
    </w:p>
    <w:p w14:paraId="42A3F006" w14:textId="77777777" w:rsidR="00873A50" w:rsidRDefault="00873A50" w:rsidP="00873A50">
      <w:pPr>
        <w:rPr>
          <w:rFonts w:eastAsia="Times New Roman"/>
          <w:color w:val="FF0000"/>
          <w:sz w:val="22"/>
          <w:szCs w:val="22"/>
        </w:rPr>
      </w:pPr>
    </w:p>
    <w:p w14:paraId="353A4EF5" w14:textId="4F1276B5" w:rsidR="00873A50" w:rsidRPr="00231BCE" w:rsidRDefault="00873A50" w:rsidP="005B5CF9">
      <w:pPr>
        <w:widowControl w:val="0"/>
        <w:autoSpaceDE w:val="0"/>
        <w:autoSpaceDN w:val="0"/>
        <w:adjustRightInd w:val="0"/>
        <w:rPr>
          <w:rFonts w:ascii="Times" w:hAnsi="Times" w:cs="Times"/>
          <w:color w:val="FF0000"/>
          <w:sz w:val="22"/>
          <w:szCs w:val="22"/>
        </w:rPr>
      </w:pPr>
      <w:r w:rsidRPr="00231BCE">
        <w:rPr>
          <w:rFonts w:eastAsia="Times New Roman"/>
          <w:color w:val="FF0000"/>
          <w:sz w:val="22"/>
          <w:szCs w:val="22"/>
        </w:rPr>
        <w:t>“</w:t>
      </w:r>
      <w:r w:rsidR="00231BCE" w:rsidRPr="00231BCE">
        <w:rPr>
          <w:rFonts w:ascii="Times" w:hAnsi="Times" w:cs="Times"/>
          <w:color w:val="FF0000"/>
          <w:sz w:val="22"/>
          <w:szCs w:val="22"/>
        </w:rPr>
        <w:t>This is in line with the results presented by Parker et al., where for SAPT2+3, the basis set with the lowest mean</w:t>
      </w:r>
      <w:r w:rsidR="005B5CF9">
        <w:rPr>
          <w:rFonts w:ascii="Times" w:hAnsi="Times" w:cs="Times"/>
          <w:color w:val="FF0000"/>
          <w:sz w:val="22"/>
          <w:szCs w:val="22"/>
        </w:rPr>
        <w:t xml:space="preserve"> absolute error was </w:t>
      </w:r>
      <w:proofErr w:type="spellStart"/>
      <w:r w:rsidR="005B5CF9">
        <w:rPr>
          <w:rFonts w:ascii="Times" w:hAnsi="Times" w:cs="Times"/>
          <w:color w:val="FF0000"/>
          <w:sz w:val="22"/>
          <w:szCs w:val="22"/>
        </w:rPr>
        <w:t>aug</w:t>
      </w:r>
      <w:proofErr w:type="spellEnd"/>
      <w:r w:rsidR="005B5CF9">
        <w:rPr>
          <w:rFonts w:ascii="Times" w:hAnsi="Times" w:cs="Times"/>
          <w:color w:val="FF0000"/>
          <w:sz w:val="22"/>
          <w:szCs w:val="22"/>
        </w:rPr>
        <w:t>-cc-</w:t>
      </w:r>
      <w:proofErr w:type="spellStart"/>
      <w:r w:rsidR="005B5CF9">
        <w:rPr>
          <w:rFonts w:ascii="Times" w:hAnsi="Times" w:cs="Times"/>
          <w:color w:val="FF0000"/>
          <w:sz w:val="22"/>
          <w:szCs w:val="22"/>
        </w:rPr>
        <w:t>pVDZ</w:t>
      </w:r>
      <w:proofErr w:type="spellEnd"/>
      <w:r w:rsidR="005B5CF9">
        <w:rPr>
          <w:rFonts w:ascii="Times" w:hAnsi="Times" w:cs="Times"/>
          <w:color w:val="FF0000"/>
          <w:sz w:val="22"/>
          <w:szCs w:val="22"/>
        </w:rPr>
        <w:t xml:space="preserve">. This holds true across all the different subsets, which are </w:t>
      </w:r>
      <w:proofErr w:type="spellStart"/>
      <w:r w:rsidR="005B5CF9">
        <w:rPr>
          <w:rFonts w:ascii="Times" w:hAnsi="Times" w:cs="Times"/>
          <w:color w:val="FF0000"/>
          <w:sz w:val="22"/>
          <w:szCs w:val="22"/>
        </w:rPr>
        <w:t>categorisations</w:t>
      </w:r>
      <w:proofErr w:type="spellEnd"/>
      <w:r w:rsidR="005B5CF9">
        <w:rPr>
          <w:rFonts w:ascii="Times" w:hAnsi="Times" w:cs="Times"/>
          <w:color w:val="FF0000"/>
          <w:sz w:val="22"/>
          <w:szCs w:val="22"/>
        </w:rPr>
        <w:t xml:space="preserve"> of the systems based on the dominating interactions, such as hydrogen-bonding, dispersion, and mixed. </w:t>
      </w:r>
      <w:r w:rsidR="00231BCE" w:rsidRPr="00231BCE">
        <w:rPr>
          <w:rFonts w:ascii="Times" w:hAnsi="Times" w:cs="Times"/>
          <w:color w:val="FF0000"/>
          <w:sz w:val="22"/>
          <w:szCs w:val="22"/>
        </w:rPr>
        <w:t xml:space="preserve"> (Tables III and IV, pp. 094106-7,8)</w:t>
      </w:r>
      <w:r w:rsidR="00231BCE" w:rsidRPr="00231BCE">
        <w:rPr>
          <w:rFonts w:ascii="Times" w:hAnsi="Times" w:cs="Times"/>
          <w:color w:val="FF0000"/>
          <w:position w:val="10"/>
          <w:sz w:val="22"/>
          <w:szCs w:val="22"/>
          <w:vertAlign w:val="superscript"/>
        </w:rPr>
        <w:t>15</w:t>
      </w:r>
      <w:r w:rsidR="00231BCE" w:rsidRPr="00231BCE">
        <w:rPr>
          <w:rFonts w:ascii="Times" w:hAnsi="Times" w:cs="Times"/>
          <w:color w:val="FF0000"/>
          <w:position w:val="10"/>
          <w:sz w:val="22"/>
          <w:szCs w:val="22"/>
        </w:rPr>
        <w:t xml:space="preserve"> </w:t>
      </w:r>
      <w:r w:rsidRPr="00231BCE">
        <w:rPr>
          <w:rFonts w:eastAsia="Times New Roman"/>
          <w:color w:val="FF0000"/>
          <w:sz w:val="22"/>
          <w:szCs w:val="22"/>
        </w:rPr>
        <w:t>”</w:t>
      </w:r>
    </w:p>
    <w:p w14:paraId="49EB9E99" w14:textId="64936010" w:rsidR="00CC21E5" w:rsidRDefault="00CC21E5" w:rsidP="00CC21E5">
      <w:pPr>
        <w:rPr>
          <w:rFonts w:eastAsia="Times New Roman"/>
          <w:color w:val="000000"/>
          <w:sz w:val="22"/>
          <w:szCs w:val="22"/>
          <w:shd w:val="clear" w:color="auto" w:fill="FFFFFF"/>
        </w:rPr>
      </w:pPr>
      <w:r w:rsidRPr="00CC21E5">
        <w:rPr>
          <w:rFonts w:eastAsia="Times New Roman"/>
          <w:color w:val="000000"/>
          <w:sz w:val="22"/>
          <w:szCs w:val="22"/>
        </w:rPr>
        <w:br/>
      </w:r>
      <w:r w:rsidRPr="00CC21E5">
        <w:rPr>
          <w:rFonts w:eastAsia="Times New Roman"/>
          <w:color w:val="000000"/>
          <w:sz w:val="22"/>
          <w:szCs w:val="22"/>
          <w:shd w:val="clear" w:color="auto" w:fill="FFFFFF"/>
        </w:rPr>
        <w:t>-pp. 16 top, it is unclear what is being compared for the differences between the</w:t>
      </w:r>
      <w:r>
        <w:rPr>
          <w:rFonts w:eastAsia="Times New Roman"/>
          <w:color w:val="000000"/>
          <w:sz w:val="22"/>
          <w:szCs w:val="22"/>
        </w:rPr>
        <w:t xml:space="preserve"> </w:t>
      </w:r>
      <w:r w:rsidRPr="00CC21E5">
        <w:rPr>
          <w:rFonts w:eastAsia="Times New Roman"/>
          <w:color w:val="000000"/>
          <w:sz w:val="22"/>
          <w:szCs w:val="22"/>
          <w:shd w:val="clear" w:color="auto" w:fill="FFFFFF"/>
        </w:rPr>
        <w:t>basis sets. What do the authors mean by Coulomb being underestimated by 2.7 kJ/</w:t>
      </w:r>
      <w:proofErr w:type="spellStart"/>
      <w:r w:rsidRPr="00CC21E5">
        <w:rPr>
          <w:rFonts w:eastAsia="Times New Roman"/>
          <w:color w:val="000000"/>
          <w:sz w:val="22"/>
          <w:szCs w:val="22"/>
          <w:shd w:val="clear" w:color="auto" w:fill="FFFFFF"/>
        </w:rPr>
        <w:t>mol</w:t>
      </w:r>
      <w:proofErr w:type="spellEnd"/>
      <w:r w:rsidRPr="00CC21E5">
        <w:rPr>
          <w:rFonts w:eastAsia="Times New Roman"/>
          <w:color w:val="000000"/>
          <w:sz w:val="22"/>
          <w:szCs w:val="22"/>
          <w:shd w:val="clear" w:color="auto" w:fill="FFFFFF"/>
        </w:rPr>
        <w:t xml:space="preserve"> in triple zeta? what is the </w:t>
      </w:r>
      <w:r>
        <w:rPr>
          <w:rFonts w:eastAsia="Times New Roman"/>
          <w:color w:val="000000"/>
          <w:sz w:val="22"/>
          <w:szCs w:val="22"/>
          <w:shd w:val="clear" w:color="auto" w:fill="FFFFFF"/>
        </w:rPr>
        <w:t>r</w:t>
      </w:r>
      <w:r w:rsidRPr="00CC21E5">
        <w:rPr>
          <w:rFonts w:eastAsia="Times New Roman"/>
          <w:color w:val="000000"/>
          <w:sz w:val="22"/>
          <w:szCs w:val="22"/>
          <w:shd w:val="clear" w:color="auto" w:fill="FFFFFF"/>
        </w:rPr>
        <w:t>eference? </w:t>
      </w:r>
    </w:p>
    <w:p w14:paraId="7A31A8B6" w14:textId="77777777" w:rsidR="00435424" w:rsidRDefault="00435424" w:rsidP="00CC21E5">
      <w:pPr>
        <w:rPr>
          <w:rFonts w:eastAsia="Times New Roman"/>
          <w:i/>
          <w:color w:val="000000"/>
          <w:sz w:val="22"/>
          <w:szCs w:val="22"/>
          <w:shd w:val="clear" w:color="auto" w:fill="FFFFFF"/>
        </w:rPr>
      </w:pPr>
    </w:p>
    <w:p w14:paraId="7470C518" w14:textId="3BA649BA" w:rsidR="009C3162" w:rsidRDefault="00873A50" w:rsidP="00CC21E5">
      <w:pPr>
        <w:rPr>
          <w:rFonts w:eastAsia="Times New Roman"/>
          <w:color w:val="FF0000"/>
          <w:sz w:val="22"/>
          <w:szCs w:val="22"/>
        </w:rPr>
      </w:pPr>
      <w:r>
        <w:rPr>
          <w:rFonts w:eastAsia="Times New Roman"/>
          <w:color w:val="FF0000"/>
          <w:sz w:val="22"/>
          <w:szCs w:val="22"/>
        </w:rPr>
        <w:t>#</w:t>
      </w:r>
      <w:r w:rsidR="00231BCE">
        <w:rPr>
          <w:rFonts w:eastAsia="Times New Roman"/>
          <w:color w:val="FF0000"/>
          <w:sz w:val="22"/>
          <w:szCs w:val="22"/>
        </w:rPr>
        <w:t xml:space="preserve"> </w:t>
      </w:r>
      <w:r>
        <w:rPr>
          <w:rFonts w:eastAsia="Times New Roman"/>
          <w:color w:val="FF0000"/>
          <w:sz w:val="22"/>
          <w:szCs w:val="22"/>
        </w:rPr>
        <w:t>On page</w:t>
      </w:r>
      <w:r w:rsidR="00231BCE">
        <w:rPr>
          <w:rFonts w:eastAsia="Times New Roman"/>
          <w:color w:val="FF0000"/>
          <w:sz w:val="22"/>
          <w:szCs w:val="22"/>
        </w:rPr>
        <w:t>s</w:t>
      </w:r>
      <w:r>
        <w:rPr>
          <w:rFonts w:eastAsia="Times New Roman"/>
          <w:color w:val="FF0000"/>
          <w:sz w:val="22"/>
          <w:szCs w:val="22"/>
        </w:rPr>
        <w:t xml:space="preserve"> 17</w:t>
      </w:r>
      <w:r w:rsidR="00231BCE">
        <w:rPr>
          <w:rFonts w:eastAsia="Times New Roman"/>
          <w:color w:val="FF0000"/>
          <w:sz w:val="22"/>
          <w:szCs w:val="22"/>
        </w:rPr>
        <w:t xml:space="preserve"> and 18</w:t>
      </w:r>
      <w:r>
        <w:rPr>
          <w:rFonts w:eastAsia="Times New Roman"/>
          <w:color w:val="FF0000"/>
          <w:sz w:val="22"/>
          <w:szCs w:val="22"/>
        </w:rPr>
        <w:t xml:space="preserve"> we have modified</w:t>
      </w:r>
      <w:r w:rsidR="009C3162">
        <w:rPr>
          <w:rFonts w:eastAsia="Times New Roman"/>
          <w:color w:val="FF0000"/>
          <w:sz w:val="22"/>
          <w:szCs w:val="22"/>
        </w:rPr>
        <w:t xml:space="preserve"> the text to clarify this point:</w:t>
      </w:r>
    </w:p>
    <w:p w14:paraId="5BFF73D1" w14:textId="77777777" w:rsidR="005B5CF9" w:rsidRDefault="005B5CF9" w:rsidP="00CC21E5">
      <w:pPr>
        <w:rPr>
          <w:rFonts w:eastAsia="Times New Roman"/>
          <w:color w:val="FF0000"/>
          <w:sz w:val="22"/>
          <w:szCs w:val="22"/>
        </w:rPr>
      </w:pPr>
    </w:p>
    <w:p w14:paraId="6F800510" w14:textId="344663E2" w:rsidR="00231BCE" w:rsidRPr="00231BCE" w:rsidRDefault="00231BCE" w:rsidP="00231BCE">
      <w:pPr>
        <w:widowControl w:val="0"/>
        <w:autoSpaceDE w:val="0"/>
        <w:autoSpaceDN w:val="0"/>
        <w:adjustRightInd w:val="0"/>
        <w:rPr>
          <w:rFonts w:eastAsia="Times New Roman"/>
          <w:color w:val="FF0000"/>
          <w:sz w:val="22"/>
          <w:szCs w:val="22"/>
        </w:rPr>
      </w:pPr>
      <w:r w:rsidRPr="00231BCE">
        <w:rPr>
          <w:rFonts w:eastAsia="Times New Roman"/>
          <w:color w:val="FF0000"/>
          <w:sz w:val="22"/>
          <w:szCs w:val="22"/>
        </w:rPr>
        <w:t>The differences between these two basis sets are reported in the ESI. The consistency between the two basis sets (E(</w:t>
      </w:r>
      <w:proofErr w:type="spellStart"/>
      <w:r w:rsidRPr="00231BCE">
        <w:rPr>
          <w:rFonts w:eastAsia="Times New Roman"/>
          <w:color w:val="FF0000"/>
          <w:sz w:val="22"/>
          <w:szCs w:val="22"/>
        </w:rPr>
        <w:t>aug</w:t>
      </w:r>
      <w:proofErr w:type="spellEnd"/>
      <w:r w:rsidRPr="00231BCE">
        <w:rPr>
          <w:rFonts w:eastAsia="Times New Roman"/>
          <w:color w:val="FF0000"/>
          <w:sz w:val="22"/>
          <w:szCs w:val="22"/>
        </w:rPr>
        <w:t>-cc-</w:t>
      </w:r>
      <w:proofErr w:type="spellStart"/>
      <w:r w:rsidRPr="00231BCE">
        <w:rPr>
          <w:rFonts w:eastAsia="Times New Roman"/>
          <w:color w:val="FF0000"/>
          <w:sz w:val="22"/>
          <w:szCs w:val="22"/>
        </w:rPr>
        <w:t>pVTZ</w:t>
      </w:r>
      <w:proofErr w:type="spellEnd"/>
      <w:r w:rsidRPr="00231BCE">
        <w:rPr>
          <w:rFonts w:eastAsia="Times New Roman"/>
          <w:color w:val="FF0000"/>
          <w:sz w:val="22"/>
          <w:szCs w:val="22"/>
        </w:rPr>
        <w:t>) - E(</w:t>
      </w:r>
      <w:proofErr w:type="spellStart"/>
      <w:r w:rsidRPr="00231BCE">
        <w:rPr>
          <w:rFonts w:eastAsia="Times New Roman"/>
          <w:color w:val="FF0000"/>
          <w:sz w:val="22"/>
          <w:szCs w:val="22"/>
        </w:rPr>
        <w:t>aug</w:t>
      </w:r>
      <w:proofErr w:type="spellEnd"/>
      <w:r w:rsidRPr="00231BCE">
        <w:rPr>
          <w:rFonts w:eastAsia="Times New Roman"/>
          <w:color w:val="FF0000"/>
          <w:sz w:val="22"/>
          <w:szCs w:val="22"/>
        </w:rPr>
        <w:t>-cc-</w:t>
      </w:r>
      <w:proofErr w:type="spellStart"/>
      <w:r w:rsidRPr="00231BCE">
        <w:rPr>
          <w:rFonts w:eastAsia="Times New Roman"/>
          <w:color w:val="FF0000"/>
          <w:sz w:val="22"/>
          <w:szCs w:val="22"/>
        </w:rPr>
        <w:t>pVDZ</w:t>
      </w:r>
      <w:proofErr w:type="spellEnd"/>
      <w:r w:rsidRPr="00231BCE">
        <w:rPr>
          <w:rFonts w:eastAsia="Times New Roman"/>
          <w:color w:val="FF0000"/>
          <w:sz w:val="22"/>
          <w:szCs w:val="22"/>
        </w:rPr>
        <w:t>)) is immediately apparent: with the triple-ζ basis set, electrostatics is always weaker compared to the double-ζ basis set, by 2.7 kJ·mol</w:t>
      </w:r>
      <w:r w:rsidRPr="002F6BF4">
        <w:rPr>
          <w:rFonts w:eastAsia="Times New Roman"/>
          <w:color w:val="FF0000"/>
          <w:sz w:val="22"/>
          <w:szCs w:val="22"/>
          <w:vertAlign w:val="superscript"/>
        </w:rPr>
        <w:t xml:space="preserve">−1 </w:t>
      </w:r>
      <w:r w:rsidRPr="00231BCE">
        <w:rPr>
          <w:rFonts w:eastAsia="Times New Roman"/>
          <w:color w:val="FF0000"/>
          <w:sz w:val="22"/>
          <w:szCs w:val="22"/>
        </w:rPr>
        <w:t xml:space="preserve">on average (3.0 kJ·mol−1 for </w:t>
      </w:r>
      <w:proofErr w:type="spellStart"/>
      <w:r w:rsidRPr="00231BCE">
        <w:rPr>
          <w:rFonts w:eastAsia="Times New Roman"/>
          <w:color w:val="FF0000"/>
          <w:sz w:val="22"/>
          <w:szCs w:val="22"/>
        </w:rPr>
        <w:t>imidazolium</w:t>
      </w:r>
      <w:proofErr w:type="spellEnd"/>
      <w:r w:rsidRPr="00231BCE">
        <w:rPr>
          <w:rFonts w:eastAsia="Times New Roman"/>
          <w:color w:val="FF0000"/>
          <w:sz w:val="22"/>
          <w:szCs w:val="22"/>
        </w:rPr>
        <w:t xml:space="preserve"> systems and 1.9 kJ·mol</w:t>
      </w:r>
      <w:r w:rsidRPr="002F6BF4">
        <w:rPr>
          <w:rFonts w:eastAsia="Times New Roman"/>
          <w:color w:val="FF0000"/>
          <w:sz w:val="22"/>
          <w:szCs w:val="22"/>
          <w:vertAlign w:val="superscript"/>
        </w:rPr>
        <w:t xml:space="preserve">−1 </w:t>
      </w:r>
      <w:r w:rsidRPr="00231BCE">
        <w:rPr>
          <w:rFonts w:eastAsia="Times New Roman"/>
          <w:color w:val="FF0000"/>
          <w:sz w:val="22"/>
          <w:szCs w:val="22"/>
        </w:rPr>
        <w:t xml:space="preserve">for </w:t>
      </w:r>
      <w:proofErr w:type="spellStart"/>
      <w:r w:rsidRPr="00231BCE">
        <w:rPr>
          <w:rFonts w:eastAsia="Times New Roman"/>
          <w:color w:val="FF0000"/>
          <w:sz w:val="22"/>
          <w:szCs w:val="22"/>
        </w:rPr>
        <w:t>pyrrolidinium</w:t>
      </w:r>
      <w:proofErr w:type="spellEnd"/>
      <w:r w:rsidRPr="00231BCE">
        <w:rPr>
          <w:rFonts w:eastAsia="Times New Roman"/>
          <w:color w:val="FF0000"/>
          <w:sz w:val="22"/>
          <w:szCs w:val="22"/>
        </w:rPr>
        <w:t xml:space="preserve"> systems). Exchange follows the same trend, with the larger basis set giving a larger exchange energy of 4.9 kJ·mol</w:t>
      </w:r>
      <w:r w:rsidR="002F6BF4" w:rsidRPr="002F6BF4">
        <w:rPr>
          <w:rFonts w:eastAsia="Times New Roman"/>
          <w:color w:val="FF0000"/>
          <w:sz w:val="22"/>
          <w:szCs w:val="22"/>
          <w:vertAlign w:val="superscript"/>
        </w:rPr>
        <w:t xml:space="preserve">−1 </w:t>
      </w:r>
      <w:r w:rsidRPr="00231BCE">
        <w:rPr>
          <w:rFonts w:eastAsia="Times New Roman"/>
          <w:color w:val="FF0000"/>
          <w:sz w:val="22"/>
          <w:szCs w:val="22"/>
        </w:rPr>
        <w:t xml:space="preserve">on average. It is not surprising that the larger </w:t>
      </w:r>
      <w:proofErr w:type="spellStart"/>
      <w:r w:rsidRPr="00231BCE">
        <w:rPr>
          <w:rFonts w:eastAsia="Times New Roman"/>
          <w:color w:val="FF0000"/>
          <w:sz w:val="22"/>
          <w:szCs w:val="22"/>
        </w:rPr>
        <w:t>aug</w:t>
      </w:r>
      <w:proofErr w:type="spellEnd"/>
      <w:r w:rsidRPr="00231BCE">
        <w:rPr>
          <w:rFonts w:eastAsia="Times New Roman"/>
          <w:color w:val="FF0000"/>
          <w:sz w:val="22"/>
          <w:szCs w:val="22"/>
        </w:rPr>
        <w:t>-cc-</w:t>
      </w:r>
      <w:proofErr w:type="spellStart"/>
      <w:r w:rsidRPr="00231BCE">
        <w:rPr>
          <w:rFonts w:eastAsia="Times New Roman"/>
          <w:color w:val="FF0000"/>
          <w:sz w:val="22"/>
          <w:szCs w:val="22"/>
        </w:rPr>
        <w:t>pVTZ</w:t>
      </w:r>
      <w:proofErr w:type="spellEnd"/>
      <w:r w:rsidRPr="00231BCE">
        <w:rPr>
          <w:rFonts w:eastAsia="Times New Roman"/>
          <w:color w:val="FF0000"/>
          <w:sz w:val="22"/>
          <w:szCs w:val="22"/>
        </w:rPr>
        <w:t xml:space="preserve"> basis set leads to greater recovery of the dispersion energy by 5.6 kJ·mol</w:t>
      </w:r>
      <w:r w:rsidR="002F6BF4" w:rsidRPr="002F6BF4">
        <w:rPr>
          <w:rFonts w:eastAsia="Times New Roman"/>
          <w:color w:val="FF0000"/>
          <w:sz w:val="22"/>
          <w:szCs w:val="22"/>
          <w:vertAlign w:val="superscript"/>
        </w:rPr>
        <w:t>−</w:t>
      </w:r>
      <w:proofErr w:type="gramStart"/>
      <w:r w:rsidR="002F6BF4" w:rsidRPr="002F6BF4">
        <w:rPr>
          <w:rFonts w:eastAsia="Times New Roman"/>
          <w:color w:val="FF0000"/>
          <w:sz w:val="22"/>
          <w:szCs w:val="22"/>
          <w:vertAlign w:val="superscript"/>
        </w:rPr>
        <w:t xml:space="preserve">1 </w:t>
      </w:r>
      <w:r w:rsidRPr="00231BCE">
        <w:rPr>
          <w:rFonts w:eastAsia="Times New Roman"/>
          <w:color w:val="FF0000"/>
          <w:sz w:val="22"/>
          <w:szCs w:val="22"/>
        </w:rPr>
        <w:t xml:space="preserve"> on</w:t>
      </w:r>
      <w:proofErr w:type="gramEnd"/>
      <w:r w:rsidRPr="00231BCE">
        <w:rPr>
          <w:rFonts w:eastAsia="Times New Roman"/>
          <w:color w:val="FF0000"/>
          <w:sz w:val="22"/>
          <w:szCs w:val="22"/>
        </w:rPr>
        <w:t xml:space="preserve"> average. There is no such pattern observed in the induction energy, with both basis sets giving excellent agreement to each other below 1 kJ·mol</w:t>
      </w:r>
      <w:r w:rsidR="002F6BF4" w:rsidRPr="002F6BF4">
        <w:rPr>
          <w:rFonts w:eastAsia="Times New Roman"/>
          <w:color w:val="FF0000"/>
          <w:sz w:val="22"/>
          <w:szCs w:val="22"/>
          <w:vertAlign w:val="superscript"/>
        </w:rPr>
        <w:t>−1</w:t>
      </w:r>
      <w:r w:rsidRPr="00231BCE">
        <w:rPr>
          <w:rFonts w:eastAsia="Times New Roman"/>
          <w:color w:val="FF0000"/>
          <w:sz w:val="22"/>
          <w:szCs w:val="22"/>
        </w:rPr>
        <w:t>. Note that the difference between the two basis sets for charge-transfer 8.6 kJ·mol</w:t>
      </w:r>
      <w:r w:rsidR="002F6BF4" w:rsidRPr="002F6BF4">
        <w:rPr>
          <w:rFonts w:eastAsia="Times New Roman"/>
          <w:color w:val="FF0000"/>
          <w:sz w:val="22"/>
          <w:szCs w:val="22"/>
          <w:vertAlign w:val="superscript"/>
        </w:rPr>
        <w:t xml:space="preserve">−1 </w:t>
      </w:r>
      <w:r w:rsidRPr="00231BCE">
        <w:rPr>
          <w:rFonts w:eastAsia="Times New Roman"/>
          <w:color w:val="FF0000"/>
          <w:sz w:val="22"/>
          <w:szCs w:val="22"/>
        </w:rPr>
        <w:t>on average with a standard deviation of 1.7 kJ·mol</w:t>
      </w:r>
      <w:r w:rsidR="002F6BF4" w:rsidRPr="002F6BF4">
        <w:rPr>
          <w:rFonts w:eastAsia="Times New Roman"/>
          <w:color w:val="FF0000"/>
          <w:sz w:val="22"/>
          <w:szCs w:val="22"/>
          <w:vertAlign w:val="superscript"/>
        </w:rPr>
        <w:t>−1</w:t>
      </w:r>
      <w:r w:rsidRPr="00231BCE">
        <w:rPr>
          <w:rFonts w:eastAsia="Times New Roman"/>
          <w:color w:val="FF0000"/>
          <w:sz w:val="22"/>
          <w:szCs w:val="22"/>
        </w:rPr>
        <w:t>. Charge-transfer is expected to decrease with increasing basis set size in SAPT, as observed. And therefore, agreement between basis sets cannot be based on the comparison of charge-transfer energies. In the total interaction energy, the largest difference of 9 kJ·mol</w:t>
      </w:r>
      <w:r w:rsidR="002F6BF4" w:rsidRPr="002F6BF4">
        <w:rPr>
          <w:rFonts w:eastAsia="Times New Roman"/>
          <w:color w:val="FF0000"/>
          <w:sz w:val="22"/>
          <w:szCs w:val="22"/>
          <w:vertAlign w:val="superscript"/>
        </w:rPr>
        <w:t>−</w:t>
      </w:r>
      <w:proofErr w:type="gramStart"/>
      <w:r w:rsidR="002F6BF4" w:rsidRPr="002F6BF4">
        <w:rPr>
          <w:rFonts w:eastAsia="Times New Roman"/>
          <w:color w:val="FF0000"/>
          <w:sz w:val="22"/>
          <w:szCs w:val="22"/>
          <w:vertAlign w:val="superscript"/>
        </w:rPr>
        <w:t xml:space="preserve">1 </w:t>
      </w:r>
      <w:r w:rsidRPr="00231BCE">
        <w:rPr>
          <w:rFonts w:eastAsia="Times New Roman"/>
          <w:color w:val="FF0000"/>
          <w:sz w:val="22"/>
          <w:szCs w:val="22"/>
        </w:rPr>
        <w:t xml:space="preserve"> comes</w:t>
      </w:r>
      <w:proofErr w:type="gramEnd"/>
      <w:r w:rsidRPr="00231BCE">
        <w:rPr>
          <w:rFonts w:eastAsia="Times New Roman"/>
          <w:color w:val="FF0000"/>
          <w:sz w:val="22"/>
          <w:szCs w:val="22"/>
        </w:rPr>
        <w:t xml:space="preserve"> from [C1mim][Cl] , specifically for the in-plane configuration p2. The average difference for the total interaction energy is 7.3 kJ·mol</w:t>
      </w:r>
      <w:r w:rsidR="002F6BF4" w:rsidRPr="002F6BF4">
        <w:rPr>
          <w:rFonts w:eastAsia="Times New Roman"/>
          <w:color w:val="FF0000"/>
          <w:sz w:val="22"/>
          <w:szCs w:val="22"/>
          <w:vertAlign w:val="superscript"/>
        </w:rPr>
        <w:t xml:space="preserve">−1 </w:t>
      </w:r>
      <w:r w:rsidRPr="00231BCE">
        <w:rPr>
          <w:rFonts w:eastAsia="Times New Roman"/>
          <w:color w:val="FF0000"/>
          <w:sz w:val="22"/>
          <w:szCs w:val="22"/>
        </w:rPr>
        <w:t>with a standard deviation of 1.2 kJ·mol</w:t>
      </w:r>
      <w:r w:rsidR="002F6BF4" w:rsidRPr="002F6BF4">
        <w:rPr>
          <w:rFonts w:eastAsia="Times New Roman"/>
          <w:color w:val="FF0000"/>
          <w:sz w:val="22"/>
          <w:szCs w:val="22"/>
          <w:vertAlign w:val="superscript"/>
        </w:rPr>
        <w:t>−1</w:t>
      </w:r>
      <w:r w:rsidRPr="00231BCE">
        <w:rPr>
          <w:rFonts w:eastAsia="Times New Roman"/>
          <w:color w:val="FF0000"/>
          <w:sz w:val="22"/>
          <w:szCs w:val="22"/>
        </w:rPr>
        <w:t xml:space="preserve">. </w:t>
      </w:r>
    </w:p>
    <w:p w14:paraId="00139526" w14:textId="720AFC6E" w:rsidR="00886525" w:rsidRPr="009C3162" w:rsidRDefault="00CC21E5" w:rsidP="009C3162">
      <w:pPr>
        <w:widowControl w:val="0"/>
        <w:autoSpaceDE w:val="0"/>
        <w:autoSpaceDN w:val="0"/>
        <w:adjustRightInd w:val="0"/>
        <w:rPr>
          <w:color w:val="0000FF"/>
        </w:rPr>
      </w:pPr>
      <w:r w:rsidRPr="009C3162">
        <w:rPr>
          <w:rFonts w:eastAsia="Times New Roman"/>
          <w:color w:val="FF0000"/>
          <w:sz w:val="22"/>
          <w:szCs w:val="22"/>
        </w:rPr>
        <w:br/>
      </w:r>
      <w:r w:rsidRPr="009C3162">
        <w:rPr>
          <w:rFonts w:eastAsia="Times New Roman"/>
          <w:color w:val="FF0000"/>
          <w:sz w:val="22"/>
          <w:szCs w:val="22"/>
        </w:rPr>
        <w:br/>
      </w:r>
      <w:r w:rsidRPr="00CC21E5">
        <w:rPr>
          <w:rFonts w:eastAsia="Times New Roman"/>
          <w:color w:val="000000"/>
          <w:sz w:val="22"/>
          <w:szCs w:val="22"/>
          <w:shd w:val="clear" w:color="auto" w:fill="FFFFFF"/>
        </w:rPr>
        <w:t>-Table 3: define acronyms </w:t>
      </w:r>
      <w:r w:rsidRPr="00CC21E5">
        <w:rPr>
          <w:rFonts w:eastAsia="Times New Roman"/>
          <w:color w:val="000000"/>
          <w:sz w:val="22"/>
          <w:szCs w:val="22"/>
        </w:rPr>
        <w:br/>
      </w:r>
    </w:p>
    <w:p w14:paraId="6F3023D4" w14:textId="12589640" w:rsidR="00CC21E5" w:rsidRPr="00CC21E5" w:rsidRDefault="009C3162" w:rsidP="009C3162">
      <w:pPr>
        <w:rPr>
          <w:rFonts w:eastAsia="Times New Roman"/>
          <w:i/>
          <w:color w:val="000000"/>
          <w:sz w:val="22"/>
          <w:szCs w:val="22"/>
        </w:rPr>
      </w:pPr>
      <w:r>
        <w:rPr>
          <w:rFonts w:eastAsia="Times New Roman"/>
          <w:color w:val="FF0000"/>
          <w:sz w:val="22"/>
          <w:szCs w:val="22"/>
        </w:rPr>
        <w:t xml:space="preserve">#Table 3 now includes the definition of the TILAs and Hal acronyms in the table caption for readers’ convenience. </w:t>
      </w:r>
    </w:p>
    <w:p w14:paraId="24DB6A76" w14:textId="77777777" w:rsidR="00CC21E5" w:rsidRDefault="00CC21E5" w:rsidP="00CC21E5">
      <w:pPr>
        <w:rPr>
          <w:rFonts w:eastAsia="Times New Roman"/>
          <w:color w:val="000000"/>
          <w:sz w:val="22"/>
          <w:szCs w:val="22"/>
          <w:shd w:val="clear" w:color="auto" w:fill="FFFFFF"/>
        </w:rPr>
      </w:pPr>
      <w:r w:rsidRPr="00CC21E5">
        <w:rPr>
          <w:rFonts w:eastAsia="Times New Roman"/>
          <w:color w:val="000000"/>
          <w:sz w:val="22"/>
          <w:szCs w:val="22"/>
        </w:rPr>
        <w:br/>
      </w:r>
      <w:r w:rsidRPr="00CC21E5">
        <w:rPr>
          <w:rFonts w:eastAsia="Times New Roman"/>
          <w:color w:val="000000"/>
          <w:sz w:val="22"/>
          <w:szCs w:val="22"/>
          <w:shd w:val="clear" w:color="auto" w:fill="FFFFFF"/>
        </w:rPr>
        <w:t>-Table 4: define units (e.g. in caption)</w:t>
      </w:r>
    </w:p>
    <w:p w14:paraId="04F1AAA4" w14:textId="77777777" w:rsidR="00435424" w:rsidRDefault="00435424" w:rsidP="00CC21E5">
      <w:pPr>
        <w:rPr>
          <w:rFonts w:eastAsia="Times New Roman"/>
          <w:i/>
          <w:color w:val="000000"/>
          <w:sz w:val="22"/>
          <w:szCs w:val="22"/>
          <w:shd w:val="clear" w:color="auto" w:fill="FFFFFF"/>
        </w:rPr>
      </w:pPr>
    </w:p>
    <w:p w14:paraId="0B0286F4" w14:textId="484C9521" w:rsidR="009C3162" w:rsidRDefault="009C3162" w:rsidP="009C3162">
      <w:pPr>
        <w:rPr>
          <w:rFonts w:eastAsia="Times New Roman"/>
          <w:color w:val="FF0000"/>
          <w:sz w:val="22"/>
          <w:szCs w:val="22"/>
        </w:rPr>
      </w:pPr>
      <w:r>
        <w:rPr>
          <w:rFonts w:eastAsia="Times New Roman"/>
          <w:color w:val="FF0000"/>
          <w:sz w:val="22"/>
          <w:szCs w:val="22"/>
        </w:rPr>
        <w:t>#</w:t>
      </w:r>
      <w:r w:rsidR="002F6BF4">
        <w:rPr>
          <w:rFonts w:eastAsia="Times New Roman"/>
          <w:color w:val="FF0000"/>
          <w:sz w:val="22"/>
          <w:szCs w:val="22"/>
        </w:rPr>
        <w:t xml:space="preserve"> </w:t>
      </w:r>
      <w:bookmarkStart w:id="0" w:name="_GoBack"/>
      <w:bookmarkEnd w:id="0"/>
      <w:r>
        <w:rPr>
          <w:rFonts w:eastAsia="Times New Roman"/>
          <w:color w:val="FF0000"/>
          <w:sz w:val="22"/>
          <w:szCs w:val="22"/>
        </w:rPr>
        <w:t>In Table</w:t>
      </w:r>
      <w:r w:rsidR="002F6BF4">
        <w:rPr>
          <w:rFonts w:eastAsia="Times New Roman"/>
          <w:color w:val="FF0000"/>
          <w:sz w:val="22"/>
          <w:szCs w:val="22"/>
        </w:rPr>
        <w:t xml:space="preserve"> 4</w:t>
      </w:r>
      <w:r>
        <w:rPr>
          <w:rFonts w:eastAsia="Times New Roman"/>
          <w:color w:val="FF0000"/>
          <w:sz w:val="22"/>
          <w:szCs w:val="22"/>
        </w:rPr>
        <w:t xml:space="preserve"> the table caption has been modified to contain units. </w:t>
      </w:r>
    </w:p>
    <w:p w14:paraId="56351E47" w14:textId="77777777" w:rsidR="009C3162" w:rsidRPr="00CC21E5" w:rsidRDefault="009C3162" w:rsidP="009C3162">
      <w:pPr>
        <w:rPr>
          <w:rFonts w:eastAsia="Times New Roman"/>
          <w:color w:val="000000"/>
          <w:sz w:val="22"/>
          <w:szCs w:val="22"/>
          <w:shd w:val="clear" w:color="auto" w:fill="FFFFFF"/>
        </w:rPr>
      </w:pPr>
    </w:p>
    <w:p w14:paraId="109000D2" w14:textId="3D7865F2" w:rsidR="00CC21E5" w:rsidRPr="009F29D3" w:rsidRDefault="00CC21E5" w:rsidP="00CC21E5">
      <w:pPr>
        <w:rPr>
          <w:rFonts w:eastAsia="Times New Roman"/>
          <w:color w:val="000000"/>
          <w:sz w:val="22"/>
          <w:szCs w:val="22"/>
        </w:rPr>
      </w:pPr>
      <w:r w:rsidRPr="00CC21E5">
        <w:rPr>
          <w:rFonts w:eastAsia="Times New Roman"/>
          <w:color w:val="000000"/>
          <w:sz w:val="22"/>
          <w:szCs w:val="22"/>
          <w:shd w:val="clear" w:color="auto" w:fill="FFFFFF"/>
        </w:rPr>
        <w:t>-Figure 4: It is unclear which data corresponds to the raw results, and which to the scaled. This figure needs to be re-worked. </w:t>
      </w:r>
    </w:p>
    <w:p w14:paraId="55898F4C" w14:textId="77777777" w:rsidR="005A4C15" w:rsidRDefault="005A4C15">
      <w:pPr>
        <w:rPr>
          <w:i/>
          <w:sz w:val="22"/>
          <w:szCs w:val="22"/>
        </w:rPr>
      </w:pPr>
    </w:p>
    <w:p w14:paraId="7B70C841" w14:textId="775F63D4" w:rsidR="005A4C15" w:rsidRPr="005A4C15" w:rsidRDefault="005A4C15">
      <w:pPr>
        <w:rPr>
          <w:color w:val="FF0000"/>
          <w:sz w:val="22"/>
          <w:szCs w:val="22"/>
        </w:rPr>
      </w:pPr>
      <w:r w:rsidRPr="005A4C15">
        <w:rPr>
          <w:color w:val="FF0000"/>
          <w:sz w:val="22"/>
          <w:szCs w:val="22"/>
        </w:rPr>
        <w:t># The figure caption for Figure 4 has been changed to:</w:t>
      </w:r>
    </w:p>
    <w:p w14:paraId="3A97CA54" w14:textId="77777777" w:rsidR="005A4C15" w:rsidRPr="005A4C15" w:rsidRDefault="005A4C15">
      <w:pPr>
        <w:rPr>
          <w:color w:val="FF0000"/>
          <w:sz w:val="22"/>
          <w:szCs w:val="22"/>
        </w:rPr>
      </w:pPr>
    </w:p>
    <w:p w14:paraId="531A96C6" w14:textId="00C8AD08" w:rsidR="00CC21E5" w:rsidRPr="005A4C15" w:rsidRDefault="005A4C15" w:rsidP="005A4C15">
      <w:pPr>
        <w:widowControl w:val="0"/>
        <w:autoSpaceDE w:val="0"/>
        <w:autoSpaceDN w:val="0"/>
        <w:adjustRightInd w:val="0"/>
        <w:jc w:val="both"/>
        <w:rPr>
          <w:color w:val="FF0000"/>
          <w:sz w:val="22"/>
          <w:szCs w:val="22"/>
        </w:rPr>
      </w:pPr>
      <w:r w:rsidRPr="005A4C15">
        <w:rPr>
          <w:color w:val="FF0000"/>
          <w:sz w:val="22"/>
          <w:szCs w:val="22"/>
        </w:rPr>
        <w:t>“Distribution of the raw and scaled differences (kJ mol</w:t>
      </w:r>
      <w:r w:rsidRPr="005A4C15">
        <w:rPr>
          <w:color w:val="FF0000"/>
          <w:sz w:val="22"/>
          <w:szCs w:val="22"/>
          <w:vertAlign w:val="superscript"/>
        </w:rPr>
        <w:t>-1</w:t>
      </w:r>
      <w:r w:rsidRPr="005A4C15">
        <w:rPr>
          <w:color w:val="FF0000"/>
          <w:sz w:val="22"/>
          <w:szCs w:val="22"/>
        </w:rPr>
        <w:t xml:space="preserve">) between SAPT and EFP, by energetic component and anion type, </w:t>
      </w:r>
      <w:proofErr w:type="spellStart"/>
      <w:r w:rsidRPr="005A4C15">
        <w:rPr>
          <w:color w:val="FF0000"/>
          <w:sz w:val="22"/>
          <w:szCs w:val="22"/>
        </w:rPr>
        <w:t>coloured</w:t>
      </w:r>
      <w:proofErr w:type="spellEnd"/>
      <w:r w:rsidRPr="005A4C15">
        <w:rPr>
          <w:color w:val="FF0000"/>
          <w:sz w:val="22"/>
          <w:szCs w:val="22"/>
        </w:rPr>
        <w:t xml:space="preserve"> by </w:t>
      </w:r>
      <w:proofErr w:type="spellStart"/>
      <w:r w:rsidRPr="005A4C15">
        <w:rPr>
          <w:color w:val="FF0000"/>
          <w:sz w:val="22"/>
          <w:szCs w:val="22"/>
        </w:rPr>
        <w:t>cation</w:t>
      </w:r>
      <w:proofErr w:type="spellEnd"/>
      <w:r w:rsidRPr="005A4C15">
        <w:rPr>
          <w:color w:val="FF0000"/>
          <w:sz w:val="22"/>
          <w:szCs w:val="22"/>
        </w:rPr>
        <w:t xml:space="preserve">. Raw differences between SAPT and EFP are solid line unfilled densities, whereas the filled distribution represent differences after scaling.” </w:t>
      </w:r>
    </w:p>
    <w:p w14:paraId="3E16FDDA" w14:textId="77777777" w:rsidR="00CC21E5" w:rsidRDefault="00CC21E5"/>
    <w:p w14:paraId="13155875" w14:textId="77777777" w:rsidR="00CC21E5" w:rsidRPr="00CC21E5" w:rsidRDefault="00CC21E5">
      <w:pPr>
        <w:rPr>
          <w:sz w:val="22"/>
          <w:szCs w:val="22"/>
        </w:rPr>
      </w:pPr>
    </w:p>
    <w:p w14:paraId="54374F19" w14:textId="77777777" w:rsidR="00435424" w:rsidRDefault="00CC21E5" w:rsidP="00CC21E5">
      <w:pPr>
        <w:rPr>
          <w:rFonts w:eastAsia="Times New Roman"/>
          <w:i/>
          <w:color w:val="000000"/>
          <w:sz w:val="22"/>
          <w:szCs w:val="22"/>
        </w:rPr>
      </w:pPr>
      <w:r w:rsidRPr="00CC21E5">
        <w:rPr>
          <w:rFonts w:eastAsia="Times New Roman"/>
          <w:color w:val="000000"/>
          <w:sz w:val="22"/>
          <w:szCs w:val="22"/>
          <w:shd w:val="clear" w:color="auto" w:fill="FFFFFF"/>
        </w:rPr>
        <w:t>Reviewer 2 Comments: </w:t>
      </w:r>
      <w:r w:rsidRPr="00CC21E5">
        <w:rPr>
          <w:rFonts w:eastAsia="Times New Roman"/>
          <w:color w:val="000000"/>
          <w:sz w:val="22"/>
          <w:szCs w:val="22"/>
        </w:rPr>
        <w:br/>
      </w:r>
      <w:r w:rsidRPr="00CC21E5">
        <w:rPr>
          <w:rFonts w:eastAsia="Times New Roman"/>
          <w:color w:val="000000"/>
          <w:sz w:val="22"/>
          <w:szCs w:val="22"/>
        </w:rPr>
        <w:br/>
      </w:r>
      <w:r w:rsidRPr="00CC21E5">
        <w:rPr>
          <w:rFonts w:eastAsia="Times New Roman"/>
          <w:color w:val="000000"/>
          <w:sz w:val="22"/>
          <w:szCs w:val="22"/>
          <w:shd w:val="clear" w:color="auto" w:fill="FFFFFF"/>
        </w:rPr>
        <w:t xml:space="preserve">The authors present a very thorough comparison of the effective fragment potential method (EFP) for its use to describe the interaction in isolated ionic liquid ion pairs in the gas phase. As </w:t>
      </w:r>
      <w:r>
        <w:rPr>
          <w:rFonts w:eastAsia="Times New Roman"/>
          <w:color w:val="000000"/>
          <w:sz w:val="22"/>
          <w:szCs w:val="22"/>
          <w:shd w:val="clear" w:color="auto" w:fill="FFFFFF"/>
        </w:rPr>
        <w:t>b</w:t>
      </w:r>
      <w:r w:rsidRPr="00CC21E5">
        <w:rPr>
          <w:rFonts w:eastAsia="Times New Roman"/>
          <w:color w:val="000000"/>
          <w:sz w:val="22"/>
          <w:szCs w:val="22"/>
          <w:shd w:val="clear" w:color="auto" w:fill="FFFFFF"/>
        </w:rPr>
        <w:t>enchmark, SAPT2 and SAPT2+3 were used, which can be regarded as state-of-the-art. It was found that the performance of EFP depends much on the choice of the basis set and it is hard to predict only from the zeta-level and choice of augmented and polarization functions whether a certain basis set will work well. Overall, the performance of EFPs for ionic liquid ion pairs was worse than anticipated. A detailed analysis of the individual interaction components will enable the future development of improved EFP potentials for ionic liquids. The paper is well-organized and will enable the further improvement of methodology for the efficient simulation of ionic liquids, which is a very important subject and therefore the MS can be recommended for publication in JCTC after the following minor corrections are performed. </w:t>
      </w:r>
      <w:r w:rsidRPr="00CC21E5">
        <w:rPr>
          <w:rFonts w:eastAsia="Times New Roman"/>
          <w:color w:val="000000"/>
          <w:sz w:val="22"/>
          <w:szCs w:val="22"/>
        </w:rPr>
        <w:br/>
      </w:r>
      <w:r w:rsidRPr="00CC21E5">
        <w:rPr>
          <w:rFonts w:eastAsia="Times New Roman"/>
          <w:color w:val="000000"/>
          <w:sz w:val="22"/>
          <w:szCs w:val="22"/>
        </w:rPr>
        <w:br/>
      </w:r>
      <w:r w:rsidRPr="00CC21E5">
        <w:rPr>
          <w:rFonts w:eastAsia="Times New Roman"/>
          <w:color w:val="000000"/>
          <w:sz w:val="22"/>
          <w:szCs w:val="22"/>
          <w:shd w:val="clear" w:color="auto" w:fill="FFFFFF"/>
        </w:rPr>
        <w:t>1. Please upload the ESI. It was missing in this submission. </w:t>
      </w:r>
      <w:r w:rsidRPr="00CC21E5">
        <w:rPr>
          <w:rFonts w:eastAsia="Times New Roman"/>
          <w:color w:val="000000"/>
          <w:sz w:val="22"/>
          <w:szCs w:val="22"/>
        </w:rPr>
        <w:br/>
      </w:r>
    </w:p>
    <w:p w14:paraId="5AC9B618" w14:textId="62F31BC4" w:rsidR="00AB6CC4" w:rsidRPr="00A2566C" w:rsidRDefault="00A2566C" w:rsidP="00CC21E5">
      <w:pPr>
        <w:rPr>
          <w:rFonts w:eastAsia="Times New Roman"/>
          <w:i/>
          <w:color w:val="FF0000"/>
          <w:sz w:val="22"/>
          <w:szCs w:val="22"/>
        </w:rPr>
      </w:pPr>
      <w:r w:rsidRPr="00A2566C">
        <w:rPr>
          <w:rFonts w:eastAsia="Times New Roman"/>
          <w:color w:val="FF0000"/>
          <w:sz w:val="22"/>
          <w:szCs w:val="22"/>
        </w:rPr>
        <w:t># The ESI file was originally uploaded</w:t>
      </w:r>
      <w:r w:rsidR="005B5CF9">
        <w:rPr>
          <w:rFonts w:eastAsia="Times New Roman"/>
          <w:color w:val="FF0000"/>
          <w:sz w:val="22"/>
          <w:szCs w:val="22"/>
        </w:rPr>
        <w:t xml:space="preserve"> in the “</w:t>
      </w:r>
      <w:proofErr w:type="spellStart"/>
      <w:r w:rsidR="005B5CF9">
        <w:rPr>
          <w:rFonts w:eastAsia="Times New Roman"/>
          <w:color w:val="FF0000"/>
          <w:sz w:val="22"/>
          <w:szCs w:val="22"/>
        </w:rPr>
        <w:t>tex</w:t>
      </w:r>
      <w:proofErr w:type="spellEnd"/>
      <w:r w:rsidR="005B5CF9">
        <w:rPr>
          <w:rFonts w:eastAsia="Times New Roman"/>
          <w:color w:val="FF0000"/>
          <w:sz w:val="22"/>
          <w:szCs w:val="22"/>
        </w:rPr>
        <w:t>” directory, as esi.pdf. It is generated from</w:t>
      </w:r>
      <w:r w:rsidRPr="00A2566C">
        <w:rPr>
          <w:rFonts w:eastAsia="Times New Roman"/>
          <w:color w:val="FF0000"/>
          <w:sz w:val="22"/>
          <w:szCs w:val="22"/>
        </w:rPr>
        <w:t xml:space="preserve"> </w:t>
      </w:r>
      <w:proofErr w:type="gramStart"/>
      <w:r w:rsidRPr="00A2566C">
        <w:rPr>
          <w:rFonts w:eastAsia="Times New Roman"/>
          <w:color w:val="FF0000"/>
          <w:sz w:val="22"/>
          <w:szCs w:val="22"/>
        </w:rPr>
        <w:t>the .</w:t>
      </w:r>
      <w:proofErr w:type="spellStart"/>
      <w:r w:rsidRPr="00A2566C">
        <w:rPr>
          <w:rFonts w:eastAsia="Times New Roman"/>
          <w:color w:val="FF0000"/>
          <w:sz w:val="22"/>
          <w:szCs w:val="22"/>
        </w:rPr>
        <w:t>tex</w:t>
      </w:r>
      <w:proofErr w:type="spellEnd"/>
      <w:proofErr w:type="gramEnd"/>
      <w:r w:rsidRPr="00A2566C">
        <w:rPr>
          <w:rFonts w:eastAsia="Times New Roman"/>
          <w:color w:val="FF0000"/>
          <w:sz w:val="22"/>
          <w:szCs w:val="22"/>
        </w:rPr>
        <w:t xml:space="preserve"> file named </w:t>
      </w:r>
      <w:proofErr w:type="spellStart"/>
      <w:r w:rsidRPr="00A2566C">
        <w:rPr>
          <w:rFonts w:eastAsia="Times New Roman"/>
          <w:color w:val="FF0000"/>
          <w:sz w:val="22"/>
          <w:szCs w:val="22"/>
        </w:rPr>
        <w:t>esi</w:t>
      </w:r>
      <w:r w:rsidR="005B5CF9">
        <w:rPr>
          <w:rFonts w:eastAsia="Times New Roman"/>
          <w:color w:val="FF0000"/>
          <w:sz w:val="22"/>
          <w:szCs w:val="22"/>
        </w:rPr>
        <w:t>.</w:t>
      </w:r>
      <w:r w:rsidRPr="00A2566C">
        <w:rPr>
          <w:rFonts w:eastAsia="Times New Roman"/>
          <w:color w:val="FF0000"/>
          <w:sz w:val="22"/>
          <w:szCs w:val="22"/>
        </w:rPr>
        <w:t>tex</w:t>
      </w:r>
      <w:proofErr w:type="spellEnd"/>
      <w:r w:rsidRPr="00A2566C">
        <w:rPr>
          <w:rFonts w:eastAsia="Times New Roman"/>
          <w:color w:val="FF0000"/>
          <w:sz w:val="22"/>
          <w:szCs w:val="22"/>
        </w:rPr>
        <w:t xml:space="preserve">.   </w:t>
      </w:r>
    </w:p>
    <w:p w14:paraId="4BD5366D" w14:textId="77777777" w:rsidR="00435424" w:rsidRDefault="00435424" w:rsidP="00CC21E5">
      <w:pPr>
        <w:rPr>
          <w:rFonts w:eastAsia="Times New Roman"/>
          <w:color w:val="000000"/>
          <w:sz w:val="22"/>
          <w:szCs w:val="22"/>
        </w:rPr>
      </w:pPr>
    </w:p>
    <w:p w14:paraId="7ABB616C" w14:textId="77777777" w:rsidR="00886525" w:rsidRDefault="00CC21E5" w:rsidP="00CC21E5">
      <w:pPr>
        <w:rPr>
          <w:rFonts w:eastAsia="Times New Roman"/>
          <w:color w:val="000000"/>
          <w:sz w:val="22"/>
          <w:szCs w:val="22"/>
          <w:shd w:val="clear" w:color="auto" w:fill="FFFFFF"/>
        </w:rPr>
      </w:pPr>
      <w:r w:rsidRPr="00CC21E5">
        <w:rPr>
          <w:rFonts w:eastAsia="Times New Roman"/>
          <w:color w:val="000000"/>
          <w:sz w:val="22"/>
          <w:szCs w:val="22"/>
        </w:rPr>
        <w:br/>
      </w:r>
      <w:r w:rsidRPr="00CC21E5">
        <w:rPr>
          <w:rFonts w:eastAsia="Times New Roman"/>
          <w:color w:val="000000"/>
          <w:sz w:val="22"/>
          <w:szCs w:val="22"/>
          <w:shd w:val="clear" w:color="auto" w:fill="FFFFFF"/>
        </w:rPr>
        <w:t>2. Figures 1 and 2: It is hard to see the geometry. Perhaps two views (top and side, or similar) would be more helpful. In Figure 1: Is p1 a stereoisomer of p4? Also, it does not make sense to indicate double bonds in the imidazolium ring. Perhaps a schematic figure might serve better overall. </w:t>
      </w:r>
    </w:p>
    <w:p w14:paraId="5DF1E50C" w14:textId="77777777" w:rsidR="00886525" w:rsidRDefault="00886525" w:rsidP="00CC21E5">
      <w:pPr>
        <w:rPr>
          <w:rFonts w:eastAsia="Times New Roman"/>
          <w:color w:val="000000"/>
          <w:sz w:val="22"/>
          <w:szCs w:val="22"/>
          <w:shd w:val="clear" w:color="auto" w:fill="FFFFFF"/>
        </w:rPr>
      </w:pPr>
    </w:p>
    <w:p w14:paraId="6DD44E4D" w14:textId="544CB65F" w:rsidR="00A2566C" w:rsidRPr="00A2566C" w:rsidRDefault="00A2566C" w:rsidP="00A2566C">
      <w:pPr>
        <w:jc w:val="both"/>
        <w:rPr>
          <w:rFonts w:eastAsia="Times New Roman"/>
          <w:color w:val="FF0000"/>
          <w:sz w:val="22"/>
          <w:szCs w:val="22"/>
          <w:shd w:val="clear" w:color="auto" w:fill="FFFFFF"/>
        </w:rPr>
      </w:pPr>
      <w:r w:rsidRPr="00A2566C">
        <w:rPr>
          <w:rFonts w:eastAsia="Times New Roman"/>
          <w:color w:val="FF0000"/>
          <w:sz w:val="22"/>
          <w:szCs w:val="22"/>
          <w:shd w:val="clear" w:color="auto" w:fill="FFFFFF"/>
        </w:rPr>
        <w:t># Figures 1 &amp; 2 have been r</w:t>
      </w:r>
      <w:r w:rsidR="00886525" w:rsidRPr="00A2566C">
        <w:rPr>
          <w:rFonts w:eastAsia="Times New Roman"/>
          <w:color w:val="FF0000"/>
          <w:sz w:val="22"/>
          <w:szCs w:val="22"/>
          <w:shd w:val="clear" w:color="auto" w:fill="FFFFFF"/>
        </w:rPr>
        <w:t>eworked</w:t>
      </w:r>
      <w:r w:rsidRPr="00A2566C">
        <w:rPr>
          <w:rFonts w:eastAsia="Times New Roman"/>
          <w:color w:val="FF0000"/>
          <w:sz w:val="22"/>
          <w:szCs w:val="22"/>
          <w:shd w:val="clear" w:color="auto" w:fill="FFFFFF"/>
        </w:rPr>
        <w:t xml:space="preserve"> to make the representation of the studied ion pair configurations clearer.</w:t>
      </w:r>
    </w:p>
    <w:p w14:paraId="4A83A587" w14:textId="04CCBFF6" w:rsidR="00435424" w:rsidRDefault="00CC21E5" w:rsidP="00CC21E5">
      <w:pPr>
        <w:rPr>
          <w:rFonts w:eastAsia="Times New Roman"/>
          <w:i/>
          <w:color w:val="000000"/>
          <w:sz w:val="22"/>
          <w:szCs w:val="22"/>
        </w:rPr>
      </w:pPr>
      <w:r w:rsidRPr="00CC21E5">
        <w:rPr>
          <w:rFonts w:eastAsia="Times New Roman"/>
          <w:color w:val="000000"/>
          <w:sz w:val="22"/>
          <w:szCs w:val="22"/>
        </w:rPr>
        <w:br/>
      </w:r>
      <w:r w:rsidRPr="00CC21E5">
        <w:rPr>
          <w:rFonts w:eastAsia="Times New Roman"/>
          <w:color w:val="000000"/>
          <w:sz w:val="22"/>
          <w:szCs w:val="22"/>
          <w:shd w:val="clear" w:color="auto" w:fill="FFFFFF"/>
        </w:rPr>
        <w:t xml:space="preserve">3. Only optimized geometries were used, but it is questionable whether optimized geometrical parameters for ion pairs are useful as they come in all ranges in the real liquid. This reviewer </w:t>
      </w:r>
      <w:r>
        <w:rPr>
          <w:rFonts w:eastAsia="Times New Roman"/>
          <w:color w:val="000000"/>
          <w:sz w:val="22"/>
          <w:szCs w:val="22"/>
          <w:shd w:val="clear" w:color="auto" w:fill="FFFFFF"/>
        </w:rPr>
        <w:t>w</w:t>
      </w:r>
      <w:r w:rsidRPr="00CC21E5">
        <w:rPr>
          <w:rFonts w:eastAsia="Times New Roman"/>
          <w:color w:val="000000"/>
          <w:sz w:val="22"/>
          <w:szCs w:val="22"/>
          <w:shd w:val="clear" w:color="auto" w:fill="FFFFFF"/>
        </w:rPr>
        <w:t>onders if non-optimized geometries would show different trends in the performance than optimized geometries. </w:t>
      </w:r>
      <w:r w:rsidRPr="00CC21E5">
        <w:rPr>
          <w:rFonts w:eastAsia="Times New Roman"/>
          <w:color w:val="000000"/>
          <w:sz w:val="22"/>
          <w:szCs w:val="22"/>
        </w:rPr>
        <w:br/>
      </w:r>
    </w:p>
    <w:p w14:paraId="66147BB0" w14:textId="64622981" w:rsidR="00EF29AF" w:rsidRPr="00A2566C" w:rsidRDefault="00A2566C" w:rsidP="00A2566C">
      <w:pPr>
        <w:jc w:val="both"/>
        <w:rPr>
          <w:rFonts w:eastAsia="Times New Roman"/>
          <w:color w:val="FF0000"/>
          <w:sz w:val="22"/>
          <w:szCs w:val="22"/>
        </w:rPr>
      </w:pPr>
      <w:r w:rsidRPr="00A2566C">
        <w:rPr>
          <w:rFonts w:eastAsia="Times New Roman"/>
          <w:color w:val="FF0000"/>
          <w:sz w:val="22"/>
          <w:szCs w:val="22"/>
        </w:rPr>
        <w:t xml:space="preserve">#The reviewer raises an excellent point. For ionic liquids ion pairs represent an extreme case of the intermolecular distances that are usually shorter </w:t>
      </w:r>
      <w:r w:rsidR="00764DF1">
        <w:rPr>
          <w:rFonts w:eastAsia="Times New Roman"/>
          <w:color w:val="FF0000"/>
          <w:sz w:val="22"/>
          <w:szCs w:val="22"/>
        </w:rPr>
        <w:t xml:space="preserve">by at least 0.5 </w:t>
      </w:r>
      <w:r>
        <w:rPr>
          <w:rFonts w:eastAsia="Times New Roman"/>
          <w:color w:val="FF0000"/>
          <w:sz w:val="22"/>
          <w:szCs w:val="22"/>
        </w:rPr>
        <w:t>Å</w:t>
      </w:r>
      <w:r w:rsidR="00FF034C">
        <w:rPr>
          <w:rFonts w:eastAsia="Times New Roman"/>
          <w:color w:val="FF0000"/>
          <w:sz w:val="22"/>
          <w:szCs w:val="22"/>
        </w:rPr>
        <w:t xml:space="preserve"> compared to</w:t>
      </w:r>
      <w:r w:rsidRPr="00A2566C">
        <w:rPr>
          <w:rFonts w:eastAsia="Times New Roman"/>
          <w:color w:val="FF0000"/>
          <w:sz w:val="22"/>
          <w:szCs w:val="22"/>
        </w:rPr>
        <w:t xml:space="preserve"> those observed in MD simulations. As a result of these shorter distances the intermolecular interaction in ion pairs is also stronger. It is common for the interaction to reduce as the inter-ionic distance lengthens and therefore it is suggested that the EFP er</w:t>
      </w:r>
      <w:r>
        <w:rPr>
          <w:rFonts w:eastAsia="Times New Roman"/>
          <w:color w:val="FF0000"/>
          <w:sz w:val="22"/>
          <w:szCs w:val="22"/>
        </w:rPr>
        <w:t>rors should</w:t>
      </w:r>
      <w:r w:rsidRPr="00A2566C">
        <w:rPr>
          <w:rFonts w:eastAsia="Times New Roman"/>
          <w:color w:val="FF0000"/>
          <w:sz w:val="22"/>
          <w:szCs w:val="22"/>
        </w:rPr>
        <w:t xml:space="preserve"> reduce on the absolute scale, while keeping the </w:t>
      </w:r>
      <w:r w:rsidR="00C809E1">
        <w:rPr>
          <w:rFonts w:eastAsia="Times New Roman"/>
          <w:color w:val="FF0000"/>
          <w:sz w:val="22"/>
          <w:szCs w:val="22"/>
        </w:rPr>
        <w:t>relative error relatively constant</w:t>
      </w:r>
      <w:r>
        <w:rPr>
          <w:rFonts w:eastAsia="Times New Roman"/>
          <w:color w:val="FF0000"/>
          <w:sz w:val="22"/>
          <w:szCs w:val="22"/>
        </w:rPr>
        <w:t>. To demonstrate this argument we generated relaxed potential energy surfaces for two types of ionic liquid ion pairs, [C1</w:t>
      </w:r>
      <w:proofErr w:type="gramStart"/>
      <w:r>
        <w:rPr>
          <w:rFonts w:eastAsia="Times New Roman"/>
          <w:color w:val="FF0000"/>
          <w:sz w:val="22"/>
          <w:szCs w:val="22"/>
        </w:rPr>
        <w:t>mim][</w:t>
      </w:r>
      <w:proofErr w:type="gramEnd"/>
      <w:r>
        <w:rPr>
          <w:rFonts w:eastAsia="Times New Roman"/>
          <w:color w:val="FF0000"/>
          <w:sz w:val="22"/>
          <w:szCs w:val="22"/>
        </w:rPr>
        <w:t>BF</w:t>
      </w:r>
      <w:r w:rsidRPr="00A2566C">
        <w:rPr>
          <w:rFonts w:eastAsia="Times New Roman"/>
          <w:color w:val="FF0000"/>
          <w:sz w:val="22"/>
          <w:szCs w:val="22"/>
          <w:vertAlign w:val="subscript"/>
        </w:rPr>
        <w:t>4</w:t>
      </w:r>
      <w:r>
        <w:rPr>
          <w:rFonts w:eastAsia="Times New Roman"/>
          <w:color w:val="FF0000"/>
          <w:sz w:val="22"/>
          <w:szCs w:val="22"/>
        </w:rPr>
        <w:t>] and [C</w:t>
      </w:r>
      <w:r w:rsidRPr="00A2566C">
        <w:rPr>
          <w:rFonts w:eastAsia="Times New Roman"/>
          <w:color w:val="FF0000"/>
          <w:sz w:val="22"/>
          <w:szCs w:val="22"/>
          <w:vertAlign w:val="subscript"/>
        </w:rPr>
        <w:t>1</w:t>
      </w:r>
      <w:r>
        <w:rPr>
          <w:rFonts w:eastAsia="Times New Roman"/>
          <w:color w:val="FF0000"/>
          <w:sz w:val="22"/>
          <w:szCs w:val="22"/>
        </w:rPr>
        <w:t>mpyr][BF</w:t>
      </w:r>
      <w:r w:rsidRPr="00A2566C">
        <w:rPr>
          <w:rFonts w:eastAsia="Times New Roman"/>
          <w:color w:val="FF0000"/>
          <w:sz w:val="22"/>
          <w:szCs w:val="22"/>
          <w:vertAlign w:val="subscript"/>
        </w:rPr>
        <w:t>4</w:t>
      </w:r>
      <w:r>
        <w:rPr>
          <w:rFonts w:eastAsia="Times New Roman"/>
          <w:color w:val="FF0000"/>
          <w:sz w:val="22"/>
          <w:szCs w:val="22"/>
        </w:rPr>
        <w:t xml:space="preserve">] by increasing </w:t>
      </w:r>
      <w:r w:rsidR="00392A30">
        <w:rPr>
          <w:rFonts w:eastAsia="Times New Roman"/>
          <w:color w:val="FF0000"/>
          <w:sz w:val="22"/>
          <w:szCs w:val="22"/>
        </w:rPr>
        <w:t>the interionic distance by 0.6 and 1 Å. The absolute and relative differences between EFP and SAPT for each fundamental component are given below in Table 1 &amp; 2, respectively. In this case R</w:t>
      </w:r>
      <w:r w:rsidR="00392A30" w:rsidRPr="00392A30">
        <w:rPr>
          <w:rFonts w:eastAsia="Times New Roman"/>
          <w:color w:val="FF0000"/>
          <w:sz w:val="22"/>
          <w:szCs w:val="22"/>
          <w:vertAlign w:val="subscript"/>
        </w:rPr>
        <w:t>e</w:t>
      </w:r>
      <w:r w:rsidR="00392A30">
        <w:rPr>
          <w:rFonts w:eastAsia="Times New Roman"/>
          <w:color w:val="FF0000"/>
          <w:sz w:val="22"/>
          <w:szCs w:val="22"/>
        </w:rPr>
        <w:t xml:space="preserve"> refers to the equilibrium distances in the ion pairs whose structures were used in the manuscript. </w:t>
      </w:r>
      <w:r w:rsidR="007D5325">
        <w:rPr>
          <w:rFonts w:eastAsia="Times New Roman"/>
          <w:color w:val="FF0000"/>
          <w:sz w:val="22"/>
          <w:szCs w:val="22"/>
        </w:rPr>
        <w:t xml:space="preserve">The CT energy was not calculated due to expense of SAPT2+3 calculations. </w:t>
      </w:r>
    </w:p>
    <w:p w14:paraId="3AD9F3CB" w14:textId="77777777" w:rsidR="00EF29AF" w:rsidRDefault="00EF29AF" w:rsidP="00A2566C">
      <w:pPr>
        <w:jc w:val="both"/>
        <w:rPr>
          <w:rFonts w:eastAsia="Times New Roman"/>
          <w:i/>
          <w:color w:val="000000"/>
          <w:sz w:val="22"/>
          <w:szCs w:val="22"/>
        </w:rPr>
      </w:pPr>
    </w:p>
    <w:p w14:paraId="700E9AFB" w14:textId="77777777" w:rsidR="0065265C" w:rsidRDefault="0065265C" w:rsidP="00CC21E5">
      <w:pPr>
        <w:rPr>
          <w:rFonts w:eastAsia="Times New Roman"/>
          <w:i/>
          <w:color w:val="000000"/>
          <w:sz w:val="22"/>
          <w:szCs w:val="22"/>
        </w:rPr>
      </w:pPr>
    </w:p>
    <w:p w14:paraId="64B73C8C" w14:textId="46185DCA" w:rsidR="004D285D" w:rsidRPr="00764DF1" w:rsidRDefault="007D5325" w:rsidP="00764DF1">
      <w:pPr>
        <w:jc w:val="both"/>
        <w:rPr>
          <w:rFonts w:eastAsia="Times New Roman"/>
          <w:color w:val="FF0000"/>
          <w:sz w:val="22"/>
          <w:szCs w:val="22"/>
        </w:rPr>
      </w:pPr>
      <w:r w:rsidRPr="00764DF1">
        <w:rPr>
          <w:rFonts w:eastAsia="Times New Roman"/>
          <w:color w:val="FF0000"/>
          <w:sz w:val="22"/>
          <w:szCs w:val="22"/>
        </w:rPr>
        <w:t xml:space="preserve">As one can see that absolute differences between EFP and SAPT reduce significantly going to longer interionic distances for each energetic component without exception. At the same time, the relative errors as shown in Table 2 below </w:t>
      </w:r>
      <w:r w:rsidR="00764DF1" w:rsidRPr="00764DF1">
        <w:rPr>
          <w:rFonts w:eastAsia="Times New Roman"/>
          <w:color w:val="FF0000"/>
          <w:sz w:val="22"/>
          <w:szCs w:val="22"/>
        </w:rPr>
        <w:t xml:space="preserve">reduce to a lesser extent, with errors being still &gt; 10% for </w:t>
      </w:r>
      <w:r w:rsidR="00764DF1">
        <w:rPr>
          <w:rFonts w:eastAsia="Times New Roman"/>
          <w:color w:val="FF0000"/>
          <w:sz w:val="22"/>
          <w:szCs w:val="22"/>
        </w:rPr>
        <w:t xml:space="preserve">the exchange, induction and dispersion </w:t>
      </w:r>
      <w:r w:rsidR="00764DF1" w:rsidRPr="00764DF1">
        <w:rPr>
          <w:rFonts w:eastAsia="Times New Roman"/>
          <w:color w:val="FF0000"/>
          <w:sz w:val="22"/>
          <w:szCs w:val="22"/>
        </w:rPr>
        <w:t>terms even at R</w:t>
      </w:r>
      <w:r w:rsidR="00764DF1" w:rsidRPr="00764DF1">
        <w:rPr>
          <w:rFonts w:eastAsia="Times New Roman"/>
          <w:color w:val="FF0000"/>
          <w:sz w:val="22"/>
          <w:szCs w:val="22"/>
          <w:vertAlign w:val="subscript"/>
        </w:rPr>
        <w:t>e</w:t>
      </w:r>
      <w:r w:rsidR="00764DF1" w:rsidRPr="00764DF1">
        <w:rPr>
          <w:rFonts w:eastAsia="Times New Roman"/>
          <w:color w:val="FF0000"/>
          <w:sz w:val="22"/>
          <w:szCs w:val="22"/>
        </w:rPr>
        <w:t xml:space="preserve">+0.6 </w:t>
      </w:r>
      <w:r w:rsidR="00764DF1">
        <w:rPr>
          <w:rFonts w:eastAsia="Times New Roman"/>
          <w:color w:val="FF0000"/>
          <w:sz w:val="22"/>
          <w:szCs w:val="22"/>
        </w:rPr>
        <w:t>Å</w:t>
      </w:r>
      <w:r w:rsidR="00764DF1" w:rsidRPr="00764DF1">
        <w:rPr>
          <w:rFonts w:eastAsia="Times New Roman"/>
          <w:color w:val="FF0000"/>
          <w:sz w:val="22"/>
          <w:szCs w:val="22"/>
        </w:rPr>
        <w:t>.</w:t>
      </w:r>
      <w:r w:rsidRPr="00764DF1">
        <w:rPr>
          <w:rFonts w:eastAsia="Times New Roman"/>
          <w:color w:val="FF0000"/>
          <w:sz w:val="22"/>
          <w:szCs w:val="22"/>
        </w:rPr>
        <w:t xml:space="preserve">  </w:t>
      </w:r>
      <w:r w:rsidR="00764DF1">
        <w:rPr>
          <w:rFonts w:eastAsia="Times New Roman"/>
          <w:color w:val="FF0000"/>
          <w:sz w:val="22"/>
          <w:szCs w:val="22"/>
        </w:rPr>
        <w:t xml:space="preserve">Therefore, it is not expected that the relative errors will change drastically for longer interionic distances observed in the bulk of ionic liquids as shown in MD simulations. </w:t>
      </w:r>
    </w:p>
    <w:p w14:paraId="07CB8D6C" w14:textId="77777777" w:rsidR="00E566CA" w:rsidRDefault="00E566CA" w:rsidP="00CC21E5">
      <w:pPr>
        <w:rPr>
          <w:rFonts w:eastAsia="Times New Roman"/>
          <w:i/>
          <w:color w:val="000000"/>
          <w:sz w:val="22"/>
          <w:szCs w:val="22"/>
        </w:rPr>
      </w:pPr>
    </w:p>
    <w:p w14:paraId="5D361A5E" w14:textId="77777777" w:rsidR="00AC2779" w:rsidRPr="00AB6CC4" w:rsidRDefault="00AC2779" w:rsidP="00CC21E5">
      <w:pPr>
        <w:rPr>
          <w:rFonts w:eastAsia="Times New Roman"/>
          <w:i/>
          <w:color w:val="000000"/>
          <w:sz w:val="22"/>
          <w:szCs w:val="22"/>
        </w:rPr>
      </w:pPr>
    </w:p>
    <w:p w14:paraId="4D2E0D4D" w14:textId="03B640E8" w:rsidR="00C02EF6" w:rsidRPr="00392A30" w:rsidRDefault="00C02EF6" w:rsidP="00C02EF6">
      <w:pPr>
        <w:pStyle w:val="Caption"/>
        <w:keepNext/>
        <w:rPr>
          <w:i w:val="0"/>
        </w:rPr>
      </w:pPr>
      <w:r>
        <w:t xml:space="preserve">Table </w:t>
      </w:r>
      <w:r w:rsidR="00392A30">
        <w:t>1</w:t>
      </w:r>
      <w:r>
        <w:t xml:space="preserve">. </w:t>
      </w:r>
      <w:r w:rsidR="00392A30">
        <w:t>Absolute d</w:t>
      </w:r>
      <w:r>
        <w:t xml:space="preserve">ifferences between SAPT and EFP </w:t>
      </w:r>
      <w:r w:rsidR="00392A30">
        <w:t xml:space="preserve">terms (in </w:t>
      </w:r>
      <w:r>
        <w:rPr>
          <w:noProof/>
        </w:rPr>
        <w:t>kJ</w:t>
      </w:r>
      <w:r w:rsidR="00392A30">
        <w:rPr>
          <w:noProof/>
        </w:rPr>
        <w:t xml:space="preserve"> </w:t>
      </w:r>
      <w:r>
        <w:rPr>
          <w:noProof/>
        </w:rPr>
        <w:t>mol</w:t>
      </w:r>
      <w:r w:rsidR="00392A30">
        <w:rPr>
          <w:noProof/>
          <w:vertAlign w:val="superscript"/>
        </w:rPr>
        <w:t>-1</w:t>
      </w:r>
      <w:r>
        <w:rPr>
          <w:noProof/>
        </w:rPr>
        <w:t>)</w:t>
      </w:r>
      <w:r w:rsidR="00392A30">
        <w:rPr>
          <w:i w:val="0"/>
          <w:noProof/>
        </w:rPr>
        <w:t xml:space="preserve">.  </w:t>
      </w:r>
    </w:p>
    <w:tbl>
      <w:tblPr>
        <w:tblW w:w="6806" w:type="dxa"/>
        <w:jc w:val="center"/>
        <w:tblLayout w:type="fixed"/>
        <w:tblLook w:val="04A0" w:firstRow="1" w:lastRow="0" w:firstColumn="1" w:lastColumn="0" w:noHBand="0" w:noVBand="1"/>
      </w:tblPr>
      <w:tblGrid>
        <w:gridCol w:w="2410"/>
        <w:gridCol w:w="741"/>
        <w:gridCol w:w="1101"/>
        <w:gridCol w:w="851"/>
        <w:gridCol w:w="850"/>
        <w:gridCol w:w="796"/>
        <w:gridCol w:w="57"/>
      </w:tblGrid>
      <w:tr w:rsidR="007D5325" w:rsidRPr="00AC2779" w14:paraId="6688BC7D" w14:textId="77777777" w:rsidTr="007D5325">
        <w:trPr>
          <w:gridAfter w:val="1"/>
          <w:wAfter w:w="57" w:type="dxa"/>
          <w:trHeight w:val="320"/>
          <w:jc w:val="center"/>
        </w:trPr>
        <w:tc>
          <w:tcPr>
            <w:tcW w:w="2410" w:type="dxa"/>
            <w:tcBorders>
              <w:top w:val="single" w:sz="4" w:space="0" w:color="auto"/>
              <w:bottom w:val="single" w:sz="4" w:space="0" w:color="auto"/>
            </w:tcBorders>
            <w:shd w:val="clear" w:color="auto" w:fill="auto"/>
            <w:noWrap/>
            <w:vAlign w:val="center"/>
            <w:hideMark/>
          </w:tcPr>
          <w:p w14:paraId="6C4FE365" w14:textId="77777777" w:rsidR="007D5325" w:rsidRPr="00AC2779" w:rsidRDefault="007D5325">
            <w:pPr>
              <w:jc w:val="center"/>
              <w:rPr>
                <w:rFonts w:ascii="Calibri" w:eastAsia="Times New Roman" w:hAnsi="Calibri"/>
                <w:color w:val="000000"/>
                <w:sz w:val="22"/>
                <w:szCs w:val="22"/>
              </w:rPr>
            </w:pPr>
            <w:r w:rsidRPr="00AC2779">
              <w:rPr>
                <w:rFonts w:ascii="Calibri" w:eastAsia="Times New Roman" w:hAnsi="Calibri"/>
                <w:color w:val="000000"/>
                <w:sz w:val="22"/>
                <w:szCs w:val="22"/>
              </w:rPr>
              <w:t>Differences (kJ/</w:t>
            </w:r>
            <w:proofErr w:type="spellStart"/>
            <w:r w:rsidRPr="00AC2779">
              <w:rPr>
                <w:rFonts w:ascii="Calibri" w:eastAsia="Times New Roman" w:hAnsi="Calibri"/>
                <w:color w:val="000000"/>
                <w:sz w:val="22"/>
                <w:szCs w:val="22"/>
              </w:rPr>
              <w:t>mol</w:t>
            </w:r>
            <w:proofErr w:type="spellEnd"/>
            <w:r w:rsidRPr="00AC2779">
              <w:rPr>
                <w:rFonts w:ascii="Calibri" w:eastAsia="Times New Roman" w:hAnsi="Calibri"/>
                <w:color w:val="000000"/>
                <w:sz w:val="22"/>
                <w:szCs w:val="22"/>
              </w:rPr>
              <w:t>)</w:t>
            </w:r>
          </w:p>
        </w:tc>
        <w:tc>
          <w:tcPr>
            <w:tcW w:w="741" w:type="dxa"/>
            <w:tcBorders>
              <w:top w:val="single" w:sz="4" w:space="0" w:color="auto"/>
              <w:bottom w:val="single" w:sz="4" w:space="0" w:color="auto"/>
            </w:tcBorders>
            <w:shd w:val="clear" w:color="auto" w:fill="auto"/>
            <w:noWrap/>
            <w:vAlign w:val="center"/>
            <w:hideMark/>
          </w:tcPr>
          <w:p w14:paraId="4FD377BA" w14:textId="77777777" w:rsidR="007D5325" w:rsidRPr="00AC2779" w:rsidRDefault="007D5325" w:rsidP="004F39AC">
            <w:pPr>
              <w:jc w:val="right"/>
              <w:rPr>
                <w:rFonts w:ascii="Calibri" w:eastAsia="Times New Roman" w:hAnsi="Calibri"/>
                <w:color w:val="000000"/>
                <w:sz w:val="22"/>
                <w:szCs w:val="22"/>
              </w:rPr>
            </w:pPr>
            <w:proofErr w:type="spellStart"/>
            <w:r w:rsidRPr="00AC2779">
              <w:rPr>
                <w:rFonts w:ascii="Calibri" w:eastAsia="Times New Roman" w:hAnsi="Calibri"/>
                <w:color w:val="000000"/>
                <w:sz w:val="22"/>
                <w:szCs w:val="22"/>
              </w:rPr>
              <w:t>Elst</w:t>
            </w:r>
            <w:proofErr w:type="spellEnd"/>
          </w:p>
        </w:tc>
        <w:tc>
          <w:tcPr>
            <w:tcW w:w="1101" w:type="dxa"/>
            <w:tcBorders>
              <w:top w:val="single" w:sz="4" w:space="0" w:color="auto"/>
              <w:bottom w:val="single" w:sz="4" w:space="0" w:color="auto"/>
            </w:tcBorders>
            <w:shd w:val="clear" w:color="auto" w:fill="auto"/>
            <w:noWrap/>
            <w:vAlign w:val="center"/>
            <w:hideMark/>
          </w:tcPr>
          <w:p w14:paraId="7EA4F2E8" w14:textId="77777777" w:rsidR="007D5325" w:rsidRPr="00AC2779" w:rsidRDefault="007D5325" w:rsidP="004F39AC">
            <w:pPr>
              <w:jc w:val="right"/>
              <w:rPr>
                <w:rFonts w:ascii="Calibri" w:eastAsia="Times New Roman" w:hAnsi="Calibri"/>
                <w:color w:val="000000"/>
                <w:sz w:val="22"/>
                <w:szCs w:val="22"/>
              </w:rPr>
            </w:pPr>
            <w:proofErr w:type="spellStart"/>
            <w:r w:rsidRPr="00AC2779">
              <w:rPr>
                <w:rFonts w:ascii="Calibri" w:eastAsia="Times New Roman" w:hAnsi="Calibri"/>
                <w:color w:val="000000"/>
                <w:sz w:val="22"/>
                <w:szCs w:val="22"/>
              </w:rPr>
              <w:t>Exch</w:t>
            </w:r>
            <w:proofErr w:type="spellEnd"/>
          </w:p>
        </w:tc>
        <w:tc>
          <w:tcPr>
            <w:tcW w:w="851" w:type="dxa"/>
            <w:tcBorders>
              <w:top w:val="single" w:sz="4" w:space="0" w:color="auto"/>
              <w:bottom w:val="single" w:sz="4" w:space="0" w:color="auto"/>
            </w:tcBorders>
            <w:shd w:val="clear" w:color="auto" w:fill="auto"/>
            <w:noWrap/>
            <w:vAlign w:val="center"/>
            <w:hideMark/>
          </w:tcPr>
          <w:p w14:paraId="1907B468" w14:textId="77777777" w:rsidR="007D5325" w:rsidRPr="00AC2779" w:rsidRDefault="007D5325" w:rsidP="004F39AC">
            <w:pPr>
              <w:jc w:val="right"/>
              <w:rPr>
                <w:rFonts w:ascii="Calibri" w:eastAsia="Times New Roman" w:hAnsi="Calibri"/>
                <w:color w:val="000000"/>
                <w:sz w:val="22"/>
                <w:szCs w:val="22"/>
              </w:rPr>
            </w:pPr>
            <w:proofErr w:type="spellStart"/>
            <w:r w:rsidRPr="00AC2779">
              <w:rPr>
                <w:rFonts w:ascii="Calibri" w:eastAsia="Times New Roman" w:hAnsi="Calibri"/>
                <w:color w:val="000000"/>
                <w:sz w:val="22"/>
                <w:szCs w:val="22"/>
              </w:rPr>
              <w:t>Ind</w:t>
            </w:r>
            <w:proofErr w:type="spellEnd"/>
          </w:p>
        </w:tc>
        <w:tc>
          <w:tcPr>
            <w:tcW w:w="850" w:type="dxa"/>
            <w:tcBorders>
              <w:top w:val="single" w:sz="4" w:space="0" w:color="auto"/>
              <w:bottom w:val="single" w:sz="4" w:space="0" w:color="auto"/>
            </w:tcBorders>
            <w:shd w:val="clear" w:color="auto" w:fill="auto"/>
            <w:noWrap/>
            <w:vAlign w:val="center"/>
            <w:hideMark/>
          </w:tcPr>
          <w:p w14:paraId="57A0B2A7" w14:textId="77777777" w:rsidR="007D5325" w:rsidRPr="00AC2779" w:rsidRDefault="007D5325" w:rsidP="004F39AC">
            <w:pPr>
              <w:jc w:val="right"/>
              <w:rPr>
                <w:rFonts w:ascii="Calibri" w:eastAsia="Times New Roman" w:hAnsi="Calibri"/>
                <w:color w:val="000000"/>
                <w:sz w:val="22"/>
                <w:szCs w:val="22"/>
              </w:rPr>
            </w:pPr>
            <w:proofErr w:type="spellStart"/>
            <w:r w:rsidRPr="00AC2779">
              <w:rPr>
                <w:rFonts w:ascii="Calibri" w:eastAsia="Times New Roman" w:hAnsi="Calibri"/>
                <w:color w:val="000000"/>
                <w:sz w:val="22"/>
                <w:szCs w:val="22"/>
              </w:rPr>
              <w:t>Disp</w:t>
            </w:r>
            <w:proofErr w:type="spellEnd"/>
          </w:p>
        </w:tc>
        <w:tc>
          <w:tcPr>
            <w:tcW w:w="796" w:type="dxa"/>
            <w:tcBorders>
              <w:top w:val="single" w:sz="4" w:space="0" w:color="auto"/>
              <w:bottom w:val="single" w:sz="4" w:space="0" w:color="auto"/>
            </w:tcBorders>
            <w:shd w:val="clear" w:color="auto" w:fill="auto"/>
            <w:noWrap/>
            <w:vAlign w:val="center"/>
            <w:hideMark/>
          </w:tcPr>
          <w:p w14:paraId="54F217D2"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Total</w:t>
            </w:r>
          </w:p>
        </w:tc>
      </w:tr>
      <w:tr w:rsidR="007D5325" w:rsidRPr="00AC2779" w14:paraId="110657A2" w14:textId="77777777" w:rsidTr="007D5325">
        <w:trPr>
          <w:trHeight w:val="340"/>
          <w:jc w:val="center"/>
        </w:trPr>
        <w:tc>
          <w:tcPr>
            <w:tcW w:w="2410" w:type="dxa"/>
            <w:tcBorders>
              <w:top w:val="single" w:sz="4" w:space="0" w:color="auto"/>
            </w:tcBorders>
            <w:shd w:val="clear" w:color="auto" w:fill="auto"/>
            <w:noWrap/>
            <w:vAlign w:val="center"/>
            <w:hideMark/>
          </w:tcPr>
          <w:p w14:paraId="26B3E226" w14:textId="70C50B2A" w:rsidR="007D5325" w:rsidRPr="00AC2779" w:rsidRDefault="007D5325" w:rsidP="00392A30">
            <w:pPr>
              <w:rPr>
                <w:rFonts w:ascii="Calibri" w:eastAsia="Times New Roman" w:hAnsi="Calibri"/>
                <w:color w:val="000000"/>
                <w:sz w:val="22"/>
                <w:szCs w:val="22"/>
              </w:rPr>
            </w:pPr>
            <w:r w:rsidRPr="00AC2779">
              <w:rPr>
                <w:rFonts w:ascii="Calibri" w:eastAsia="Times New Roman" w:hAnsi="Calibri"/>
                <w:color w:val="000000"/>
                <w:sz w:val="22"/>
                <w:szCs w:val="22"/>
              </w:rPr>
              <w:t>[C</w:t>
            </w:r>
            <w:r w:rsidRPr="00AC2779">
              <w:rPr>
                <w:rFonts w:ascii="Calibri" w:eastAsia="Times New Roman" w:hAnsi="Calibri"/>
                <w:color w:val="000000"/>
                <w:sz w:val="22"/>
                <w:szCs w:val="22"/>
                <w:vertAlign w:val="subscript"/>
              </w:rPr>
              <w:t>1</w:t>
            </w:r>
            <w:r w:rsidRPr="00AC2779">
              <w:rPr>
                <w:rFonts w:ascii="Calibri" w:eastAsia="Times New Roman" w:hAnsi="Calibri"/>
                <w:color w:val="000000"/>
                <w:sz w:val="22"/>
                <w:szCs w:val="22"/>
              </w:rPr>
              <w:t>mim][BF</w:t>
            </w:r>
            <w:r w:rsidRPr="00AC2779">
              <w:rPr>
                <w:rFonts w:ascii="Calibri" w:eastAsia="Times New Roman" w:hAnsi="Calibri"/>
                <w:color w:val="000000"/>
                <w:sz w:val="22"/>
                <w:szCs w:val="22"/>
                <w:vertAlign w:val="subscript"/>
              </w:rPr>
              <w:t>4</w:t>
            </w:r>
            <w:r w:rsidRPr="00AC2779">
              <w:rPr>
                <w:rFonts w:ascii="Calibri" w:eastAsia="Times New Roman" w:hAnsi="Calibri"/>
                <w:color w:val="000000"/>
                <w:sz w:val="22"/>
                <w:szCs w:val="22"/>
              </w:rPr>
              <w:t>] (R</w:t>
            </w:r>
            <w:r w:rsidRPr="00AC2779">
              <w:rPr>
                <w:rFonts w:ascii="Calibri" w:eastAsia="Times New Roman" w:hAnsi="Calibri"/>
                <w:color w:val="000000"/>
                <w:sz w:val="22"/>
                <w:szCs w:val="22"/>
                <w:vertAlign w:val="subscript"/>
              </w:rPr>
              <w:t>e</w:t>
            </w:r>
            <w:r w:rsidRPr="00AC2779">
              <w:rPr>
                <w:rFonts w:ascii="Calibri" w:eastAsia="Times New Roman" w:hAnsi="Calibri"/>
                <w:color w:val="000000"/>
                <w:sz w:val="22"/>
                <w:szCs w:val="22"/>
              </w:rPr>
              <w:t>)</w:t>
            </w:r>
          </w:p>
        </w:tc>
        <w:tc>
          <w:tcPr>
            <w:tcW w:w="741" w:type="dxa"/>
            <w:tcBorders>
              <w:top w:val="single" w:sz="4" w:space="0" w:color="auto"/>
            </w:tcBorders>
            <w:shd w:val="clear" w:color="auto" w:fill="auto"/>
            <w:noWrap/>
            <w:vAlign w:val="center"/>
            <w:hideMark/>
          </w:tcPr>
          <w:p w14:paraId="5DF7A45E"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-38.3</w:t>
            </w:r>
          </w:p>
        </w:tc>
        <w:tc>
          <w:tcPr>
            <w:tcW w:w="1101" w:type="dxa"/>
            <w:tcBorders>
              <w:top w:val="single" w:sz="4" w:space="0" w:color="auto"/>
            </w:tcBorders>
            <w:shd w:val="clear" w:color="auto" w:fill="auto"/>
            <w:noWrap/>
            <w:vAlign w:val="center"/>
            <w:hideMark/>
          </w:tcPr>
          <w:p w14:paraId="00699ED1"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91.5</w:t>
            </w:r>
          </w:p>
        </w:tc>
        <w:tc>
          <w:tcPr>
            <w:tcW w:w="851" w:type="dxa"/>
            <w:tcBorders>
              <w:top w:val="single" w:sz="4" w:space="0" w:color="auto"/>
            </w:tcBorders>
            <w:shd w:val="clear" w:color="auto" w:fill="auto"/>
            <w:noWrap/>
            <w:vAlign w:val="center"/>
            <w:hideMark/>
          </w:tcPr>
          <w:p w14:paraId="6EFE6448"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-17.3</w:t>
            </w:r>
          </w:p>
        </w:tc>
        <w:tc>
          <w:tcPr>
            <w:tcW w:w="850" w:type="dxa"/>
            <w:tcBorders>
              <w:top w:val="single" w:sz="4" w:space="0" w:color="auto"/>
            </w:tcBorders>
            <w:shd w:val="clear" w:color="auto" w:fill="auto"/>
            <w:noWrap/>
            <w:vAlign w:val="center"/>
            <w:hideMark/>
          </w:tcPr>
          <w:p w14:paraId="305A0C61"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-3.4</w:t>
            </w:r>
          </w:p>
        </w:tc>
        <w:tc>
          <w:tcPr>
            <w:tcW w:w="853" w:type="dxa"/>
            <w:gridSpan w:val="2"/>
            <w:tcBorders>
              <w:top w:val="single" w:sz="4" w:space="0" w:color="auto"/>
            </w:tcBorders>
            <w:shd w:val="clear" w:color="auto" w:fill="auto"/>
            <w:noWrap/>
            <w:vAlign w:val="center"/>
            <w:hideMark/>
          </w:tcPr>
          <w:p w14:paraId="67CBD063"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35.0</w:t>
            </w:r>
          </w:p>
        </w:tc>
      </w:tr>
      <w:tr w:rsidR="007D5325" w:rsidRPr="00AC2779" w14:paraId="36A0AB5C" w14:textId="77777777" w:rsidTr="007D5325">
        <w:trPr>
          <w:trHeight w:val="340"/>
          <w:jc w:val="center"/>
        </w:trPr>
        <w:tc>
          <w:tcPr>
            <w:tcW w:w="2410" w:type="dxa"/>
            <w:shd w:val="clear" w:color="auto" w:fill="auto"/>
            <w:noWrap/>
            <w:vAlign w:val="center"/>
            <w:hideMark/>
          </w:tcPr>
          <w:p w14:paraId="3B5CAA62" w14:textId="77777777" w:rsidR="007D5325" w:rsidRPr="00AC2779" w:rsidRDefault="007D5325" w:rsidP="00392A30">
            <w:pPr>
              <w:rPr>
                <w:rFonts w:ascii="Calibri" w:eastAsia="Times New Roman" w:hAnsi="Calibri"/>
                <w:color w:val="000000"/>
                <w:sz w:val="22"/>
                <w:szCs w:val="22"/>
              </w:rPr>
            </w:pPr>
            <w:r w:rsidRPr="00AC2779">
              <w:rPr>
                <w:rFonts w:ascii="Calibri" w:eastAsia="Times New Roman" w:hAnsi="Calibri"/>
                <w:color w:val="000000"/>
                <w:sz w:val="22"/>
                <w:szCs w:val="22"/>
              </w:rPr>
              <w:t>[C</w:t>
            </w:r>
            <w:r w:rsidRPr="00AC2779">
              <w:rPr>
                <w:rFonts w:ascii="Calibri" w:eastAsia="Times New Roman" w:hAnsi="Calibri"/>
                <w:color w:val="000000"/>
                <w:sz w:val="22"/>
                <w:szCs w:val="22"/>
                <w:vertAlign w:val="subscript"/>
              </w:rPr>
              <w:t>1</w:t>
            </w:r>
            <w:r w:rsidRPr="00AC2779">
              <w:rPr>
                <w:rFonts w:ascii="Calibri" w:eastAsia="Times New Roman" w:hAnsi="Calibri"/>
                <w:color w:val="000000"/>
                <w:sz w:val="22"/>
                <w:szCs w:val="22"/>
              </w:rPr>
              <w:t>mim][BF</w:t>
            </w:r>
            <w:r w:rsidRPr="00AC2779">
              <w:rPr>
                <w:rFonts w:ascii="Calibri" w:eastAsia="Times New Roman" w:hAnsi="Calibri"/>
                <w:color w:val="000000"/>
                <w:sz w:val="22"/>
                <w:szCs w:val="22"/>
                <w:vertAlign w:val="subscript"/>
              </w:rPr>
              <w:t>4</w:t>
            </w:r>
            <w:r w:rsidRPr="00AC2779">
              <w:rPr>
                <w:rFonts w:ascii="Calibri" w:eastAsia="Times New Roman" w:hAnsi="Calibri"/>
                <w:color w:val="000000"/>
                <w:sz w:val="22"/>
                <w:szCs w:val="22"/>
              </w:rPr>
              <w:t>] (R</w:t>
            </w:r>
            <w:r w:rsidRPr="00AC2779">
              <w:rPr>
                <w:rFonts w:ascii="Calibri" w:eastAsia="Times New Roman" w:hAnsi="Calibri"/>
                <w:color w:val="000000"/>
                <w:sz w:val="22"/>
                <w:szCs w:val="22"/>
                <w:vertAlign w:val="subscript"/>
              </w:rPr>
              <w:t>e</w:t>
            </w:r>
            <w:r w:rsidRPr="00AC2779">
              <w:rPr>
                <w:rFonts w:ascii="Calibri" w:eastAsia="Times New Roman" w:hAnsi="Calibri"/>
                <w:color w:val="000000"/>
                <w:sz w:val="22"/>
                <w:szCs w:val="22"/>
              </w:rPr>
              <w:t>+0.6)</w:t>
            </w:r>
          </w:p>
        </w:tc>
        <w:tc>
          <w:tcPr>
            <w:tcW w:w="741" w:type="dxa"/>
            <w:shd w:val="clear" w:color="auto" w:fill="auto"/>
            <w:noWrap/>
            <w:vAlign w:val="center"/>
            <w:hideMark/>
          </w:tcPr>
          <w:p w14:paraId="6D0144D8"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5.4</w:t>
            </w:r>
          </w:p>
        </w:tc>
        <w:tc>
          <w:tcPr>
            <w:tcW w:w="1101" w:type="dxa"/>
            <w:shd w:val="clear" w:color="auto" w:fill="auto"/>
            <w:noWrap/>
            <w:vAlign w:val="center"/>
            <w:hideMark/>
          </w:tcPr>
          <w:p w14:paraId="64BB0B1A"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7.8</w:t>
            </w:r>
          </w:p>
        </w:tc>
        <w:tc>
          <w:tcPr>
            <w:tcW w:w="851" w:type="dxa"/>
            <w:shd w:val="clear" w:color="auto" w:fill="auto"/>
            <w:noWrap/>
            <w:vAlign w:val="center"/>
            <w:hideMark/>
          </w:tcPr>
          <w:p w14:paraId="76A5CF5D"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-3.9</w:t>
            </w:r>
          </w:p>
        </w:tc>
        <w:tc>
          <w:tcPr>
            <w:tcW w:w="850" w:type="dxa"/>
            <w:shd w:val="clear" w:color="auto" w:fill="auto"/>
            <w:noWrap/>
            <w:vAlign w:val="center"/>
            <w:hideMark/>
          </w:tcPr>
          <w:p w14:paraId="52112AB4"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-0.7</w:t>
            </w:r>
          </w:p>
        </w:tc>
        <w:tc>
          <w:tcPr>
            <w:tcW w:w="853" w:type="dxa"/>
            <w:gridSpan w:val="2"/>
            <w:shd w:val="clear" w:color="auto" w:fill="auto"/>
            <w:noWrap/>
            <w:vAlign w:val="center"/>
            <w:hideMark/>
          </w:tcPr>
          <w:p w14:paraId="563B28FF"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9.1</w:t>
            </w:r>
          </w:p>
        </w:tc>
      </w:tr>
      <w:tr w:rsidR="007D5325" w:rsidRPr="00AC2779" w14:paraId="4BFECAA3" w14:textId="77777777" w:rsidTr="007D5325">
        <w:trPr>
          <w:trHeight w:val="340"/>
          <w:jc w:val="center"/>
        </w:trPr>
        <w:tc>
          <w:tcPr>
            <w:tcW w:w="2410" w:type="dxa"/>
            <w:shd w:val="clear" w:color="auto" w:fill="auto"/>
            <w:noWrap/>
            <w:vAlign w:val="center"/>
            <w:hideMark/>
          </w:tcPr>
          <w:p w14:paraId="4CDAB167" w14:textId="77777777" w:rsidR="007D5325" w:rsidRPr="00AC2779" w:rsidRDefault="007D5325" w:rsidP="00392A30">
            <w:pPr>
              <w:rPr>
                <w:rFonts w:ascii="Calibri" w:eastAsia="Times New Roman" w:hAnsi="Calibri"/>
                <w:color w:val="000000"/>
                <w:sz w:val="22"/>
                <w:szCs w:val="22"/>
              </w:rPr>
            </w:pPr>
            <w:r w:rsidRPr="00AC2779">
              <w:rPr>
                <w:rFonts w:ascii="Calibri" w:eastAsia="Times New Roman" w:hAnsi="Calibri"/>
                <w:color w:val="000000"/>
                <w:sz w:val="22"/>
                <w:szCs w:val="22"/>
              </w:rPr>
              <w:t>[C</w:t>
            </w:r>
            <w:r w:rsidRPr="00AC2779">
              <w:rPr>
                <w:rFonts w:ascii="Calibri" w:eastAsia="Times New Roman" w:hAnsi="Calibri"/>
                <w:color w:val="000000"/>
                <w:sz w:val="22"/>
                <w:szCs w:val="22"/>
                <w:vertAlign w:val="subscript"/>
              </w:rPr>
              <w:t>1</w:t>
            </w:r>
            <w:r w:rsidRPr="00AC2779">
              <w:rPr>
                <w:rFonts w:ascii="Calibri" w:eastAsia="Times New Roman" w:hAnsi="Calibri"/>
                <w:color w:val="000000"/>
                <w:sz w:val="22"/>
                <w:szCs w:val="22"/>
              </w:rPr>
              <w:t>mim][BF</w:t>
            </w:r>
            <w:r w:rsidRPr="00AC2779">
              <w:rPr>
                <w:rFonts w:ascii="Calibri" w:eastAsia="Times New Roman" w:hAnsi="Calibri"/>
                <w:color w:val="000000"/>
                <w:sz w:val="22"/>
                <w:szCs w:val="22"/>
                <w:vertAlign w:val="subscript"/>
              </w:rPr>
              <w:t>4</w:t>
            </w:r>
            <w:r w:rsidRPr="00AC2779">
              <w:rPr>
                <w:rFonts w:ascii="Calibri" w:eastAsia="Times New Roman" w:hAnsi="Calibri"/>
                <w:color w:val="000000"/>
                <w:sz w:val="22"/>
                <w:szCs w:val="22"/>
              </w:rPr>
              <w:t>] (R</w:t>
            </w:r>
            <w:r w:rsidRPr="00AC2779">
              <w:rPr>
                <w:rFonts w:ascii="Calibri" w:eastAsia="Times New Roman" w:hAnsi="Calibri"/>
                <w:color w:val="000000"/>
                <w:sz w:val="22"/>
                <w:szCs w:val="22"/>
                <w:vertAlign w:val="subscript"/>
              </w:rPr>
              <w:t>e</w:t>
            </w:r>
            <w:r w:rsidRPr="00AC2779">
              <w:rPr>
                <w:rFonts w:ascii="Calibri" w:eastAsia="Times New Roman" w:hAnsi="Calibri"/>
                <w:color w:val="000000"/>
                <w:sz w:val="22"/>
                <w:szCs w:val="22"/>
              </w:rPr>
              <w:t>+1.0)</w:t>
            </w:r>
          </w:p>
        </w:tc>
        <w:tc>
          <w:tcPr>
            <w:tcW w:w="741" w:type="dxa"/>
            <w:shd w:val="clear" w:color="auto" w:fill="auto"/>
            <w:noWrap/>
            <w:vAlign w:val="center"/>
            <w:hideMark/>
          </w:tcPr>
          <w:p w14:paraId="7CD4931B"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4.4</w:t>
            </w:r>
          </w:p>
        </w:tc>
        <w:tc>
          <w:tcPr>
            <w:tcW w:w="1101" w:type="dxa"/>
            <w:shd w:val="clear" w:color="auto" w:fill="auto"/>
            <w:noWrap/>
            <w:vAlign w:val="center"/>
            <w:hideMark/>
          </w:tcPr>
          <w:p w14:paraId="021C7916"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2.4</w:t>
            </w:r>
          </w:p>
        </w:tc>
        <w:tc>
          <w:tcPr>
            <w:tcW w:w="851" w:type="dxa"/>
            <w:shd w:val="clear" w:color="auto" w:fill="auto"/>
            <w:noWrap/>
            <w:vAlign w:val="center"/>
            <w:hideMark/>
          </w:tcPr>
          <w:p w14:paraId="195DE14A"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-1.9</w:t>
            </w:r>
          </w:p>
        </w:tc>
        <w:tc>
          <w:tcPr>
            <w:tcW w:w="850" w:type="dxa"/>
            <w:shd w:val="clear" w:color="auto" w:fill="auto"/>
            <w:noWrap/>
            <w:vAlign w:val="center"/>
            <w:hideMark/>
          </w:tcPr>
          <w:p w14:paraId="41989260"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-0.2</w:t>
            </w:r>
          </w:p>
        </w:tc>
        <w:tc>
          <w:tcPr>
            <w:tcW w:w="853" w:type="dxa"/>
            <w:gridSpan w:val="2"/>
            <w:shd w:val="clear" w:color="auto" w:fill="auto"/>
            <w:noWrap/>
            <w:vAlign w:val="center"/>
            <w:hideMark/>
          </w:tcPr>
          <w:p w14:paraId="120B0656"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4.8</w:t>
            </w:r>
          </w:p>
        </w:tc>
      </w:tr>
      <w:tr w:rsidR="007D5325" w:rsidRPr="00AC2779" w14:paraId="43105152" w14:textId="77777777" w:rsidTr="007D5325">
        <w:trPr>
          <w:trHeight w:val="340"/>
          <w:jc w:val="center"/>
        </w:trPr>
        <w:tc>
          <w:tcPr>
            <w:tcW w:w="2410" w:type="dxa"/>
            <w:shd w:val="clear" w:color="auto" w:fill="auto"/>
            <w:noWrap/>
            <w:vAlign w:val="center"/>
            <w:hideMark/>
          </w:tcPr>
          <w:p w14:paraId="08B0AE4D" w14:textId="524A3D1F" w:rsidR="007D5325" w:rsidRPr="00AC2779" w:rsidRDefault="007D5325" w:rsidP="00392A30">
            <w:pPr>
              <w:rPr>
                <w:rFonts w:ascii="Calibri" w:eastAsia="Times New Roman" w:hAnsi="Calibri"/>
                <w:color w:val="000000"/>
                <w:sz w:val="22"/>
                <w:szCs w:val="22"/>
              </w:rPr>
            </w:pPr>
            <w:r w:rsidRPr="00AC2779">
              <w:rPr>
                <w:rFonts w:ascii="Calibri" w:eastAsia="Times New Roman" w:hAnsi="Calibri"/>
                <w:color w:val="000000"/>
                <w:sz w:val="22"/>
                <w:szCs w:val="22"/>
              </w:rPr>
              <w:t>[C</w:t>
            </w:r>
            <w:r w:rsidRPr="00AC2779">
              <w:rPr>
                <w:rFonts w:ascii="Calibri" w:eastAsia="Times New Roman" w:hAnsi="Calibri"/>
                <w:color w:val="000000"/>
                <w:sz w:val="22"/>
                <w:szCs w:val="22"/>
                <w:vertAlign w:val="subscript"/>
              </w:rPr>
              <w:t>1</w:t>
            </w:r>
            <w:r w:rsidRPr="00AC2779">
              <w:rPr>
                <w:rFonts w:ascii="Calibri" w:eastAsia="Times New Roman" w:hAnsi="Calibri"/>
                <w:color w:val="000000"/>
                <w:sz w:val="22"/>
                <w:szCs w:val="22"/>
              </w:rPr>
              <w:t>mpyr][BF</w:t>
            </w:r>
            <w:r w:rsidRPr="00AC2779">
              <w:rPr>
                <w:rFonts w:ascii="Calibri" w:eastAsia="Times New Roman" w:hAnsi="Calibri"/>
                <w:color w:val="000000"/>
                <w:sz w:val="22"/>
                <w:szCs w:val="22"/>
                <w:vertAlign w:val="subscript"/>
              </w:rPr>
              <w:t>4</w:t>
            </w:r>
            <w:r w:rsidRPr="00AC2779">
              <w:rPr>
                <w:rFonts w:ascii="Calibri" w:eastAsia="Times New Roman" w:hAnsi="Calibri"/>
                <w:color w:val="000000"/>
                <w:sz w:val="22"/>
                <w:szCs w:val="22"/>
              </w:rPr>
              <w:t>] (R</w:t>
            </w:r>
            <w:r w:rsidRPr="00AC2779">
              <w:rPr>
                <w:rFonts w:ascii="Calibri" w:eastAsia="Times New Roman" w:hAnsi="Calibri"/>
                <w:color w:val="000000"/>
                <w:sz w:val="22"/>
                <w:szCs w:val="22"/>
                <w:vertAlign w:val="subscript"/>
              </w:rPr>
              <w:t>e</w:t>
            </w:r>
            <w:r w:rsidRPr="00AC2779">
              <w:rPr>
                <w:rFonts w:ascii="Calibri" w:eastAsia="Times New Roman" w:hAnsi="Calibri"/>
                <w:color w:val="000000"/>
                <w:sz w:val="22"/>
                <w:szCs w:val="22"/>
              </w:rPr>
              <w:t>)</w:t>
            </w:r>
          </w:p>
        </w:tc>
        <w:tc>
          <w:tcPr>
            <w:tcW w:w="741" w:type="dxa"/>
            <w:shd w:val="clear" w:color="auto" w:fill="auto"/>
            <w:noWrap/>
            <w:vAlign w:val="center"/>
            <w:hideMark/>
          </w:tcPr>
          <w:p w14:paraId="7D1B86B4"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-38.6</w:t>
            </w:r>
          </w:p>
        </w:tc>
        <w:tc>
          <w:tcPr>
            <w:tcW w:w="1101" w:type="dxa"/>
            <w:shd w:val="clear" w:color="auto" w:fill="auto"/>
            <w:noWrap/>
            <w:vAlign w:val="center"/>
            <w:hideMark/>
          </w:tcPr>
          <w:p w14:paraId="240B9337"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94.8</w:t>
            </w:r>
          </w:p>
        </w:tc>
        <w:tc>
          <w:tcPr>
            <w:tcW w:w="851" w:type="dxa"/>
            <w:shd w:val="clear" w:color="auto" w:fill="auto"/>
            <w:noWrap/>
            <w:vAlign w:val="center"/>
            <w:hideMark/>
          </w:tcPr>
          <w:p w14:paraId="6B1B6724"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-23.6</w:t>
            </w:r>
          </w:p>
        </w:tc>
        <w:tc>
          <w:tcPr>
            <w:tcW w:w="850" w:type="dxa"/>
            <w:shd w:val="clear" w:color="auto" w:fill="auto"/>
            <w:noWrap/>
            <w:vAlign w:val="center"/>
            <w:hideMark/>
          </w:tcPr>
          <w:p w14:paraId="1550B8D5"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-10.1</w:t>
            </w:r>
          </w:p>
        </w:tc>
        <w:tc>
          <w:tcPr>
            <w:tcW w:w="853" w:type="dxa"/>
            <w:gridSpan w:val="2"/>
            <w:shd w:val="clear" w:color="auto" w:fill="auto"/>
            <w:noWrap/>
            <w:vAlign w:val="center"/>
            <w:hideMark/>
          </w:tcPr>
          <w:p w14:paraId="35B3855F"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26.7</w:t>
            </w:r>
          </w:p>
        </w:tc>
      </w:tr>
      <w:tr w:rsidR="007D5325" w:rsidRPr="00AC2779" w14:paraId="4C2CAB56" w14:textId="77777777" w:rsidTr="007D5325">
        <w:trPr>
          <w:trHeight w:val="340"/>
          <w:jc w:val="center"/>
        </w:trPr>
        <w:tc>
          <w:tcPr>
            <w:tcW w:w="2410" w:type="dxa"/>
            <w:shd w:val="clear" w:color="auto" w:fill="auto"/>
            <w:noWrap/>
            <w:vAlign w:val="center"/>
            <w:hideMark/>
          </w:tcPr>
          <w:p w14:paraId="640C9F63" w14:textId="77777777" w:rsidR="007D5325" w:rsidRPr="00AC2779" w:rsidRDefault="007D5325" w:rsidP="00392A30">
            <w:pPr>
              <w:rPr>
                <w:rFonts w:ascii="Calibri" w:eastAsia="Times New Roman" w:hAnsi="Calibri"/>
                <w:color w:val="000000"/>
                <w:sz w:val="22"/>
                <w:szCs w:val="22"/>
              </w:rPr>
            </w:pPr>
            <w:r w:rsidRPr="00AC2779">
              <w:rPr>
                <w:rFonts w:ascii="Calibri" w:eastAsia="Times New Roman" w:hAnsi="Calibri"/>
                <w:color w:val="000000"/>
                <w:sz w:val="22"/>
                <w:szCs w:val="22"/>
              </w:rPr>
              <w:t>[C</w:t>
            </w:r>
            <w:r w:rsidRPr="00AC2779">
              <w:rPr>
                <w:rFonts w:ascii="Calibri" w:eastAsia="Times New Roman" w:hAnsi="Calibri"/>
                <w:color w:val="000000"/>
                <w:sz w:val="22"/>
                <w:szCs w:val="22"/>
                <w:vertAlign w:val="subscript"/>
              </w:rPr>
              <w:t>1</w:t>
            </w:r>
            <w:r w:rsidRPr="00AC2779">
              <w:rPr>
                <w:rFonts w:ascii="Calibri" w:eastAsia="Times New Roman" w:hAnsi="Calibri"/>
                <w:color w:val="000000"/>
                <w:sz w:val="22"/>
                <w:szCs w:val="22"/>
              </w:rPr>
              <w:t>mpyr][BF</w:t>
            </w:r>
            <w:r w:rsidRPr="00AC2779">
              <w:rPr>
                <w:rFonts w:ascii="Calibri" w:eastAsia="Times New Roman" w:hAnsi="Calibri"/>
                <w:color w:val="000000"/>
                <w:sz w:val="22"/>
                <w:szCs w:val="22"/>
                <w:vertAlign w:val="subscript"/>
              </w:rPr>
              <w:t>4</w:t>
            </w:r>
            <w:r w:rsidRPr="00AC2779">
              <w:rPr>
                <w:rFonts w:ascii="Calibri" w:eastAsia="Times New Roman" w:hAnsi="Calibri"/>
                <w:color w:val="000000"/>
                <w:sz w:val="22"/>
                <w:szCs w:val="22"/>
              </w:rPr>
              <w:t>] (R</w:t>
            </w:r>
            <w:r w:rsidRPr="00AC2779">
              <w:rPr>
                <w:rFonts w:ascii="Calibri" w:eastAsia="Times New Roman" w:hAnsi="Calibri"/>
                <w:color w:val="000000"/>
                <w:sz w:val="22"/>
                <w:szCs w:val="22"/>
                <w:vertAlign w:val="subscript"/>
              </w:rPr>
              <w:t>e</w:t>
            </w:r>
            <w:r w:rsidRPr="00AC2779">
              <w:rPr>
                <w:rFonts w:ascii="Calibri" w:eastAsia="Times New Roman" w:hAnsi="Calibri"/>
                <w:color w:val="000000"/>
                <w:sz w:val="22"/>
                <w:szCs w:val="22"/>
              </w:rPr>
              <w:t>+0.6)</w:t>
            </w:r>
          </w:p>
        </w:tc>
        <w:tc>
          <w:tcPr>
            <w:tcW w:w="741" w:type="dxa"/>
            <w:shd w:val="clear" w:color="auto" w:fill="auto"/>
            <w:noWrap/>
            <w:vAlign w:val="center"/>
            <w:hideMark/>
          </w:tcPr>
          <w:p w14:paraId="534B88AF"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1.6</w:t>
            </w:r>
          </w:p>
        </w:tc>
        <w:tc>
          <w:tcPr>
            <w:tcW w:w="1101" w:type="dxa"/>
            <w:shd w:val="clear" w:color="auto" w:fill="auto"/>
            <w:noWrap/>
            <w:vAlign w:val="center"/>
            <w:hideMark/>
          </w:tcPr>
          <w:p w14:paraId="13C774BF"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7.6</w:t>
            </w:r>
          </w:p>
        </w:tc>
        <w:tc>
          <w:tcPr>
            <w:tcW w:w="851" w:type="dxa"/>
            <w:shd w:val="clear" w:color="auto" w:fill="auto"/>
            <w:noWrap/>
            <w:vAlign w:val="center"/>
            <w:hideMark/>
          </w:tcPr>
          <w:p w14:paraId="65D68EB0"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-3.8</w:t>
            </w:r>
          </w:p>
        </w:tc>
        <w:tc>
          <w:tcPr>
            <w:tcW w:w="850" w:type="dxa"/>
            <w:shd w:val="clear" w:color="auto" w:fill="auto"/>
            <w:noWrap/>
            <w:vAlign w:val="center"/>
            <w:hideMark/>
          </w:tcPr>
          <w:p w14:paraId="732CE4D4"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-2.6</w:t>
            </w:r>
          </w:p>
        </w:tc>
        <w:tc>
          <w:tcPr>
            <w:tcW w:w="853" w:type="dxa"/>
            <w:gridSpan w:val="2"/>
            <w:shd w:val="clear" w:color="auto" w:fill="auto"/>
            <w:noWrap/>
            <w:vAlign w:val="center"/>
            <w:hideMark/>
          </w:tcPr>
          <w:p w14:paraId="4D2CD679"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4.0</w:t>
            </w:r>
          </w:p>
        </w:tc>
      </w:tr>
      <w:tr w:rsidR="007D5325" w:rsidRPr="00AC2779" w14:paraId="076B1F26" w14:textId="77777777" w:rsidTr="007D5325">
        <w:trPr>
          <w:trHeight w:val="340"/>
          <w:jc w:val="center"/>
        </w:trPr>
        <w:tc>
          <w:tcPr>
            <w:tcW w:w="2410" w:type="dxa"/>
            <w:tcBorders>
              <w:bottom w:val="single" w:sz="4" w:space="0" w:color="auto"/>
            </w:tcBorders>
            <w:shd w:val="clear" w:color="auto" w:fill="auto"/>
            <w:noWrap/>
            <w:vAlign w:val="center"/>
            <w:hideMark/>
          </w:tcPr>
          <w:p w14:paraId="68B5D1BD" w14:textId="77777777" w:rsidR="007D5325" w:rsidRPr="00AC2779" w:rsidRDefault="007D5325" w:rsidP="00392A30">
            <w:pPr>
              <w:rPr>
                <w:rFonts w:ascii="Calibri" w:eastAsia="Times New Roman" w:hAnsi="Calibri"/>
                <w:color w:val="000000"/>
                <w:sz w:val="22"/>
                <w:szCs w:val="22"/>
              </w:rPr>
            </w:pPr>
            <w:r w:rsidRPr="00AC2779">
              <w:rPr>
                <w:rFonts w:ascii="Calibri" w:eastAsia="Times New Roman" w:hAnsi="Calibri"/>
                <w:color w:val="000000"/>
                <w:sz w:val="22"/>
                <w:szCs w:val="22"/>
              </w:rPr>
              <w:t>[C</w:t>
            </w:r>
            <w:r w:rsidRPr="00AC2779">
              <w:rPr>
                <w:rFonts w:ascii="Calibri" w:eastAsia="Times New Roman" w:hAnsi="Calibri"/>
                <w:color w:val="000000"/>
                <w:sz w:val="22"/>
                <w:szCs w:val="22"/>
                <w:vertAlign w:val="subscript"/>
              </w:rPr>
              <w:t>1</w:t>
            </w:r>
            <w:r w:rsidRPr="00AC2779">
              <w:rPr>
                <w:rFonts w:ascii="Calibri" w:eastAsia="Times New Roman" w:hAnsi="Calibri"/>
                <w:color w:val="000000"/>
                <w:sz w:val="22"/>
                <w:szCs w:val="22"/>
              </w:rPr>
              <w:t>mpyr][BF</w:t>
            </w:r>
            <w:r w:rsidRPr="00AC2779">
              <w:rPr>
                <w:rFonts w:ascii="Calibri" w:eastAsia="Times New Roman" w:hAnsi="Calibri"/>
                <w:color w:val="000000"/>
                <w:sz w:val="22"/>
                <w:szCs w:val="22"/>
                <w:vertAlign w:val="subscript"/>
              </w:rPr>
              <w:t>4</w:t>
            </w:r>
            <w:r w:rsidRPr="00AC2779">
              <w:rPr>
                <w:rFonts w:ascii="Calibri" w:eastAsia="Times New Roman" w:hAnsi="Calibri"/>
                <w:color w:val="000000"/>
                <w:sz w:val="22"/>
                <w:szCs w:val="22"/>
              </w:rPr>
              <w:t>] (R</w:t>
            </w:r>
            <w:r w:rsidRPr="00AC2779">
              <w:rPr>
                <w:rFonts w:ascii="Calibri" w:eastAsia="Times New Roman" w:hAnsi="Calibri"/>
                <w:color w:val="000000"/>
                <w:sz w:val="22"/>
                <w:szCs w:val="22"/>
                <w:vertAlign w:val="subscript"/>
              </w:rPr>
              <w:t>e</w:t>
            </w:r>
            <w:r w:rsidRPr="00AC2779">
              <w:rPr>
                <w:rFonts w:ascii="Calibri" w:eastAsia="Times New Roman" w:hAnsi="Calibri"/>
                <w:color w:val="000000"/>
                <w:sz w:val="22"/>
                <w:szCs w:val="22"/>
              </w:rPr>
              <w:t>+1.0)</w:t>
            </w:r>
          </w:p>
        </w:tc>
        <w:tc>
          <w:tcPr>
            <w:tcW w:w="741" w:type="dxa"/>
            <w:tcBorders>
              <w:bottom w:val="single" w:sz="4" w:space="0" w:color="auto"/>
            </w:tcBorders>
            <w:shd w:val="clear" w:color="auto" w:fill="auto"/>
            <w:noWrap/>
            <w:vAlign w:val="center"/>
            <w:hideMark/>
          </w:tcPr>
          <w:p w14:paraId="223C3526"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1.0</w:t>
            </w:r>
          </w:p>
        </w:tc>
        <w:tc>
          <w:tcPr>
            <w:tcW w:w="1101" w:type="dxa"/>
            <w:tcBorders>
              <w:bottom w:val="single" w:sz="4" w:space="0" w:color="auto"/>
            </w:tcBorders>
            <w:shd w:val="clear" w:color="auto" w:fill="auto"/>
            <w:noWrap/>
            <w:vAlign w:val="center"/>
            <w:hideMark/>
          </w:tcPr>
          <w:p w14:paraId="7ACFC573"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1.7</w:t>
            </w:r>
          </w:p>
        </w:tc>
        <w:tc>
          <w:tcPr>
            <w:tcW w:w="851" w:type="dxa"/>
            <w:tcBorders>
              <w:bottom w:val="single" w:sz="4" w:space="0" w:color="auto"/>
            </w:tcBorders>
            <w:shd w:val="clear" w:color="auto" w:fill="auto"/>
            <w:noWrap/>
            <w:vAlign w:val="center"/>
            <w:hideMark/>
          </w:tcPr>
          <w:p w14:paraId="0FD6B408"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-1.8</w:t>
            </w:r>
          </w:p>
        </w:tc>
        <w:tc>
          <w:tcPr>
            <w:tcW w:w="850" w:type="dxa"/>
            <w:tcBorders>
              <w:bottom w:val="single" w:sz="4" w:space="0" w:color="auto"/>
            </w:tcBorders>
            <w:shd w:val="clear" w:color="auto" w:fill="auto"/>
            <w:noWrap/>
            <w:vAlign w:val="center"/>
            <w:hideMark/>
          </w:tcPr>
          <w:p w14:paraId="3AC55612"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-1.1</w:t>
            </w:r>
          </w:p>
        </w:tc>
        <w:tc>
          <w:tcPr>
            <w:tcW w:w="853" w:type="dxa"/>
            <w:gridSpan w:val="2"/>
            <w:tcBorders>
              <w:bottom w:val="single" w:sz="4" w:space="0" w:color="auto"/>
            </w:tcBorders>
            <w:shd w:val="clear" w:color="auto" w:fill="auto"/>
            <w:noWrap/>
            <w:vAlign w:val="center"/>
            <w:hideMark/>
          </w:tcPr>
          <w:p w14:paraId="3EACD4C3"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0.2</w:t>
            </w:r>
          </w:p>
        </w:tc>
      </w:tr>
    </w:tbl>
    <w:p w14:paraId="46916E0A" w14:textId="77777777" w:rsidR="00435424" w:rsidRDefault="00435424" w:rsidP="00CC21E5">
      <w:pPr>
        <w:rPr>
          <w:rFonts w:eastAsia="Times New Roman"/>
          <w:color w:val="000000"/>
          <w:sz w:val="22"/>
          <w:szCs w:val="22"/>
        </w:rPr>
      </w:pPr>
    </w:p>
    <w:p w14:paraId="45086C9F" w14:textId="2C2F30FB" w:rsidR="00C02EF6" w:rsidRDefault="00392A30" w:rsidP="00C02EF6">
      <w:pPr>
        <w:pStyle w:val="Caption"/>
        <w:keepNext/>
      </w:pPr>
      <w:r>
        <w:t xml:space="preserve">Table </w:t>
      </w:r>
      <w:r w:rsidR="00C809E1">
        <w:t>2</w:t>
      </w:r>
      <w:r>
        <w:t>. Relative differences between SAPT and EFP terms (in %</w:t>
      </w:r>
      <w:r>
        <w:rPr>
          <w:noProof/>
        </w:rPr>
        <w:t>)</w:t>
      </w:r>
    </w:p>
    <w:tbl>
      <w:tblPr>
        <w:tblW w:w="6662" w:type="dxa"/>
        <w:jc w:val="center"/>
        <w:tblLayout w:type="fixed"/>
        <w:tblLook w:val="04A0" w:firstRow="1" w:lastRow="0" w:firstColumn="1" w:lastColumn="0" w:noHBand="0" w:noVBand="1"/>
      </w:tblPr>
      <w:tblGrid>
        <w:gridCol w:w="2693"/>
        <w:gridCol w:w="567"/>
        <w:gridCol w:w="992"/>
        <w:gridCol w:w="851"/>
        <w:gridCol w:w="850"/>
        <w:gridCol w:w="709"/>
      </w:tblGrid>
      <w:tr w:rsidR="007D5325" w:rsidRPr="00AC2779" w14:paraId="4FA7CB84" w14:textId="77777777" w:rsidTr="007D5325">
        <w:trPr>
          <w:trHeight w:val="339"/>
          <w:jc w:val="center"/>
        </w:trPr>
        <w:tc>
          <w:tcPr>
            <w:tcW w:w="2693" w:type="dxa"/>
            <w:tcBorders>
              <w:top w:val="single" w:sz="4" w:space="0" w:color="auto"/>
              <w:bottom w:val="single" w:sz="4" w:space="0" w:color="auto"/>
            </w:tcBorders>
            <w:shd w:val="clear" w:color="auto" w:fill="auto"/>
            <w:noWrap/>
            <w:vAlign w:val="center"/>
            <w:hideMark/>
          </w:tcPr>
          <w:p w14:paraId="1978AFF6" w14:textId="77777777" w:rsidR="007D5325" w:rsidRPr="00AC2779" w:rsidRDefault="007D5325">
            <w:pPr>
              <w:jc w:val="center"/>
              <w:rPr>
                <w:rFonts w:ascii="Calibri" w:eastAsia="Times New Roman" w:hAnsi="Calibri"/>
                <w:color w:val="000000"/>
                <w:sz w:val="22"/>
                <w:szCs w:val="22"/>
              </w:rPr>
            </w:pPr>
            <w:r w:rsidRPr="00AC2779">
              <w:rPr>
                <w:rFonts w:ascii="Calibri" w:eastAsia="Times New Roman" w:hAnsi="Calibri"/>
                <w:color w:val="000000"/>
                <w:sz w:val="22"/>
                <w:szCs w:val="22"/>
              </w:rPr>
              <w:t>Relative Differences (%)</w:t>
            </w:r>
          </w:p>
        </w:tc>
        <w:tc>
          <w:tcPr>
            <w:tcW w:w="567" w:type="dxa"/>
            <w:tcBorders>
              <w:top w:val="single" w:sz="4" w:space="0" w:color="auto"/>
              <w:bottom w:val="single" w:sz="4" w:space="0" w:color="auto"/>
            </w:tcBorders>
            <w:shd w:val="clear" w:color="auto" w:fill="auto"/>
            <w:noWrap/>
            <w:vAlign w:val="center"/>
            <w:hideMark/>
          </w:tcPr>
          <w:p w14:paraId="46033946" w14:textId="77777777" w:rsidR="007D5325" w:rsidRPr="00AC2779" w:rsidRDefault="007D5325" w:rsidP="004F39AC">
            <w:pPr>
              <w:jc w:val="right"/>
              <w:rPr>
                <w:rFonts w:ascii="Calibri" w:eastAsia="Times New Roman" w:hAnsi="Calibri"/>
                <w:color w:val="000000"/>
                <w:sz w:val="22"/>
                <w:szCs w:val="22"/>
              </w:rPr>
            </w:pPr>
            <w:proofErr w:type="spellStart"/>
            <w:r w:rsidRPr="00AC2779">
              <w:rPr>
                <w:rFonts w:ascii="Calibri" w:eastAsia="Times New Roman" w:hAnsi="Calibri"/>
                <w:color w:val="000000"/>
                <w:sz w:val="22"/>
                <w:szCs w:val="22"/>
              </w:rPr>
              <w:t>Elst</w:t>
            </w:r>
            <w:proofErr w:type="spellEnd"/>
          </w:p>
        </w:tc>
        <w:tc>
          <w:tcPr>
            <w:tcW w:w="992" w:type="dxa"/>
            <w:tcBorders>
              <w:top w:val="single" w:sz="4" w:space="0" w:color="auto"/>
              <w:bottom w:val="single" w:sz="4" w:space="0" w:color="auto"/>
            </w:tcBorders>
            <w:shd w:val="clear" w:color="auto" w:fill="auto"/>
            <w:noWrap/>
            <w:vAlign w:val="center"/>
            <w:hideMark/>
          </w:tcPr>
          <w:p w14:paraId="04B90228" w14:textId="77777777" w:rsidR="007D5325" w:rsidRPr="00AC2779" w:rsidRDefault="007D5325" w:rsidP="004F39AC">
            <w:pPr>
              <w:jc w:val="right"/>
              <w:rPr>
                <w:rFonts w:ascii="Calibri" w:eastAsia="Times New Roman" w:hAnsi="Calibri"/>
                <w:color w:val="000000"/>
                <w:sz w:val="22"/>
                <w:szCs w:val="22"/>
              </w:rPr>
            </w:pPr>
            <w:proofErr w:type="spellStart"/>
            <w:r w:rsidRPr="00AC2779">
              <w:rPr>
                <w:rFonts w:ascii="Calibri" w:eastAsia="Times New Roman" w:hAnsi="Calibri"/>
                <w:color w:val="000000"/>
                <w:sz w:val="22"/>
                <w:szCs w:val="22"/>
              </w:rPr>
              <w:t>Exch</w:t>
            </w:r>
            <w:proofErr w:type="spellEnd"/>
          </w:p>
        </w:tc>
        <w:tc>
          <w:tcPr>
            <w:tcW w:w="851" w:type="dxa"/>
            <w:tcBorders>
              <w:top w:val="single" w:sz="4" w:space="0" w:color="auto"/>
              <w:bottom w:val="single" w:sz="4" w:space="0" w:color="auto"/>
            </w:tcBorders>
            <w:shd w:val="clear" w:color="auto" w:fill="auto"/>
            <w:noWrap/>
            <w:vAlign w:val="center"/>
            <w:hideMark/>
          </w:tcPr>
          <w:p w14:paraId="48947632" w14:textId="77777777" w:rsidR="007D5325" w:rsidRPr="00AC2779" w:rsidRDefault="007D5325" w:rsidP="004F39AC">
            <w:pPr>
              <w:jc w:val="right"/>
              <w:rPr>
                <w:rFonts w:ascii="Calibri" w:eastAsia="Times New Roman" w:hAnsi="Calibri"/>
                <w:color w:val="000000"/>
                <w:sz w:val="22"/>
                <w:szCs w:val="22"/>
              </w:rPr>
            </w:pPr>
            <w:proofErr w:type="spellStart"/>
            <w:r w:rsidRPr="00AC2779">
              <w:rPr>
                <w:rFonts w:ascii="Calibri" w:eastAsia="Times New Roman" w:hAnsi="Calibri"/>
                <w:color w:val="000000"/>
                <w:sz w:val="22"/>
                <w:szCs w:val="22"/>
              </w:rPr>
              <w:t>Ind</w:t>
            </w:r>
            <w:proofErr w:type="spellEnd"/>
          </w:p>
        </w:tc>
        <w:tc>
          <w:tcPr>
            <w:tcW w:w="850" w:type="dxa"/>
            <w:tcBorders>
              <w:top w:val="single" w:sz="4" w:space="0" w:color="auto"/>
              <w:bottom w:val="single" w:sz="4" w:space="0" w:color="auto"/>
            </w:tcBorders>
            <w:shd w:val="clear" w:color="auto" w:fill="auto"/>
            <w:noWrap/>
            <w:vAlign w:val="center"/>
            <w:hideMark/>
          </w:tcPr>
          <w:p w14:paraId="028748D0" w14:textId="77777777" w:rsidR="007D5325" w:rsidRPr="00AC2779" w:rsidRDefault="007D5325" w:rsidP="004F39AC">
            <w:pPr>
              <w:jc w:val="right"/>
              <w:rPr>
                <w:rFonts w:ascii="Calibri" w:eastAsia="Times New Roman" w:hAnsi="Calibri"/>
                <w:color w:val="000000"/>
                <w:sz w:val="22"/>
                <w:szCs w:val="22"/>
              </w:rPr>
            </w:pPr>
            <w:proofErr w:type="spellStart"/>
            <w:r w:rsidRPr="00AC2779">
              <w:rPr>
                <w:rFonts w:ascii="Calibri" w:eastAsia="Times New Roman" w:hAnsi="Calibri"/>
                <w:color w:val="000000"/>
                <w:sz w:val="22"/>
                <w:szCs w:val="22"/>
              </w:rPr>
              <w:t>Disp</w:t>
            </w:r>
            <w:proofErr w:type="spellEnd"/>
          </w:p>
        </w:tc>
        <w:tc>
          <w:tcPr>
            <w:tcW w:w="709" w:type="dxa"/>
            <w:tcBorders>
              <w:top w:val="single" w:sz="4" w:space="0" w:color="auto"/>
              <w:bottom w:val="single" w:sz="4" w:space="0" w:color="auto"/>
            </w:tcBorders>
            <w:shd w:val="clear" w:color="auto" w:fill="auto"/>
            <w:noWrap/>
            <w:vAlign w:val="center"/>
            <w:hideMark/>
          </w:tcPr>
          <w:p w14:paraId="13A58339" w14:textId="7777777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Total</w:t>
            </w:r>
          </w:p>
        </w:tc>
      </w:tr>
      <w:tr w:rsidR="007D5325" w:rsidRPr="00AC2779" w14:paraId="18451CF5" w14:textId="77777777" w:rsidTr="007D5325">
        <w:trPr>
          <w:trHeight w:val="340"/>
          <w:jc w:val="center"/>
        </w:trPr>
        <w:tc>
          <w:tcPr>
            <w:tcW w:w="2693" w:type="dxa"/>
            <w:tcBorders>
              <w:top w:val="single" w:sz="4" w:space="0" w:color="auto"/>
            </w:tcBorders>
            <w:shd w:val="clear" w:color="auto" w:fill="auto"/>
            <w:noWrap/>
            <w:vAlign w:val="center"/>
            <w:hideMark/>
          </w:tcPr>
          <w:p w14:paraId="73376E6D" w14:textId="0517B9A3" w:rsidR="007D5325" w:rsidRPr="00AC2779" w:rsidRDefault="007D5325" w:rsidP="00392A30">
            <w:pPr>
              <w:rPr>
                <w:rFonts w:ascii="Calibri" w:eastAsia="Times New Roman" w:hAnsi="Calibri"/>
                <w:color w:val="000000"/>
                <w:sz w:val="22"/>
                <w:szCs w:val="22"/>
              </w:rPr>
            </w:pPr>
            <w:r w:rsidRPr="00AC2779">
              <w:rPr>
                <w:rFonts w:ascii="Calibri" w:eastAsia="Times New Roman" w:hAnsi="Calibri"/>
                <w:color w:val="000000"/>
                <w:sz w:val="22"/>
                <w:szCs w:val="22"/>
              </w:rPr>
              <w:t>[C</w:t>
            </w:r>
            <w:r w:rsidRPr="00AC2779">
              <w:rPr>
                <w:rFonts w:ascii="Calibri" w:eastAsia="Times New Roman" w:hAnsi="Calibri"/>
                <w:color w:val="000000"/>
                <w:sz w:val="22"/>
                <w:szCs w:val="22"/>
                <w:vertAlign w:val="subscript"/>
              </w:rPr>
              <w:t>1</w:t>
            </w:r>
            <w:r w:rsidRPr="00AC2779">
              <w:rPr>
                <w:rFonts w:ascii="Calibri" w:eastAsia="Times New Roman" w:hAnsi="Calibri"/>
                <w:color w:val="000000"/>
                <w:sz w:val="22"/>
                <w:szCs w:val="22"/>
              </w:rPr>
              <w:t>mim][BF</w:t>
            </w:r>
            <w:r w:rsidRPr="00AC2779">
              <w:rPr>
                <w:rFonts w:ascii="Calibri" w:eastAsia="Times New Roman" w:hAnsi="Calibri"/>
                <w:color w:val="000000"/>
                <w:sz w:val="22"/>
                <w:szCs w:val="22"/>
                <w:vertAlign w:val="subscript"/>
              </w:rPr>
              <w:t>4</w:t>
            </w:r>
            <w:r w:rsidRPr="00AC2779">
              <w:rPr>
                <w:rFonts w:ascii="Calibri" w:eastAsia="Times New Roman" w:hAnsi="Calibri"/>
                <w:color w:val="000000"/>
                <w:sz w:val="22"/>
                <w:szCs w:val="22"/>
              </w:rPr>
              <w:t>] (R</w:t>
            </w:r>
            <w:r w:rsidRPr="00AC2779">
              <w:rPr>
                <w:rFonts w:ascii="Calibri" w:eastAsia="Times New Roman" w:hAnsi="Calibri"/>
                <w:color w:val="000000"/>
                <w:sz w:val="22"/>
                <w:szCs w:val="22"/>
                <w:vertAlign w:val="subscript"/>
              </w:rPr>
              <w:t>e</w:t>
            </w:r>
            <w:r w:rsidRPr="00AC2779">
              <w:rPr>
                <w:rFonts w:ascii="Calibri" w:eastAsia="Times New Roman" w:hAnsi="Calibri"/>
                <w:color w:val="000000"/>
                <w:sz w:val="22"/>
                <w:szCs w:val="22"/>
              </w:rPr>
              <w:t>)</w:t>
            </w:r>
          </w:p>
        </w:tc>
        <w:tc>
          <w:tcPr>
            <w:tcW w:w="567" w:type="dxa"/>
            <w:tcBorders>
              <w:top w:val="single" w:sz="4" w:space="0" w:color="auto"/>
            </w:tcBorders>
            <w:shd w:val="clear" w:color="auto" w:fill="auto"/>
            <w:noWrap/>
            <w:vAlign w:val="center"/>
            <w:hideMark/>
          </w:tcPr>
          <w:p w14:paraId="309445E2" w14:textId="0939ADAB"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8.9</w:t>
            </w:r>
          </w:p>
        </w:tc>
        <w:tc>
          <w:tcPr>
            <w:tcW w:w="992" w:type="dxa"/>
            <w:tcBorders>
              <w:top w:val="single" w:sz="4" w:space="0" w:color="auto"/>
            </w:tcBorders>
            <w:shd w:val="clear" w:color="auto" w:fill="auto"/>
            <w:noWrap/>
            <w:vAlign w:val="center"/>
            <w:hideMark/>
          </w:tcPr>
          <w:p w14:paraId="4349B35D" w14:textId="0C52D30E"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56.1</w:t>
            </w:r>
          </w:p>
        </w:tc>
        <w:tc>
          <w:tcPr>
            <w:tcW w:w="851" w:type="dxa"/>
            <w:tcBorders>
              <w:top w:val="single" w:sz="4" w:space="0" w:color="auto"/>
            </w:tcBorders>
            <w:shd w:val="clear" w:color="auto" w:fill="auto"/>
            <w:noWrap/>
            <w:vAlign w:val="center"/>
            <w:hideMark/>
          </w:tcPr>
          <w:p w14:paraId="7D72BC77" w14:textId="602EFD4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34.6</w:t>
            </w:r>
          </w:p>
        </w:tc>
        <w:tc>
          <w:tcPr>
            <w:tcW w:w="850" w:type="dxa"/>
            <w:tcBorders>
              <w:top w:val="single" w:sz="4" w:space="0" w:color="auto"/>
            </w:tcBorders>
            <w:shd w:val="clear" w:color="auto" w:fill="auto"/>
            <w:noWrap/>
            <w:vAlign w:val="center"/>
            <w:hideMark/>
          </w:tcPr>
          <w:p w14:paraId="35B51E96" w14:textId="6AEB83DD"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5.7</w:t>
            </w:r>
          </w:p>
        </w:tc>
        <w:tc>
          <w:tcPr>
            <w:tcW w:w="709" w:type="dxa"/>
            <w:tcBorders>
              <w:top w:val="single" w:sz="4" w:space="0" w:color="auto"/>
            </w:tcBorders>
            <w:shd w:val="clear" w:color="auto" w:fill="auto"/>
            <w:noWrap/>
            <w:vAlign w:val="center"/>
            <w:hideMark/>
          </w:tcPr>
          <w:p w14:paraId="791AE80C" w14:textId="5AFE9DB7"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9.3</w:t>
            </w:r>
          </w:p>
        </w:tc>
      </w:tr>
      <w:tr w:rsidR="007D5325" w:rsidRPr="00AC2779" w14:paraId="3EA28465" w14:textId="77777777" w:rsidTr="007D5325">
        <w:trPr>
          <w:trHeight w:val="340"/>
          <w:jc w:val="center"/>
        </w:trPr>
        <w:tc>
          <w:tcPr>
            <w:tcW w:w="2693" w:type="dxa"/>
            <w:shd w:val="clear" w:color="auto" w:fill="auto"/>
            <w:noWrap/>
            <w:vAlign w:val="center"/>
            <w:hideMark/>
          </w:tcPr>
          <w:p w14:paraId="2E74A9F6" w14:textId="77777777" w:rsidR="007D5325" w:rsidRPr="00AC2779" w:rsidRDefault="007D5325" w:rsidP="00392A30">
            <w:pPr>
              <w:rPr>
                <w:rFonts w:ascii="Calibri" w:eastAsia="Times New Roman" w:hAnsi="Calibri"/>
                <w:color w:val="000000"/>
                <w:sz w:val="22"/>
                <w:szCs w:val="22"/>
              </w:rPr>
            </w:pPr>
            <w:r w:rsidRPr="00AC2779">
              <w:rPr>
                <w:rFonts w:ascii="Calibri" w:eastAsia="Times New Roman" w:hAnsi="Calibri"/>
                <w:color w:val="000000"/>
                <w:sz w:val="22"/>
                <w:szCs w:val="22"/>
              </w:rPr>
              <w:t>[C</w:t>
            </w:r>
            <w:r w:rsidRPr="00AC2779">
              <w:rPr>
                <w:rFonts w:ascii="Calibri" w:eastAsia="Times New Roman" w:hAnsi="Calibri"/>
                <w:color w:val="000000"/>
                <w:sz w:val="22"/>
                <w:szCs w:val="22"/>
                <w:vertAlign w:val="subscript"/>
              </w:rPr>
              <w:t>1</w:t>
            </w:r>
            <w:r w:rsidRPr="00AC2779">
              <w:rPr>
                <w:rFonts w:ascii="Calibri" w:eastAsia="Times New Roman" w:hAnsi="Calibri"/>
                <w:color w:val="000000"/>
                <w:sz w:val="22"/>
                <w:szCs w:val="22"/>
              </w:rPr>
              <w:t>mim][BF</w:t>
            </w:r>
            <w:r w:rsidRPr="00AC2779">
              <w:rPr>
                <w:rFonts w:ascii="Calibri" w:eastAsia="Times New Roman" w:hAnsi="Calibri"/>
                <w:color w:val="000000"/>
                <w:sz w:val="22"/>
                <w:szCs w:val="22"/>
                <w:vertAlign w:val="subscript"/>
              </w:rPr>
              <w:t>4</w:t>
            </w:r>
            <w:r w:rsidRPr="00AC2779">
              <w:rPr>
                <w:rFonts w:ascii="Calibri" w:eastAsia="Times New Roman" w:hAnsi="Calibri"/>
                <w:color w:val="000000"/>
                <w:sz w:val="22"/>
                <w:szCs w:val="22"/>
              </w:rPr>
              <w:t>] (R</w:t>
            </w:r>
            <w:r w:rsidRPr="00AC2779">
              <w:rPr>
                <w:rFonts w:ascii="Calibri" w:eastAsia="Times New Roman" w:hAnsi="Calibri"/>
                <w:color w:val="000000"/>
                <w:sz w:val="22"/>
                <w:szCs w:val="22"/>
                <w:vertAlign w:val="subscript"/>
              </w:rPr>
              <w:t>e</w:t>
            </w:r>
            <w:r w:rsidRPr="00AC2779">
              <w:rPr>
                <w:rFonts w:ascii="Calibri" w:eastAsia="Times New Roman" w:hAnsi="Calibri"/>
                <w:color w:val="000000"/>
                <w:sz w:val="22"/>
                <w:szCs w:val="22"/>
              </w:rPr>
              <w:t>+0.6)</w:t>
            </w:r>
          </w:p>
        </w:tc>
        <w:tc>
          <w:tcPr>
            <w:tcW w:w="567" w:type="dxa"/>
            <w:shd w:val="clear" w:color="auto" w:fill="auto"/>
            <w:noWrap/>
            <w:vAlign w:val="center"/>
            <w:hideMark/>
          </w:tcPr>
          <w:p w14:paraId="4CA91CBB" w14:textId="054F27AB"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1.6</w:t>
            </w:r>
          </w:p>
        </w:tc>
        <w:tc>
          <w:tcPr>
            <w:tcW w:w="992" w:type="dxa"/>
            <w:shd w:val="clear" w:color="auto" w:fill="auto"/>
            <w:noWrap/>
            <w:vAlign w:val="center"/>
            <w:hideMark/>
          </w:tcPr>
          <w:p w14:paraId="0EC00E06" w14:textId="5AF994C6"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27.6</w:t>
            </w:r>
          </w:p>
        </w:tc>
        <w:tc>
          <w:tcPr>
            <w:tcW w:w="851" w:type="dxa"/>
            <w:shd w:val="clear" w:color="auto" w:fill="auto"/>
            <w:noWrap/>
            <w:vAlign w:val="center"/>
            <w:hideMark/>
          </w:tcPr>
          <w:p w14:paraId="78E6B8B8" w14:textId="64E1A441"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13.9</w:t>
            </w:r>
          </w:p>
        </w:tc>
        <w:tc>
          <w:tcPr>
            <w:tcW w:w="850" w:type="dxa"/>
            <w:shd w:val="clear" w:color="auto" w:fill="auto"/>
            <w:noWrap/>
            <w:vAlign w:val="center"/>
            <w:hideMark/>
          </w:tcPr>
          <w:p w14:paraId="4649620E" w14:textId="77B527E0"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2.7</w:t>
            </w:r>
          </w:p>
        </w:tc>
        <w:tc>
          <w:tcPr>
            <w:tcW w:w="709" w:type="dxa"/>
            <w:shd w:val="clear" w:color="auto" w:fill="auto"/>
            <w:noWrap/>
            <w:vAlign w:val="center"/>
            <w:hideMark/>
          </w:tcPr>
          <w:p w14:paraId="2276B24A" w14:textId="0724A2DB"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2.5</w:t>
            </w:r>
          </w:p>
        </w:tc>
      </w:tr>
      <w:tr w:rsidR="007D5325" w:rsidRPr="00AC2779" w14:paraId="29068E68" w14:textId="77777777" w:rsidTr="007D5325">
        <w:trPr>
          <w:trHeight w:val="340"/>
          <w:jc w:val="center"/>
        </w:trPr>
        <w:tc>
          <w:tcPr>
            <w:tcW w:w="2693" w:type="dxa"/>
            <w:shd w:val="clear" w:color="auto" w:fill="auto"/>
            <w:noWrap/>
            <w:vAlign w:val="center"/>
            <w:hideMark/>
          </w:tcPr>
          <w:p w14:paraId="7BBDE36A" w14:textId="77777777" w:rsidR="007D5325" w:rsidRPr="00AC2779" w:rsidRDefault="007D5325" w:rsidP="00392A30">
            <w:pPr>
              <w:rPr>
                <w:rFonts w:ascii="Calibri" w:eastAsia="Times New Roman" w:hAnsi="Calibri"/>
                <w:color w:val="000000"/>
                <w:sz w:val="22"/>
                <w:szCs w:val="22"/>
              </w:rPr>
            </w:pPr>
            <w:r w:rsidRPr="00AC2779">
              <w:rPr>
                <w:rFonts w:ascii="Calibri" w:eastAsia="Times New Roman" w:hAnsi="Calibri"/>
                <w:color w:val="000000"/>
                <w:sz w:val="22"/>
                <w:szCs w:val="22"/>
              </w:rPr>
              <w:t>[C</w:t>
            </w:r>
            <w:r w:rsidRPr="00AC2779">
              <w:rPr>
                <w:rFonts w:ascii="Calibri" w:eastAsia="Times New Roman" w:hAnsi="Calibri"/>
                <w:color w:val="000000"/>
                <w:sz w:val="22"/>
                <w:szCs w:val="22"/>
                <w:vertAlign w:val="subscript"/>
              </w:rPr>
              <w:t>1</w:t>
            </w:r>
            <w:r w:rsidRPr="00AC2779">
              <w:rPr>
                <w:rFonts w:ascii="Calibri" w:eastAsia="Times New Roman" w:hAnsi="Calibri"/>
                <w:color w:val="000000"/>
                <w:sz w:val="22"/>
                <w:szCs w:val="22"/>
              </w:rPr>
              <w:t>mim][BF</w:t>
            </w:r>
            <w:r w:rsidRPr="00AC2779">
              <w:rPr>
                <w:rFonts w:ascii="Calibri" w:eastAsia="Times New Roman" w:hAnsi="Calibri"/>
                <w:color w:val="000000"/>
                <w:sz w:val="22"/>
                <w:szCs w:val="22"/>
                <w:vertAlign w:val="subscript"/>
              </w:rPr>
              <w:t>4</w:t>
            </w:r>
            <w:r w:rsidRPr="00AC2779">
              <w:rPr>
                <w:rFonts w:ascii="Calibri" w:eastAsia="Times New Roman" w:hAnsi="Calibri"/>
                <w:color w:val="000000"/>
                <w:sz w:val="22"/>
                <w:szCs w:val="22"/>
              </w:rPr>
              <w:t>] (R</w:t>
            </w:r>
            <w:r w:rsidRPr="00AC2779">
              <w:rPr>
                <w:rFonts w:ascii="Calibri" w:eastAsia="Times New Roman" w:hAnsi="Calibri"/>
                <w:color w:val="000000"/>
                <w:sz w:val="22"/>
                <w:szCs w:val="22"/>
                <w:vertAlign w:val="subscript"/>
              </w:rPr>
              <w:t>e</w:t>
            </w:r>
            <w:r w:rsidRPr="00AC2779">
              <w:rPr>
                <w:rFonts w:ascii="Calibri" w:eastAsia="Times New Roman" w:hAnsi="Calibri"/>
                <w:color w:val="000000"/>
                <w:sz w:val="22"/>
                <w:szCs w:val="22"/>
              </w:rPr>
              <w:t>+1.0)</w:t>
            </w:r>
          </w:p>
        </w:tc>
        <w:tc>
          <w:tcPr>
            <w:tcW w:w="567" w:type="dxa"/>
            <w:shd w:val="clear" w:color="auto" w:fill="auto"/>
            <w:noWrap/>
            <w:vAlign w:val="center"/>
            <w:hideMark/>
          </w:tcPr>
          <w:p w14:paraId="3ECA59B6" w14:textId="43F473F2"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1.4</w:t>
            </w:r>
          </w:p>
        </w:tc>
        <w:tc>
          <w:tcPr>
            <w:tcW w:w="992" w:type="dxa"/>
            <w:shd w:val="clear" w:color="auto" w:fill="auto"/>
            <w:noWrap/>
            <w:vAlign w:val="center"/>
            <w:hideMark/>
          </w:tcPr>
          <w:p w14:paraId="73E06CDC" w14:textId="696C1788"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28.4</w:t>
            </w:r>
          </w:p>
        </w:tc>
        <w:tc>
          <w:tcPr>
            <w:tcW w:w="851" w:type="dxa"/>
            <w:shd w:val="clear" w:color="auto" w:fill="auto"/>
            <w:noWrap/>
            <w:vAlign w:val="center"/>
            <w:hideMark/>
          </w:tcPr>
          <w:p w14:paraId="03BD3AA6" w14:textId="21CF1489"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9.9</w:t>
            </w:r>
          </w:p>
        </w:tc>
        <w:tc>
          <w:tcPr>
            <w:tcW w:w="850" w:type="dxa"/>
            <w:shd w:val="clear" w:color="auto" w:fill="auto"/>
            <w:noWrap/>
            <w:vAlign w:val="center"/>
            <w:hideMark/>
          </w:tcPr>
          <w:p w14:paraId="0D7F9633" w14:textId="3E45658F"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1.2</w:t>
            </w:r>
          </w:p>
        </w:tc>
        <w:tc>
          <w:tcPr>
            <w:tcW w:w="709" w:type="dxa"/>
            <w:shd w:val="clear" w:color="auto" w:fill="auto"/>
            <w:noWrap/>
            <w:vAlign w:val="center"/>
            <w:hideMark/>
          </w:tcPr>
          <w:p w14:paraId="2B7455A6" w14:textId="0C118A23"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1.4</w:t>
            </w:r>
          </w:p>
        </w:tc>
      </w:tr>
      <w:tr w:rsidR="007D5325" w:rsidRPr="00AC2779" w14:paraId="53AC37F8" w14:textId="77777777" w:rsidTr="007D5325">
        <w:trPr>
          <w:trHeight w:val="340"/>
          <w:jc w:val="center"/>
        </w:trPr>
        <w:tc>
          <w:tcPr>
            <w:tcW w:w="2693" w:type="dxa"/>
            <w:shd w:val="clear" w:color="auto" w:fill="auto"/>
            <w:noWrap/>
            <w:vAlign w:val="center"/>
            <w:hideMark/>
          </w:tcPr>
          <w:p w14:paraId="7B920218" w14:textId="7A3960DA" w:rsidR="007D5325" w:rsidRPr="00AC2779" w:rsidRDefault="007D5325" w:rsidP="00392A30">
            <w:pPr>
              <w:rPr>
                <w:rFonts w:ascii="Calibri" w:eastAsia="Times New Roman" w:hAnsi="Calibri"/>
                <w:color w:val="000000"/>
                <w:sz w:val="22"/>
                <w:szCs w:val="22"/>
              </w:rPr>
            </w:pPr>
            <w:r w:rsidRPr="00AC2779">
              <w:rPr>
                <w:rFonts w:ascii="Calibri" w:eastAsia="Times New Roman" w:hAnsi="Calibri"/>
                <w:color w:val="000000"/>
                <w:sz w:val="22"/>
                <w:szCs w:val="22"/>
              </w:rPr>
              <w:t>[C</w:t>
            </w:r>
            <w:r w:rsidRPr="00AC2779">
              <w:rPr>
                <w:rFonts w:ascii="Calibri" w:eastAsia="Times New Roman" w:hAnsi="Calibri"/>
                <w:color w:val="000000"/>
                <w:sz w:val="22"/>
                <w:szCs w:val="22"/>
                <w:vertAlign w:val="subscript"/>
              </w:rPr>
              <w:t>1</w:t>
            </w:r>
            <w:r w:rsidRPr="00AC2779">
              <w:rPr>
                <w:rFonts w:ascii="Calibri" w:eastAsia="Times New Roman" w:hAnsi="Calibri"/>
                <w:color w:val="000000"/>
                <w:sz w:val="22"/>
                <w:szCs w:val="22"/>
              </w:rPr>
              <w:t>mpyr][BF</w:t>
            </w:r>
            <w:r w:rsidRPr="00AC2779">
              <w:rPr>
                <w:rFonts w:ascii="Calibri" w:eastAsia="Times New Roman" w:hAnsi="Calibri"/>
                <w:color w:val="000000"/>
                <w:sz w:val="22"/>
                <w:szCs w:val="22"/>
                <w:vertAlign w:val="subscript"/>
              </w:rPr>
              <w:t>4</w:t>
            </w:r>
            <w:r w:rsidRPr="00AC2779">
              <w:rPr>
                <w:rFonts w:ascii="Calibri" w:eastAsia="Times New Roman" w:hAnsi="Calibri"/>
                <w:color w:val="000000"/>
                <w:sz w:val="22"/>
                <w:szCs w:val="22"/>
              </w:rPr>
              <w:t>] (R</w:t>
            </w:r>
            <w:r w:rsidRPr="00AC2779">
              <w:rPr>
                <w:rFonts w:ascii="Calibri" w:eastAsia="Times New Roman" w:hAnsi="Calibri"/>
                <w:color w:val="000000"/>
                <w:sz w:val="22"/>
                <w:szCs w:val="22"/>
                <w:vertAlign w:val="subscript"/>
              </w:rPr>
              <w:t>e</w:t>
            </w:r>
            <w:r w:rsidRPr="00AC2779">
              <w:rPr>
                <w:rFonts w:ascii="Calibri" w:eastAsia="Times New Roman" w:hAnsi="Calibri"/>
                <w:color w:val="000000"/>
                <w:sz w:val="22"/>
                <w:szCs w:val="22"/>
              </w:rPr>
              <w:t>)</w:t>
            </w:r>
          </w:p>
        </w:tc>
        <w:tc>
          <w:tcPr>
            <w:tcW w:w="567" w:type="dxa"/>
            <w:shd w:val="clear" w:color="auto" w:fill="auto"/>
            <w:noWrap/>
            <w:vAlign w:val="center"/>
            <w:hideMark/>
          </w:tcPr>
          <w:p w14:paraId="2B675C83" w14:textId="7B18A565"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9.3</w:t>
            </w:r>
          </w:p>
        </w:tc>
        <w:tc>
          <w:tcPr>
            <w:tcW w:w="992" w:type="dxa"/>
            <w:shd w:val="clear" w:color="auto" w:fill="auto"/>
            <w:noWrap/>
            <w:vAlign w:val="center"/>
            <w:hideMark/>
          </w:tcPr>
          <w:p w14:paraId="3754E8EE" w14:textId="13D1F30C"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60.0</w:t>
            </w:r>
          </w:p>
        </w:tc>
        <w:tc>
          <w:tcPr>
            <w:tcW w:w="851" w:type="dxa"/>
            <w:shd w:val="clear" w:color="auto" w:fill="auto"/>
            <w:noWrap/>
            <w:vAlign w:val="center"/>
            <w:hideMark/>
          </w:tcPr>
          <w:p w14:paraId="4F78B60C" w14:textId="7716288B"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38.6</w:t>
            </w:r>
          </w:p>
        </w:tc>
        <w:tc>
          <w:tcPr>
            <w:tcW w:w="850" w:type="dxa"/>
            <w:shd w:val="clear" w:color="auto" w:fill="auto"/>
            <w:noWrap/>
            <w:vAlign w:val="center"/>
            <w:hideMark/>
          </w:tcPr>
          <w:p w14:paraId="64ECBE0D" w14:textId="301C0DAC"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19.1</w:t>
            </w:r>
          </w:p>
        </w:tc>
        <w:tc>
          <w:tcPr>
            <w:tcW w:w="709" w:type="dxa"/>
            <w:shd w:val="clear" w:color="auto" w:fill="auto"/>
            <w:noWrap/>
            <w:vAlign w:val="center"/>
            <w:hideMark/>
          </w:tcPr>
          <w:p w14:paraId="6F1354E1" w14:textId="72AA82E4"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7.2</w:t>
            </w:r>
          </w:p>
        </w:tc>
      </w:tr>
      <w:tr w:rsidR="007D5325" w:rsidRPr="00AC2779" w14:paraId="5EE2FF71" w14:textId="77777777" w:rsidTr="007D5325">
        <w:trPr>
          <w:trHeight w:val="340"/>
          <w:jc w:val="center"/>
        </w:trPr>
        <w:tc>
          <w:tcPr>
            <w:tcW w:w="2693" w:type="dxa"/>
            <w:shd w:val="clear" w:color="auto" w:fill="auto"/>
            <w:noWrap/>
            <w:vAlign w:val="center"/>
            <w:hideMark/>
          </w:tcPr>
          <w:p w14:paraId="10EC053B" w14:textId="77777777" w:rsidR="007D5325" w:rsidRPr="00AC2779" w:rsidRDefault="007D5325" w:rsidP="00392A30">
            <w:pPr>
              <w:rPr>
                <w:rFonts w:ascii="Calibri" w:eastAsia="Times New Roman" w:hAnsi="Calibri"/>
                <w:color w:val="000000"/>
                <w:sz w:val="22"/>
                <w:szCs w:val="22"/>
              </w:rPr>
            </w:pPr>
            <w:r w:rsidRPr="00AC2779">
              <w:rPr>
                <w:rFonts w:ascii="Calibri" w:eastAsia="Times New Roman" w:hAnsi="Calibri"/>
                <w:color w:val="000000"/>
                <w:sz w:val="22"/>
                <w:szCs w:val="22"/>
              </w:rPr>
              <w:t>[C</w:t>
            </w:r>
            <w:r w:rsidRPr="00AC2779">
              <w:rPr>
                <w:rFonts w:ascii="Calibri" w:eastAsia="Times New Roman" w:hAnsi="Calibri"/>
                <w:color w:val="000000"/>
                <w:sz w:val="22"/>
                <w:szCs w:val="22"/>
                <w:vertAlign w:val="subscript"/>
              </w:rPr>
              <w:t>1</w:t>
            </w:r>
            <w:r w:rsidRPr="00AC2779">
              <w:rPr>
                <w:rFonts w:ascii="Calibri" w:eastAsia="Times New Roman" w:hAnsi="Calibri"/>
                <w:color w:val="000000"/>
                <w:sz w:val="22"/>
                <w:szCs w:val="22"/>
              </w:rPr>
              <w:t>mpyr][BF</w:t>
            </w:r>
            <w:r w:rsidRPr="00AC2779">
              <w:rPr>
                <w:rFonts w:ascii="Calibri" w:eastAsia="Times New Roman" w:hAnsi="Calibri"/>
                <w:color w:val="000000"/>
                <w:sz w:val="22"/>
                <w:szCs w:val="22"/>
                <w:vertAlign w:val="subscript"/>
              </w:rPr>
              <w:t>4</w:t>
            </w:r>
            <w:r w:rsidRPr="00AC2779">
              <w:rPr>
                <w:rFonts w:ascii="Calibri" w:eastAsia="Times New Roman" w:hAnsi="Calibri"/>
                <w:color w:val="000000"/>
                <w:sz w:val="22"/>
                <w:szCs w:val="22"/>
              </w:rPr>
              <w:t>] (R</w:t>
            </w:r>
            <w:r w:rsidRPr="00AC2779">
              <w:rPr>
                <w:rFonts w:ascii="Calibri" w:eastAsia="Times New Roman" w:hAnsi="Calibri"/>
                <w:color w:val="000000"/>
                <w:sz w:val="22"/>
                <w:szCs w:val="22"/>
                <w:vertAlign w:val="subscript"/>
              </w:rPr>
              <w:t>e</w:t>
            </w:r>
            <w:r w:rsidRPr="00AC2779">
              <w:rPr>
                <w:rFonts w:ascii="Calibri" w:eastAsia="Times New Roman" w:hAnsi="Calibri"/>
                <w:color w:val="000000"/>
                <w:sz w:val="22"/>
                <w:szCs w:val="22"/>
              </w:rPr>
              <w:t>+0.6)</w:t>
            </w:r>
          </w:p>
        </w:tc>
        <w:tc>
          <w:tcPr>
            <w:tcW w:w="567" w:type="dxa"/>
            <w:shd w:val="clear" w:color="auto" w:fill="auto"/>
            <w:noWrap/>
            <w:vAlign w:val="center"/>
            <w:hideMark/>
          </w:tcPr>
          <w:p w14:paraId="49915DA2" w14:textId="6172CC6A"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0.5</w:t>
            </w:r>
          </w:p>
        </w:tc>
        <w:tc>
          <w:tcPr>
            <w:tcW w:w="992" w:type="dxa"/>
            <w:shd w:val="clear" w:color="auto" w:fill="auto"/>
            <w:noWrap/>
            <w:vAlign w:val="center"/>
            <w:hideMark/>
          </w:tcPr>
          <w:p w14:paraId="68C1E857" w14:textId="30A0BAF6"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31.1</w:t>
            </w:r>
          </w:p>
        </w:tc>
        <w:tc>
          <w:tcPr>
            <w:tcW w:w="851" w:type="dxa"/>
            <w:shd w:val="clear" w:color="auto" w:fill="auto"/>
            <w:noWrap/>
            <w:vAlign w:val="center"/>
            <w:hideMark/>
          </w:tcPr>
          <w:p w14:paraId="71FB3F4C" w14:textId="79AA353E"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12.6</w:t>
            </w:r>
          </w:p>
        </w:tc>
        <w:tc>
          <w:tcPr>
            <w:tcW w:w="850" w:type="dxa"/>
            <w:shd w:val="clear" w:color="auto" w:fill="auto"/>
            <w:noWrap/>
            <w:vAlign w:val="center"/>
            <w:hideMark/>
          </w:tcPr>
          <w:p w14:paraId="4EB843D0" w14:textId="7C4FCCE6"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12.6</w:t>
            </w:r>
          </w:p>
        </w:tc>
        <w:tc>
          <w:tcPr>
            <w:tcW w:w="709" w:type="dxa"/>
            <w:shd w:val="clear" w:color="auto" w:fill="auto"/>
            <w:noWrap/>
            <w:vAlign w:val="center"/>
            <w:hideMark/>
          </w:tcPr>
          <w:p w14:paraId="5AFE0A6E" w14:textId="3AEC4EA9"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1.1</w:t>
            </w:r>
          </w:p>
        </w:tc>
      </w:tr>
      <w:tr w:rsidR="007D5325" w:rsidRPr="00AC2779" w14:paraId="4A2623E1" w14:textId="77777777" w:rsidTr="007D5325">
        <w:trPr>
          <w:trHeight w:val="340"/>
          <w:jc w:val="center"/>
        </w:trPr>
        <w:tc>
          <w:tcPr>
            <w:tcW w:w="2693" w:type="dxa"/>
            <w:tcBorders>
              <w:bottom w:val="single" w:sz="4" w:space="0" w:color="auto"/>
            </w:tcBorders>
            <w:shd w:val="clear" w:color="auto" w:fill="auto"/>
            <w:noWrap/>
            <w:vAlign w:val="center"/>
            <w:hideMark/>
          </w:tcPr>
          <w:p w14:paraId="456E77F4" w14:textId="77777777" w:rsidR="007D5325" w:rsidRPr="00AC2779" w:rsidRDefault="007D5325" w:rsidP="00392A30">
            <w:pPr>
              <w:rPr>
                <w:rFonts w:ascii="Calibri" w:eastAsia="Times New Roman" w:hAnsi="Calibri"/>
                <w:color w:val="000000"/>
                <w:sz w:val="22"/>
                <w:szCs w:val="22"/>
              </w:rPr>
            </w:pPr>
            <w:r w:rsidRPr="00AC2779">
              <w:rPr>
                <w:rFonts w:ascii="Calibri" w:eastAsia="Times New Roman" w:hAnsi="Calibri"/>
                <w:color w:val="000000"/>
                <w:sz w:val="22"/>
                <w:szCs w:val="22"/>
              </w:rPr>
              <w:t>[C</w:t>
            </w:r>
            <w:r w:rsidRPr="00AC2779">
              <w:rPr>
                <w:rFonts w:ascii="Calibri" w:eastAsia="Times New Roman" w:hAnsi="Calibri"/>
                <w:color w:val="000000"/>
                <w:sz w:val="22"/>
                <w:szCs w:val="22"/>
                <w:vertAlign w:val="subscript"/>
              </w:rPr>
              <w:t>1</w:t>
            </w:r>
            <w:r w:rsidRPr="00AC2779">
              <w:rPr>
                <w:rFonts w:ascii="Calibri" w:eastAsia="Times New Roman" w:hAnsi="Calibri"/>
                <w:color w:val="000000"/>
                <w:sz w:val="22"/>
                <w:szCs w:val="22"/>
              </w:rPr>
              <w:t>mpyr][BF</w:t>
            </w:r>
            <w:r w:rsidRPr="00AC2779">
              <w:rPr>
                <w:rFonts w:ascii="Calibri" w:eastAsia="Times New Roman" w:hAnsi="Calibri"/>
                <w:color w:val="000000"/>
                <w:sz w:val="22"/>
                <w:szCs w:val="22"/>
                <w:vertAlign w:val="subscript"/>
              </w:rPr>
              <w:t>4</w:t>
            </w:r>
            <w:r w:rsidRPr="00AC2779">
              <w:rPr>
                <w:rFonts w:ascii="Calibri" w:eastAsia="Times New Roman" w:hAnsi="Calibri"/>
                <w:color w:val="000000"/>
                <w:sz w:val="22"/>
                <w:szCs w:val="22"/>
              </w:rPr>
              <w:t>] (R</w:t>
            </w:r>
            <w:r w:rsidRPr="00AC2779">
              <w:rPr>
                <w:rFonts w:ascii="Calibri" w:eastAsia="Times New Roman" w:hAnsi="Calibri"/>
                <w:color w:val="000000"/>
                <w:sz w:val="22"/>
                <w:szCs w:val="22"/>
                <w:vertAlign w:val="subscript"/>
              </w:rPr>
              <w:t>e</w:t>
            </w:r>
            <w:r w:rsidRPr="00AC2779">
              <w:rPr>
                <w:rFonts w:ascii="Calibri" w:eastAsia="Times New Roman" w:hAnsi="Calibri"/>
                <w:color w:val="000000"/>
                <w:sz w:val="22"/>
                <w:szCs w:val="22"/>
              </w:rPr>
              <w:t>+1.0)</w:t>
            </w:r>
          </w:p>
        </w:tc>
        <w:tc>
          <w:tcPr>
            <w:tcW w:w="567" w:type="dxa"/>
            <w:tcBorders>
              <w:bottom w:val="single" w:sz="4" w:space="0" w:color="auto"/>
            </w:tcBorders>
            <w:shd w:val="clear" w:color="auto" w:fill="auto"/>
            <w:noWrap/>
            <w:vAlign w:val="center"/>
            <w:hideMark/>
          </w:tcPr>
          <w:p w14:paraId="39FCA6AE" w14:textId="0C4037CD"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0.3</w:t>
            </w:r>
          </w:p>
        </w:tc>
        <w:tc>
          <w:tcPr>
            <w:tcW w:w="992" w:type="dxa"/>
            <w:tcBorders>
              <w:bottom w:val="single" w:sz="4" w:space="0" w:color="auto"/>
            </w:tcBorders>
            <w:shd w:val="clear" w:color="auto" w:fill="auto"/>
            <w:noWrap/>
            <w:vAlign w:val="center"/>
            <w:hideMark/>
          </w:tcPr>
          <w:p w14:paraId="2C932F4A" w14:textId="7E12B099"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26.2</w:t>
            </w:r>
          </w:p>
        </w:tc>
        <w:tc>
          <w:tcPr>
            <w:tcW w:w="851" w:type="dxa"/>
            <w:tcBorders>
              <w:bottom w:val="single" w:sz="4" w:space="0" w:color="auto"/>
            </w:tcBorders>
            <w:shd w:val="clear" w:color="auto" w:fill="auto"/>
            <w:noWrap/>
            <w:vAlign w:val="center"/>
            <w:hideMark/>
          </w:tcPr>
          <w:p w14:paraId="2589E7B3" w14:textId="64A07E29"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8.8</w:t>
            </w:r>
          </w:p>
        </w:tc>
        <w:tc>
          <w:tcPr>
            <w:tcW w:w="850" w:type="dxa"/>
            <w:tcBorders>
              <w:bottom w:val="single" w:sz="4" w:space="0" w:color="auto"/>
            </w:tcBorders>
            <w:shd w:val="clear" w:color="auto" w:fill="auto"/>
            <w:noWrap/>
            <w:vAlign w:val="center"/>
            <w:hideMark/>
          </w:tcPr>
          <w:p w14:paraId="368A923F" w14:textId="48865B86"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10.2</w:t>
            </w:r>
          </w:p>
        </w:tc>
        <w:tc>
          <w:tcPr>
            <w:tcW w:w="709" w:type="dxa"/>
            <w:tcBorders>
              <w:bottom w:val="single" w:sz="4" w:space="0" w:color="auto"/>
            </w:tcBorders>
            <w:shd w:val="clear" w:color="auto" w:fill="auto"/>
            <w:noWrap/>
            <w:vAlign w:val="center"/>
            <w:hideMark/>
          </w:tcPr>
          <w:p w14:paraId="50C5AA61" w14:textId="32B9286C" w:rsidR="007D5325" w:rsidRPr="00AC2779" w:rsidRDefault="007D5325" w:rsidP="004F39AC">
            <w:pPr>
              <w:jc w:val="right"/>
              <w:rPr>
                <w:rFonts w:ascii="Calibri" w:eastAsia="Times New Roman" w:hAnsi="Calibri"/>
                <w:color w:val="000000"/>
                <w:sz w:val="22"/>
                <w:szCs w:val="22"/>
              </w:rPr>
            </w:pPr>
            <w:r w:rsidRPr="00AC2779">
              <w:rPr>
                <w:rFonts w:ascii="Calibri" w:eastAsia="Times New Roman" w:hAnsi="Calibri"/>
                <w:color w:val="000000"/>
                <w:sz w:val="22"/>
                <w:szCs w:val="22"/>
              </w:rPr>
              <w:t>0.0</w:t>
            </w:r>
          </w:p>
        </w:tc>
      </w:tr>
    </w:tbl>
    <w:p w14:paraId="44A75D20" w14:textId="77777777" w:rsidR="00AC2779" w:rsidRDefault="00AC2779" w:rsidP="00CC21E5">
      <w:pPr>
        <w:rPr>
          <w:rFonts w:eastAsia="Times New Roman"/>
          <w:color w:val="000000"/>
          <w:sz w:val="22"/>
          <w:szCs w:val="22"/>
        </w:rPr>
      </w:pPr>
    </w:p>
    <w:p w14:paraId="62418C9A" w14:textId="77777777" w:rsidR="00AC2779" w:rsidRDefault="00AC2779" w:rsidP="00CC21E5">
      <w:pPr>
        <w:rPr>
          <w:rFonts w:eastAsia="Times New Roman"/>
          <w:color w:val="000000"/>
          <w:sz w:val="22"/>
          <w:szCs w:val="22"/>
        </w:rPr>
      </w:pPr>
    </w:p>
    <w:p w14:paraId="07BBE0CB" w14:textId="77777777" w:rsidR="00AC2779" w:rsidRDefault="00AC2779" w:rsidP="00CC21E5">
      <w:pPr>
        <w:rPr>
          <w:rFonts w:eastAsia="Times New Roman"/>
          <w:color w:val="000000"/>
          <w:sz w:val="22"/>
          <w:szCs w:val="22"/>
        </w:rPr>
      </w:pPr>
    </w:p>
    <w:p w14:paraId="4DAB6DFD" w14:textId="77777777" w:rsidR="00AC2779" w:rsidRDefault="00AC2779" w:rsidP="00CC21E5">
      <w:pPr>
        <w:rPr>
          <w:rFonts w:eastAsia="Times New Roman"/>
          <w:color w:val="000000"/>
          <w:sz w:val="22"/>
          <w:szCs w:val="22"/>
        </w:rPr>
      </w:pPr>
    </w:p>
    <w:p w14:paraId="34EF4630" w14:textId="2C7875EE" w:rsidR="00CC21E5" w:rsidRPr="00CC21E5" w:rsidRDefault="00CC21E5" w:rsidP="00CC21E5">
      <w:pPr>
        <w:rPr>
          <w:rFonts w:eastAsia="Times New Roman"/>
          <w:sz w:val="22"/>
          <w:szCs w:val="22"/>
        </w:rPr>
      </w:pPr>
      <w:r w:rsidRPr="00CC21E5">
        <w:rPr>
          <w:rFonts w:eastAsia="Times New Roman"/>
          <w:color w:val="000000"/>
          <w:sz w:val="22"/>
          <w:szCs w:val="22"/>
        </w:rPr>
        <w:br/>
      </w:r>
      <w:r w:rsidRPr="00CC21E5">
        <w:rPr>
          <w:rFonts w:eastAsia="Times New Roman"/>
          <w:color w:val="000000"/>
          <w:sz w:val="22"/>
          <w:szCs w:val="22"/>
          <w:shd w:val="clear" w:color="auto" w:fill="FFFFFF"/>
        </w:rPr>
        <w:t xml:space="preserve">4. It would be helpful to indicate the amount of charge transfer between the ion pairs, in terms of some population analysis such as </w:t>
      </w:r>
      <w:proofErr w:type="spellStart"/>
      <w:r w:rsidRPr="00CC21E5">
        <w:rPr>
          <w:rFonts w:eastAsia="Times New Roman"/>
          <w:color w:val="000000"/>
          <w:sz w:val="22"/>
          <w:szCs w:val="22"/>
          <w:shd w:val="clear" w:color="auto" w:fill="FFFFFF"/>
        </w:rPr>
        <w:t>Weinhold's</w:t>
      </w:r>
      <w:proofErr w:type="spellEnd"/>
      <w:r w:rsidRPr="00CC21E5">
        <w:rPr>
          <w:rFonts w:eastAsia="Times New Roman"/>
          <w:color w:val="000000"/>
          <w:sz w:val="22"/>
          <w:szCs w:val="22"/>
          <w:shd w:val="clear" w:color="auto" w:fill="FFFFFF"/>
        </w:rPr>
        <w:t xml:space="preserve"> NPA. The authors noted that this is of great concern for the development of classical and coarse-grained potentials. </w:t>
      </w:r>
    </w:p>
    <w:p w14:paraId="2CAEBCE5" w14:textId="77777777" w:rsidR="00435424" w:rsidRDefault="00435424">
      <w:pPr>
        <w:rPr>
          <w:i/>
          <w:sz w:val="22"/>
          <w:szCs w:val="22"/>
        </w:rPr>
      </w:pPr>
    </w:p>
    <w:p w14:paraId="5A64766E" w14:textId="2139AE2C" w:rsidR="00CC21E5" w:rsidRPr="00764DF1" w:rsidRDefault="00764DF1" w:rsidP="00764DF1">
      <w:pPr>
        <w:jc w:val="both"/>
        <w:rPr>
          <w:rFonts w:eastAsia="Times New Roman"/>
          <w:color w:val="FF0000"/>
          <w:sz w:val="22"/>
          <w:szCs w:val="22"/>
        </w:rPr>
      </w:pPr>
      <w:r w:rsidRPr="00764DF1">
        <w:rPr>
          <w:rFonts w:eastAsia="Times New Roman"/>
          <w:color w:val="FF0000"/>
          <w:sz w:val="22"/>
          <w:szCs w:val="22"/>
        </w:rPr>
        <w:t xml:space="preserve">#The reviewer raises another excellent point.  </w:t>
      </w:r>
      <w:r w:rsidR="00BB174D" w:rsidRPr="00764DF1">
        <w:rPr>
          <w:rFonts w:eastAsia="Times New Roman"/>
          <w:color w:val="FF0000"/>
          <w:sz w:val="22"/>
          <w:szCs w:val="22"/>
        </w:rPr>
        <w:t xml:space="preserve">Our group has previously </w:t>
      </w:r>
      <w:r w:rsidRPr="00764DF1">
        <w:rPr>
          <w:rFonts w:eastAsia="Times New Roman"/>
          <w:color w:val="FF0000"/>
          <w:sz w:val="22"/>
          <w:szCs w:val="22"/>
        </w:rPr>
        <w:t>published</w:t>
      </w:r>
      <w:r w:rsidR="00BB174D" w:rsidRPr="00764DF1">
        <w:rPr>
          <w:rFonts w:eastAsia="Times New Roman"/>
          <w:color w:val="FF0000"/>
          <w:sz w:val="22"/>
          <w:szCs w:val="22"/>
        </w:rPr>
        <w:t xml:space="preserve"> </w:t>
      </w:r>
      <w:proofErr w:type="spellStart"/>
      <w:r w:rsidRPr="00764DF1">
        <w:rPr>
          <w:rFonts w:eastAsia="Times New Roman"/>
          <w:color w:val="FF0000"/>
          <w:sz w:val="22"/>
          <w:szCs w:val="22"/>
        </w:rPr>
        <w:t>Weinhold’s</w:t>
      </w:r>
      <w:proofErr w:type="spellEnd"/>
      <w:r w:rsidRPr="00764DF1">
        <w:rPr>
          <w:rFonts w:eastAsia="Times New Roman"/>
          <w:color w:val="FF0000"/>
          <w:sz w:val="22"/>
          <w:szCs w:val="22"/>
        </w:rPr>
        <w:t xml:space="preserve"> </w:t>
      </w:r>
      <w:r w:rsidR="00BB174D" w:rsidRPr="00764DF1">
        <w:rPr>
          <w:rFonts w:eastAsia="Times New Roman"/>
          <w:color w:val="FF0000"/>
          <w:sz w:val="22"/>
          <w:szCs w:val="22"/>
        </w:rPr>
        <w:t>NPA charge-transfer calculatio</w:t>
      </w:r>
      <w:r w:rsidRPr="00764DF1">
        <w:rPr>
          <w:rFonts w:eastAsia="Times New Roman"/>
          <w:color w:val="FF0000"/>
          <w:sz w:val="22"/>
          <w:szCs w:val="22"/>
        </w:rPr>
        <w:t xml:space="preserve">ns on ionic liquids in </w:t>
      </w:r>
      <w:r w:rsidR="00BB174D" w:rsidRPr="00764DF1">
        <w:rPr>
          <w:rFonts w:eastAsia="Times New Roman"/>
          <w:color w:val="FF0000"/>
          <w:sz w:val="22"/>
          <w:szCs w:val="22"/>
        </w:rPr>
        <w:t>PCCP</w:t>
      </w:r>
      <w:r w:rsidRPr="00764DF1">
        <w:rPr>
          <w:rFonts w:eastAsia="Times New Roman"/>
          <w:color w:val="FF0000"/>
          <w:sz w:val="22"/>
          <w:szCs w:val="22"/>
        </w:rPr>
        <w:t>, 2013,</w:t>
      </w:r>
      <w:r w:rsidR="00BB174D" w:rsidRPr="00764DF1">
        <w:rPr>
          <w:rFonts w:eastAsia="Times New Roman"/>
          <w:color w:val="FF0000"/>
          <w:sz w:val="22"/>
          <w:szCs w:val="22"/>
        </w:rPr>
        <w:t xml:space="preserve"> 15</w:t>
      </w:r>
      <w:r w:rsidRPr="00764DF1">
        <w:rPr>
          <w:rFonts w:eastAsia="Times New Roman"/>
          <w:color w:val="FF0000"/>
          <w:sz w:val="22"/>
          <w:szCs w:val="22"/>
        </w:rPr>
        <w:t>, 1632</w:t>
      </w:r>
      <w:r w:rsidR="00BB174D" w:rsidRPr="00764DF1">
        <w:rPr>
          <w:rFonts w:eastAsia="Times New Roman"/>
          <w:color w:val="FF0000"/>
          <w:sz w:val="22"/>
          <w:szCs w:val="22"/>
        </w:rPr>
        <w:t>. The results indicate</w:t>
      </w:r>
      <w:r w:rsidRPr="00764DF1">
        <w:rPr>
          <w:rFonts w:eastAsia="Times New Roman"/>
          <w:color w:val="FF0000"/>
          <w:sz w:val="22"/>
          <w:szCs w:val="22"/>
        </w:rPr>
        <w:t>d</w:t>
      </w:r>
      <w:r w:rsidR="00BB174D" w:rsidRPr="00764DF1">
        <w:rPr>
          <w:rFonts w:eastAsia="Times New Roman"/>
          <w:color w:val="FF0000"/>
          <w:sz w:val="22"/>
          <w:szCs w:val="22"/>
        </w:rPr>
        <w:t xml:space="preserve"> that NPA gives very small </w:t>
      </w:r>
      <w:r w:rsidRPr="00764DF1">
        <w:rPr>
          <w:rFonts w:eastAsia="Times New Roman"/>
          <w:color w:val="FF0000"/>
          <w:sz w:val="22"/>
          <w:szCs w:val="22"/>
        </w:rPr>
        <w:t>net charge transfer (NCT)</w:t>
      </w:r>
      <w:r w:rsidR="00BB174D" w:rsidRPr="00764DF1">
        <w:rPr>
          <w:rFonts w:eastAsia="Times New Roman"/>
          <w:color w:val="FF0000"/>
          <w:sz w:val="22"/>
          <w:szCs w:val="22"/>
        </w:rPr>
        <w:t xml:space="preserve">, except for the chloride anion. Due to the </w:t>
      </w:r>
      <w:proofErr w:type="spellStart"/>
      <w:r w:rsidR="00BB174D" w:rsidRPr="00764DF1">
        <w:rPr>
          <w:rFonts w:eastAsia="Times New Roman"/>
          <w:color w:val="FF0000"/>
          <w:sz w:val="22"/>
          <w:szCs w:val="22"/>
        </w:rPr>
        <w:t>localised</w:t>
      </w:r>
      <w:proofErr w:type="spellEnd"/>
      <w:r w:rsidR="00BB174D" w:rsidRPr="00764DF1">
        <w:rPr>
          <w:rFonts w:eastAsia="Times New Roman"/>
          <w:color w:val="FF0000"/>
          <w:sz w:val="22"/>
          <w:szCs w:val="22"/>
        </w:rPr>
        <w:t xml:space="preserve"> orbitals used in NPA, it treats covalent interactions well, but not so much for systems </w:t>
      </w:r>
      <w:r w:rsidRPr="00764DF1">
        <w:rPr>
          <w:rFonts w:eastAsia="Times New Roman"/>
          <w:color w:val="FF0000"/>
          <w:sz w:val="22"/>
          <w:szCs w:val="22"/>
        </w:rPr>
        <w:t xml:space="preserve">the orbital overlap is reduced due to the delocalized nature of ions. </w:t>
      </w:r>
      <w:r w:rsidR="00BB174D" w:rsidRPr="00764DF1">
        <w:rPr>
          <w:rFonts w:eastAsia="Times New Roman"/>
          <w:color w:val="FF0000"/>
          <w:sz w:val="22"/>
          <w:szCs w:val="22"/>
        </w:rPr>
        <w:t>The reason the chlor</w:t>
      </w:r>
      <w:r w:rsidR="00435424" w:rsidRPr="00764DF1">
        <w:rPr>
          <w:rFonts w:eastAsia="Times New Roman"/>
          <w:color w:val="FF0000"/>
          <w:sz w:val="22"/>
          <w:szCs w:val="22"/>
        </w:rPr>
        <w:t>ide anion performs better is because of the small size of the monoatomic anion</w:t>
      </w:r>
      <w:r w:rsidR="00BB174D" w:rsidRPr="00764DF1">
        <w:rPr>
          <w:rFonts w:eastAsia="Times New Roman"/>
          <w:color w:val="FF0000"/>
          <w:sz w:val="22"/>
          <w:szCs w:val="22"/>
        </w:rPr>
        <w:t xml:space="preserve"> </w:t>
      </w:r>
      <w:r w:rsidR="00435424" w:rsidRPr="00764DF1">
        <w:rPr>
          <w:rFonts w:eastAsia="Times New Roman"/>
          <w:color w:val="FF0000"/>
          <w:sz w:val="22"/>
          <w:szCs w:val="22"/>
        </w:rPr>
        <w:t>which leads to</w:t>
      </w:r>
      <w:r w:rsidR="00BB174D" w:rsidRPr="00764DF1">
        <w:rPr>
          <w:rFonts w:eastAsia="Times New Roman"/>
          <w:color w:val="FF0000"/>
          <w:sz w:val="22"/>
          <w:szCs w:val="22"/>
        </w:rPr>
        <w:t xml:space="preserve"> greater </w:t>
      </w:r>
      <w:r w:rsidR="00435424" w:rsidRPr="00764DF1">
        <w:rPr>
          <w:rFonts w:eastAsia="Times New Roman"/>
          <w:color w:val="FF0000"/>
          <w:sz w:val="22"/>
          <w:szCs w:val="22"/>
        </w:rPr>
        <w:t xml:space="preserve">orbital </w:t>
      </w:r>
      <w:r w:rsidR="00BB174D" w:rsidRPr="00764DF1">
        <w:rPr>
          <w:rFonts w:eastAsia="Times New Roman"/>
          <w:color w:val="FF0000"/>
          <w:sz w:val="22"/>
          <w:szCs w:val="22"/>
        </w:rPr>
        <w:t>overlap. This renders the interaction semi-covalent</w:t>
      </w:r>
      <w:r w:rsidR="00435424" w:rsidRPr="00764DF1">
        <w:rPr>
          <w:rFonts w:eastAsia="Times New Roman"/>
          <w:color w:val="FF0000"/>
          <w:sz w:val="22"/>
          <w:szCs w:val="22"/>
        </w:rPr>
        <w:t>, and hence NPA produces non-negligible charge-tran</w:t>
      </w:r>
      <w:r w:rsidR="00FB56C7" w:rsidRPr="00764DF1">
        <w:rPr>
          <w:rFonts w:eastAsia="Times New Roman"/>
          <w:color w:val="FF0000"/>
          <w:sz w:val="22"/>
          <w:szCs w:val="22"/>
        </w:rPr>
        <w:t>s</w:t>
      </w:r>
      <w:r w:rsidR="00435424" w:rsidRPr="00764DF1">
        <w:rPr>
          <w:rFonts w:eastAsia="Times New Roman"/>
          <w:color w:val="FF0000"/>
          <w:sz w:val="22"/>
          <w:szCs w:val="22"/>
        </w:rPr>
        <w:t xml:space="preserve">fer comparable with other atomic partial charge schemes. </w:t>
      </w:r>
      <w:r w:rsidRPr="00764DF1">
        <w:rPr>
          <w:rFonts w:eastAsia="Times New Roman"/>
          <w:color w:val="FF0000"/>
          <w:sz w:val="22"/>
          <w:szCs w:val="22"/>
        </w:rPr>
        <w:t xml:space="preserve">In the same </w:t>
      </w:r>
      <w:r>
        <w:rPr>
          <w:rFonts w:eastAsia="Times New Roman"/>
          <w:color w:val="FF0000"/>
          <w:sz w:val="22"/>
          <w:szCs w:val="22"/>
        </w:rPr>
        <w:t xml:space="preserve">work </w:t>
      </w:r>
      <w:r w:rsidRPr="00764DF1">
        <w:rPr>
          <w:rFonts w:eastAsia="Times New Roman"/>
          <w:color w:val="FF0000"/>
          <w:sz w:val="22"/>
          <w:szCs w:val="22"/>
        </w:rPr>
        <w:t xml:space="preserve">it was established </w:t>
      </w:r>
      <w:r>
        <w:rPr>
          <w:rFonts w:eastAsia="Times New Roman"/>
          <w:color w:val="FF0000"/>
          <w:sz w:val="22"/>
          <w:szCs w:val="22"/>
        </w:rPr>
        <w:t>the</w:t>
      </w:r>
      <w:r w:rsidRPr="00764DF1">
        <w:rPr>
          <w:rFonts w:eastAsia="Times New Roman"/>
          <w:color w:val="FF0000"/>
          <w:sz w:val="22"/>
          <w:szCs w:val="22"/>
        </w:rPr>
        <w:t xml:space="preserve"> Geodesic scheme produced the best trends in NCT and therefore this scheme was subsequently u</w:t>
      </w:r>
      <w:r>
        <w:rPr>
          <w:rFonts w:eastAsia="Times New Roman"/>
          <w:color w:val="FF0000"/>
          <w:sz w:val="22"/>
          <w:szCs w:val="22"/>
        </w:rPr>
        <w:t>sed on the ion pairs studied the current manuscript.</w:t>
      </w:r>
    </w:p>
    <w:p w14:paraId="713DF828" w14:textId="77777777" w:rsidR="00764DF1" w:rsidRPr="00BB174D" w:rsidRDefault="00764DF1">
      <w:pPr>
        <w:rPr>
          <w:i/>
          <w:sz w:val="22"/>
          <w:szCs w:val="22"/>
        </w:rPr>
      </w:pPr>
    </w:p>
    <w:sectPr w:rsidR="00764DF1" w:rsidRPr="00BB174D" w:rsidSect="0021603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6D3B8A"/>
    <w:multiLevelType w:val="hybridMultilevel"/>
    <w:tmpl w:val="4F142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1E5"/>
    <w:rsid w:val="00001DA4"/>
    <w:rsid w:val="000233EA"/>
    <w:rsid w:val="00097E3F"/>
    <w:rsid w:val="000D251F"/>
    <w:rsid w:val="000E4136"/>
    <w:rsid w:val="000F25BD"/>
    <w:rsid w:val="00124B45"/>
    <w:rsid w:val="00154932"/>
    <w:rsid w:val="001B70E0"/>
    <w:rsid w:val="001C6B82"/>
    <w:rsid w:val="00216039"/>
    <w:rsid w:val="00231BCE"/>
    <w:rsid w:val="00262E04"/>
    <w:rsid w:val="0029382D"/>
    <w:rsid w:val="002F6BF4"/>
    <w:rsid w:val="00387007"/>
    <w:rsid w:val="00392A30"/>
    <w:rsid w:val="00412B6E"/>
    <w:rsid w:val="00435424"/>
    <w:rsid w:val="00480A94"/>
    <w:rsid w:val="004D285D"/>
    <w:rsid w:val="004D3E4A"/>
    <w:rsid w:val="004F1B41"/>
    <w:rsid w:val="004F39AC"/>
    <w:rsid w:val="00561379"/>
    <w:rsid w:val="00595DF8"/>
    <w:rsid w:val="005A4C15"/>
    <w:rsid w:val="005B5CF9"/>
    <w:rsid w:val="005F121A"/>
    <w:rsid w:val="006422B6"/>
    <w:rsid w:val="0065265C"/>
    <w:rsid w:val="00675E71"/>
    <w:rsid w:val="006D2EDD"/>
    <w:rsid w:val="006E7B7B"/>
    <w:rsid w:val="00725F6B"/>
    <w:rsid w:val="00757D90"/>
    <w:rsid w:val="00764DF1"/>
    <w:rsid w:val="007D5325"/>
    <w:rsid w:val="007D7C9C"/>
    <w:rsid w:val="0082715F"/>
    <w:rsid w:val="00866600"/>
    <w:rsid w:val="00873A50"/>
    <w:rsid w:val="00886525"/>
    <w:rsid w:val="008C3DCE"/>
    <w:rsid w:val="009713D5"/>
    <w:rsid w:val="00977995"/>
    <w:rsid w:val="009C3162"/>
    <w:rsid w:val="009C3314"/>
    <w:rsid w:val="009E2FA8"/>
    <w:rsid w:val="009E3104"/>
    <w:rsid w:val="009E3603"/>
    <w:rsid w:val="009F29D3"/>
    <w:rsid w:val="00A2566C"/>
    <w:rsid w:val="00A27141"/>
    <w:rsid w:val="00A8084A"/>
    <w:rsid w:val="00AB6CC4"/>
    <w:rsid w:val="00AC2779"/>
    <w:rsid w:val="00B00D8E"/>
    <w:rsid w:val="00B4791A"/>
    <w:rsid w:val="00BB06A7"/>
    <w:rsid w:val="00BB174D"/>
    <w:rsid w:val="00BB3CDC"/>
    <w:rsid w:val="00BF121C"/>
    <w:rsid w:val="00C02EF6"/>
    <w:rsid w:val="00C809E1"/>
    <w:rsid w:val="00C906BB"/>
    <w:rsid w:val="00CA040B"/>
    <w:rsid w:val="00CC21E5"/>
    <w:rsid w:val="00CE7363"/>
    <w:rsid w:val="00CF706D"/>
    <w:rsid w:val="00E46220"/>
    <w:rsid w:val="00E566CA"/>
    <w:rsid w:val="00E66B25"/>
    <w:rsid w:val="00E857C6"/>
    <w:rsid w:val="00EF29AF"/>
    <w:rsid w:val="00F10429"/>
    <w:rsid w:val="00F17BF3"/>
    <w:rsid w:val="00F23B01"/>
    <w:rsid w:val="00F25826"/>
    <w:rsid w:val="00F82D08"/>
    <w:rsid w:val="00F846B2"/>
    <w:rsid w:val="00F85C43"/>
    <w:rsid w:val="00FA35F0"/>
    <w:rsid w:val="00FB56C7"/>
    <w:rsid w:val="00FD32A1"/>
    <w:rsid w:val="00FE0368"/>
    <w:rsid w:val="00FF034C"/>
    <w:rsid w:val="00FF384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A6ED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BCE"/>
    <w:rPr>
      <w:rFonts w:ascii="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C21E5"/>
  </w:style>
  <w:style w:type="paragraph" w:styleId="ListParagraph">
    <w:name w:val="List Paragraph"/>
    <w:basedOn w:val="Normal"/>
    <w:uiPriority w:val="34"/>
    <w:qFormat/>
    <w:rsid w:val="00124B45"/>
    <w:pPr>
      <w:ind w:left="720"/>
      <w:contextualSpacing/>
    </w:pPr>
    <w:rPr>
      <w:rFonts w:asciiTheme="minorHAnsi" w:hAnsiTheme="minorHAnsi" w:cstheme="minorBidi"/>
      <w:lang w:val="en-GB"/>
    </w:rPr>
  </w:style>
  <w:style w:type="paragraph" w:styleId="Caption">
    <w:name w:val="caption"/>
    <w:basedOn w:val="Normal"/>
    <w:next w:val="Normal"/>
    <w:uiPriority w:val="35"/>
    <w:unhideWhenUsed/>
    <w:qFormat/>
    <w:rsid w:val="00C02EF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05095">
      <w:bodyDiv w:val="1"/>
      <w:marLeft w:val="0"/>
      <w:marRight w:val="0"/>
      <w:marTop w:val="0"/>
      <w:marBottom w:val="0"/>
      <w:divBdr>
        <w:top w:val="none" w:sz="0" w:space="0" w:color="auto"/>
        <w:left w:val="none" w:sz="0" w:space="0" w:color="auto"/>
        <w:bottom w:val="none" w:sz="0" w:space="0" w:color="auto"/>
        <w:right w:val="none" w:sz="0" w:space="0" w:color="auto"/>
      </w:divBdr>
    </w:div>
    <w:div w:id="23285523">
      <w:bodyDiv w:val="1"/>
      <w:marLeft w:val="0"/>
      <w:marRight w:val="0"/>
      <w:marTop w:val="0"/>
      <w:marBottom w:val="0"/>
      <w:divBdr>
        <w:top w:val="none" w:sz="0" w:space="0" w:color="auto"/>
        <w:left w:val="none" w:sz="0" w:space="0" w:color="auto"/>
        <w:bottom w:val="none" w:sz="0" w:space="0" w:color="auto"/>
        <w:right w:val="none" w:sz="0" w:space="0" w:color="auto"/>
      </w:divBdr>
    </w:div>
    <w:div w:id="365106140">
      <w:bodyDiv w:val="1"/>
      <w:marLeft w:val="0"/>
      <w:marRight w:val="0"/>
      <w:marTop w:val="0"/>
      <w:marBottom w:val="0"/>
      <w:divBdr>
        <w:top w:val="none" w:sz="0" w:space="0" w:color="auto"/>
        <w:left w:val="none" w:sz="0" w:space="0" w:color="auto"/>
        <w:bottom w:val="none" w:sz="0" w:space="0" w:color="auto"/>
        <w:right w:val="none" w:sz="0" w:space="0" w:color="auto"/>
      </w:divBdr>
    </w:div>
    <w:div w:id="570623285">
      <w:bodyDiv w:val="1"/>
      <w:marLeft w:val="0"/>
      <w:marRight w:val="0"/>
      <w:marTop w:val="0"/>
      <w:marBottom w:val="0"/>
      <w:divBdr>
        <w:top w:val="none" w:sz="0" w:space="0" w:color="auto"/>
        <w:left w:val="none" w:sz="0" w:space="0" w:color="auto"/>
        <w:bottom w:val="none" w:sz="0" w:space="0" w:color="auto"/>
        <w:right w:val="none" w:sz="0" w:space="0" w:color="auto"/>
      </w:divBdr>
    </w:div>
    <w:div w:id="1415710603">
      <w:bodyDiv w:val="1"/>
      <w:marLeft w:val="0"/>
      <w:marRight w:val="0"/>
      <w:marTop w:val="0"/>
      <w:marBottom w:val="0"/>
      <w:divBdr>
        <w:top w:val="none" w:sz="0" w:space="0" w:color="auto"/>
        <w:left w:val="none" w:sz="0" w:space="0" w:color="auto"/>
        <w:bottom w:val="none" w:sz="0" w:space="0" w:color="auto"/>
        <w:right w:val="none" w:sz="0" w:space="0" w:color="auto"/>
      </w:divBdr>
    </w:div>
    <w:div w:id="1721250530">
      <w:bodyDiv w:val="1"/>
      <w:marLeft w:val="0"/>
      <w:marRight w:val="0"/>
      <w:marTop w:val="0"/>
      <w:marBottom w:val="0"/>
      <w:divBdr>
        <w:top w:val="none" w:sz="0" w:space="0" w:color="auto"/>
        <w:left w:val="none" w:sz="0" w:space="0" w:color="auto"/>
        <w:bottom w:val="none" w:sz="0" w:space="0" w:color="auto"/>
        <w:right w:val="none" w:sz="0" w:space="0" w:color="auto"/>
      </w:divBdr>
    </w:div>
    <w:div w:id="2112774619">
      <w:bodyDiv w:val="1"/>
      <w:marLeft w:val="0"/>
      <w:marRight w:val="0"/>
      <w:marTop w:val="0"/>
      <w:marBottom w:val="0"/>
      <w:divBdr>
        <w:top w:val="none" w:sz="0" w:space="0" w:color="auto"/>
        <w:left w:val="none" w:sz="0" w:space="0" w:color="auto"/>
        <w:bottom w:val="none" w:sz="0" w:space="0" w:color="auto"/>
        <w:right w:val="none" w:sz="0" w:space="0" w:color="auto"/>
      </w:divBdr>
    </w:div>
    <w:div w:id="21347094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8E9AFB-08C7-214B-845E-8C9E0F340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5</Pages>
  <Words>2088</Words>
  <Characters>11905</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13966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Samuel Tan</cp:lastModifiedBy>
  <cp:revision>10</cp:revision>
  <dcterms:created xsi:type="dcterms:W3CDTF">2016-03-20T23:23:00Z</dcterms:created>
  <dcterms:modified xsi:type="dcterms:W3CDTF">2016-04-18T12:56:00Z</dcterms:modified>
  <cp:category/>
</cp:coreProperties>
</file>