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7D7E9" w14:textId="77777777" w:rsidR="00EA7DD5" w:rsidRDefault="00CC21E5">
      <w:r>
        <w:t>Point-by-point Revisions</w:t>
      </w:r>
    </w:p>
    <w:p w14:paraId="6372E5ED" w14:textId="77777777" w:rsidR="00CC21E5" w:rsidRDefault="00CC21E5"/>
    <w:p w14:paraId="11D7F18B" w14:textId="77777777" w:rsidR="00FF3849" w:rsidRDefault="00CC21E5" w:rsidP="00CC21E5">
      <w:pPr>
        <w:rPr>
          <w:rFonts w:eastAsia="Times New Roman"/>
          <w:i/>
          <w:color w:val="000000"/>
          <w:sz w:val="22"/>
          <w:szCs w:val="22"/>
        </w:rPr>
      </w:pPr>
      <w:r w:rsidRPr="00CC21E5">
        <w:rPr>
          <w:rFonts w:eastAsia="Times New Roman"/>
          <w:color w:val="000000"/>
          <w:sz w:val="22"/>
          <w:szCs w:val="22"/>
          <w:shd w:val="clear" w:color="auto" w:fill="FFFFFF"/>
        </w:rPr>
        <w:t>Reviewer 1 Comments: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This manuscript evaluates the performance of the effective fragment potential for</w:t>
      </w:r>
      <w:r>
        <w:rPr>
          <w:rFonts w:eastAsia="Times New Roman"/>
          <w:color w:val="000000"/>
          <w:sz w:val="22"/>
          <w:szCs w:val="22"/>
          <w:shd w:val="clear" w:color="auto" w:fill="FFFFFF"/>
        </w:rPr>
        <w:t xml:space="preserve"> </w:t>
      </w:r>
      <w:r w:rsidRPr="00CC21E5">
        <w:rPr>
          <w:rFonts w:eastAsia="Times New Roman"/>
          <w:color w:val="000000"/>
          <w:sz w:val="22"/>
          <w:szCs w:val="22"/>
          <w:shd w:val="clear" w:color="auto" w:fill="FFFFFF"/>
        </w:rPr>
        <w:t>the intermolecular interactions in ionic liquids by comparing the results term by term to results from symmetry adapted perturbation theory (SAPT). The authors employ two model IL families based on imidazolium and pyrrolidinium based cations with eight different anions. Overall, this is a paper that presents interesting insights and should be suitable for publication after the issues below have been addressed: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 xml:space="preserve">The most important issue to be addressed is the term-by-term comparison. As stated by the authors in pp. 10 "Polarization in EFP is analogous to induction in SAPT with one exception. The SAPT </w:t>
      </w:r>
      <w:r>
        <w:rPr>
          <w:rFonts w:eastAsia="Times New Roman"/>
          <w:color w:val="000000"/>
          <w:sz w:val="22"/>
          <w:szCs w:val="22"/>
          <w:shd w:val="clear" w:color="auto" w:fill="FFFFFF"/>
        </w:rPr>
        <w:t>i</w:t>
      </w:r>
      <w:r w:rsidRPr="00CC21E5">
        <w:rPr>
          <w:rFonts w:eastAsia="Times New Roman"/>
          <w:color w:val="000000"/>
          <w:sz w:val="22"/>
          <w:szCs w:val="22"/>
          <w:shd w:val="clear" w:color="auto" w:fill="FFFFFF"/>
        </w:rPr>
        <w:t>nduction term also contains the charge-transfer energy ..." </w:t>
      </w:r>
      <w:r w:rsidRPr="00CC21E5">
        <w:rPr>
          <w:rFonts w:eastAsia="Times New Roman"/>
          <w:color w:val="000000"/>
          <w:sz w:val="22"/>
          <w:szCs w:val="22"/>
        </w:rPr>
        <w:br/>
      </w:r>
      <w:r w:rsidRPr="00CC21E5">
        <w:rPr>
          <w:rFonts w:eastAsia="Times New Roman"/>
          <w:color w:val="000000"/>
          <w:sz w:val="22"/>
          <w:szCs w:val="22"/>
          <w:shd w:val="clear" w:color="auto" w:fill="FFFFFF"/>
        </w:rPr>
        <w:t>Thus, SAPT does not separate the charge transfer, e.g. JCP, 140, 094106, 2014. Therefore, the one-to-one comparison for each of the second order terms is slightly misleading. Especially since there is not one single way to decompose the energy and EFP is based on a variational decomposition (not perturbational). Therefore, it is recommended that the authors also compare the sum of the polarization and charge transfer from EFP to induction from SAPT, as well as provide a more thorough explanation of the errors in the total intermolecular interaction energy </w:t>
      </w:r>
      <w:r w:rsidRPr="00CC21E5">
        <w:rPr>
          <w:rFonts w:eastAsia="Times New Roman"/>
          <w:color w:val="000000"/>
          <w:sz w:val="22"/>
          <w:szCs w:val="22"/>
        </w:rPr>
        <w:br/>
      </w:r>
    </w:p>
    <w:p w14:paraId="6477BF25" w14:textId="245A11E7" w:rsidR="00977995" w:rsidRDefault="00CF706D" w:rsidP="00FF3849">
      <w:pPr>
        <w:pStyle w:val="ListParagraph"/>
        <w:numPr>
          <w:ilvl w:val="0"/>
          <w:numId w:val="1"/>
        </w:numPr>
        <w:rPr>
          <w:rFonts w:eastAsia="Times New Roman" w:cs="Times New Roman"/>
          <w:i/>
          <w:color w:val="000000"/>
          <w:sz w:val="22"/>
          <w:szCs w:val="22"/>
        </w:rPr>
      </w:pPr>
      <w:r w:rsidRPr="00FF3849">
        <w:rPr>
          <w:rFonts w:eastAsia="Times New Roman" w:cs="Times New Roman"/>
          <w:i/>
          <w:color w:val="000000"/>
          <w:sz w:val="22"/>
          <w:szCs w:val="22"/>
        </w:rPr>
        <w:t>fundamental difference in definition of charge-transfer</w:t>
      </w:r>
    </w:p>
    <w:p w14:paraId="25932770" w14:textId="195CAD16" w:rsidR="00FF3849" w:rsidRPr="00FF3849" w:rsidRDefault="00FF3849" w:rsidP="00FF3849">
      <w:pPr>
        <w:pStyle w:val="ListParagraph"/>
        <w:numPr>
          <w:ilvl w:val="0"/>
          <w:numId w:val="1"/>
        </w:numPr>
        <w:rPr>
          <w:rFonts w:eastAsia="Times New Roman" w:cs="Times New Roman"/>
          <w:i/>
          <w:color w:val="000000"/>
          <w:sz w:val="22"/>
          <w:szCs w:val="22"/>
        </w:rPr>
      </w:pPr>
      <w:r>
        <w:rPr>
          <w:rFonts w:eastAsia="Times New Roman" w:cs="Times New Roman"/>
          <w:i/>
          <w:color w:val="000000"/>
          <w:sz w:val="22"/>
          <w:szCs w:val="22"/>
        </w:rPr>
        <w:t>charge-transfer in SAPT is meant to vanish in the complete basis set</w:t>
      </w:r>
    </w:p>
    <w:p w14:paraId="478C11B8" w14:textId="184DE964" w:rsidR="00CF706D" w:rsidRDefault="00CF706D" w:rsidP="00FF3849">
      <w:pPr>
        <w:pStyle w:val="ListParagraph"/>
        <w:numPr>
          <w:ilvl w:val="0"/>
          <w:numId w:val="1"/>
        </w:numPr>
        <w:rPr>
          <w:rFonts w:eastAsia="Times New Roman" w:cs="Times New Roman"/>
          <w:i/>
          <w:color w:val="000000"/>
          <w:sz w:val="22"/>
          <w:szCs w:val="22"/>
        </w:rPr>
      </w:pPr>
      <w:r w:rsidRPr="00FF3849">
        <w:rPr>
          <w:rFonts w:eastAsia="Times New Roman" w:cs="Times New Roman"/>
          <w:i/>
          <w:color w:val="000000"/>
          <w:sz w:val="22"/>
          <w:szCs w:val="22"/>
        </w:rPr>
        <w:t>Adding charge-transfer with EFP polarization has very little effect on the analysis.</w:t>
      </w:r>
    </w:p>
    <w:p w14:paraId="0373754D" w14:textId="4B6974E1" w:rsidR="000F25BD" w:rsidRPr="00FF3849" w:rsidRDefault="000F25BD" w:rsidP="00FF3849">
      <w:pPr>
        <w:pStyle w:val="ListParagraph"/>
        <w:numPr>
          <w:ilvl w:val="0"/>
          <w:numId w:val="1"/>
        </w:numPr>
        <w:rPr>
          <w:rFonts w:eastAsia="Times New Roman" w:cs="Times New Roman"/>
          <w:i/>
          <w:color w:val="000000"/>
          <w:sz w:val="22"/>
          <w:szCs w:val="22"/>
        </w:rPr>
      </w:pPr>
      <w:r>
        <w:rPr>
          <w:rFonts w:eastAsia="Times New Roman" w:cs="Times New Roman"/>
          <w:i/>
          <w:color w:val="000000"/>
          <w:sz w:val="22"/>
          <w:szCs w:val="22"/>
        </w:rPr>
        <w:t>How CT behaves wrt basis set in EFP (min and max CT, CT/Ind% (EFP each basis set)</w:t>
      </w:r>
    </w:p>
    <w:p w14:paraId="7C85139A" w14:textId="5F55D423" w:rsidR="00CF706D" w:rsidRDefault="00CF706D" w:rsidP="00FF3849">
      <w:pPr>
        <w:pStyle w:val="ListParagraph"/>
        <w:numPr>
          <w:ilvl w:val="0"/>
          <w:numId w:val="1"/>
        </w:numPr>
        <w:rPr>
          <w:rFonts w:eastAsia="Times New Roman" w:cs="Times New Roman"/>
          <w:i/>
          <w:color w:val="000000"/>
          <w:sz w:val="22"/>
          <w:szCs w:val="22"/>
        </w:rPr>
      </w:pPr>
      <w:r w:rsidRPr="00FF3849">
        <w:rPr>
          <w:rFonts w:eastAsia="Times New Roman" w:cs="Times New Roman"/>
          <w:i/>
          <w:color w:val="000000"/>
          <w:sz w:val="22"/>
          <w:szCs w:val="22"/>
        </w:rPr>
        <w:t>Analysis for the 2</w:t>
      </w:r>
      <w:r w:rsidRPr="00FF3849">
        <w:rPr>
          <w:rFonts w:eastAsia="Times New Roman" w:cs="Times New Roman"/>
          <w:i/>
          <w:color w:val="000000"/>
          <w:sz w:val="22"/>
          <w:szCs w:val="22"/>
          <w:vertAlign w:val="superscript"/>
        </w:rPr>
        <w:t>nd</w:t>
      </w:r>
      <w:r w:rsidRPr="00FF3849">
        <w:rPr>
          <w:rFonts w:eastAsia="Times New Roman" w:cs="Times New Roman"/>
          <w:i/>
          <w:color w:val="000000"/>
          <w:sz w:val="22"/>
          <w:szCs w:val="22"/>
        </w:rPr>
        <w:t xml:space="preserve"> order terms was not done for induction and pol</w:t>
      </w:r>
      <w:r w:rsidR="00BB06A7" w:rsidRPr="00FF3849">
        <w:rPr>
          <w:rFonts w:eastAsia="Times New Roman" w:cs="Times New Roman"/>
          <w:i/>
          <w:color w:val="000000"/>
          <w:sz w:val="22"/>
          <w:szCs w:val="22"/>
        </w:rPr>
        <w:t>a</w:t>
      </w:r>
      <w:r w:rsidRPr="00FF3849">
        <w:rPr>
          <w:rFonts w:eastAsia="Times New Roman" w:cs="Times New Roman"/>
          <w:i/>
          <w:color w:val="000000"/>
          <w:sz w:val="22"/>
          <w:szCs w:val="22"/>
        </w:rPr>
        <w:t>risation for the above reasons, as this difference between was not observed.</w:t>
      </w:r>
    </w:p>
    <w:p w14:paraId="6ECEBC1D" w14:textId="24FBB61D" w:rsidR="009E2FA8" w:rsidRDefault="009E2FA8" w:rsidP="00FF3849">
      <w:pPr>
        <w:pStyle w:val="ListParagraph"/>
        <w:numPr>
          <w:ilvl w:val="0"/>
          <w:numId w:val="1"/>
        </w:numPr>
        <w:rPr>
          <w:rFonts w:eastAsia="Times New Roman" w:cs="Times New Roman"/>
          <w:i/>
          <w:color w:val="000000"/>
          <w:sz w:val="22"/>
          <w:szCs w:val="22"/>
        </w:rPr>
      </w:pPr>
      <w:r>
        <w:rPr>
          <w:rFonts w:eastAsia="Times New Roman" w:cs="Times New Roman"/>
          <w:i/>
          <w:color w:val="000000"/>
          <w:sz w:val="22"/>
          <w:szCs w:val="22"/>
        </w:rPr>
        <w:t xml:space="preserve">Flick et al. (JCTC, 8, 2835, 2012) did not compare SAPT induction with EFP polarisation + CT, saying it is insignificant for dispersion-dominated complexes, but may be significant </w:t>
      </w:r>
    </w:p>
    <w:p w14:paraId="0C138FC3" w14:textId="77777777" w:rsidR="009E2FA8" w:rsidRPr="009E2FA8" w:rsidRDefault="009E2FA8" w:rsidP="009E2FA8">
      <w:pPr>
        <w:rPr>
          <w:rFonts w:eastAsia="Times New Roman"/>
          <w:i/>
          <w:color w:val="000000"/>
          <w:sz w:val="22"/>
          <w:szCs w:val="22"/>
        </w:rPr>
      </w:pPr>
    </w:p>
    <w:p w14:paraId="4CC46CC0" w14:textId="77777777" w:rsidR="009F29D3" w:rsidRDefault="00CF706D" w:rsidP="00CC21E5">
      <w:pPr>
        <w:rPr>
          <w:rFonts w:eastAsia="Times New Roman"/>
          <w:i/>
          <w:color w:val="000000"/>
          <w:sz w:val="22"/>
          <w:szCs w:val="22"/>
        </w:rPr>
      </w:pPr>
      <w:r>
        <w:rPr>
          <w:rFonts w:eastAsia="Times New Roman"/>
          <w:i/>
          <w:color w:val="000000"/>
          <w:sz w:val="22"/>
          <w:szCs w:val="22"/>
        </w:rPr>
        <w:t xml:space="preserve">This is an important point raised, and one that we admit was not adequately treated in the manuscript. It comes down to the fundamental difference of definitions of the charge-transfer energy. </w:t>
      </w:r>
    </w:p>
    <w:p w14:paraId="08157BE6" w14:textId="77777777" w:rsidR="009F29D3" w:rsidRDefault="009F29D3" w:rsidP="00CC21E5">
      <w:pPr>
        <w:rPr>
          <w:rFonts w:eastAsia="Times New Roman"/>
          <w:i/>
          <w:color w:val="000000"/>
          <w:sz w:val="22"/>
          <w:szCs w:val="22"/>
        </w:rPr>
      </w:pPr>
    </w:p>
    <w:p w14:paraId="4B870BED" w14:textId="268CF165" w:rsidR="00387007" w:rsidRDefault="00CF706D" w:rsidP="00CC21E5">
      <w:pPr>
        <w:rPr>
          <w:rFonts w:eastAsia="Times New Roman"/>
          <w:i/>
          <w:color w:val="000000"/>
          <w:sz w:val="22"/>
          <w:szCs w:val="22"/>
        </w:rPr>
      </w:pPr>
      <w:r w:rsidRPr="00BB3CDC">
        <w:rPr>
          <w:rFonts w:eastAsia="Times New Roman"/>
          <w:i/>
          <w:color w:val="000000"/>
          <w:sz w:val="22"/>
          <w:szCs w:val="22"/>
          <w:highlight w:val="yellow"/>
        </w:rPr>
        <w:t>The theoretical background section has been amended to emphasise this.</w:t>
      </w:r>
      <w:r w:rsidR="00387007">
        <w:rPr>
          <w:rFonts w:eastAsia="Times New Roman"/>
          <w:i/>
          <w:color w:val="000000"/>
          <w:sz w:val="22"/>
          <w:szCs w:val="22"/>
        </w:rPr>
        <w:t>(not yet tbh)</w:t>
      </w:r>
      <w:r>
        <w:rPr>
          <w:rFonts w:eastAsia="Times New Roman"/>
          <w:i/>
          <w:color w:val="000000"/>
          <w:sz w:val="22"/>
          <w:szCs w:val="22"/>
        </w:rPr>
        <w:t xml:space="preserve"> </w:t>
      </w:r>
    </w:p>
    <w:p w14:paraId="602FCF61" w14:textId="77777777" w:rsidR="00387007" w:rsidRDefault="00387007" w:rsidP="00CC21E5">
      <w:pPr>
        <w:rPr>
          <w:rFonts w:eastAsia="Times New Roman"/>
          <w:i/>
          <w:color w:val="000000"/>
          <w:sz w:val="22"/>
          <w:szCs w:val="22"/>
        </w:rPr>
      </w:pPr>
    </w:p>
    <w:p w14:paraId="53216738" w14:textId="16E166C2" w:rsidR="00CF706D" w:rsidRPr="00CF706D" w:rsidRDefault="00CF706D" w:rsidP="00CC21E5">
      <w:pPr>
        <w:rPr>
          <w:rFonts w:eastAsia="Times New Roman"/>
          <w:i/>
          <w:color w:val="000000"/>
          <w:sz w:val="22"/>
          <w:szCs w:val="22"/>
        </w:rPr>
      </w:pPr>
      <w:r>
        <w:rPr>
          <w:rFonts w:eastAsia="Times New Roman"/>
          <w:i/>
          <w:color w:val="000000"/>
          <w:sz w:val="22"/>
          <w:szCs w:val="22"/>
        </w:rPr>
        <w:t>Due to this discrepancy, the rational route to take would be to compare EFP(Polarisation + Charge-Transfer) with SAPT(Induction), and this was what we initially tried. However, this was found to have very little differen</w:t>
      </w:r>
      <w:r w:rsidR="005F121A">
        <w:rPr>
          <w:rFonts w:eastAsia="Times New Roman"/>
          <w:i/>
          <w:color w:val="000000"/>
          <w:sz w:val="22"/>
          <w:szCs w:val="22"/>
        </w:rPr>
        <w:t>ce with the</w:t>
      </w:r>
      <w:r>
        <w:rPr>
          <w:rFonts w:eastAsia="Times New Roman"/>
          <w:i/>
          <w:color w:val="000000"/>
          <w:sz w:val="22"/>
          <w:szCs w:val="22"/>
        </w:rPr>
        <w:t xml:space="preserve"> EFP(Polarisation)—SAPT(Induction) comp</w:t>
      </w:r>
      <w:r w:rsidR="00BF121C">
        <w:rPr>
          <w:rFonts w:eastAsia="Times New Roman"/>
          <w:i/>
          <w:color w:val="000000"/>
          <w:sz w:val="22"/>
          <w:szCs w:val="22"/>
        </w:rPr>
        <w:t>arison. Furthe</w:t>
      </w:r>
      <w:r w:rsidR="00154932">
        <w:rPr>
          <w:rFonts w:eastAsia="Times New Roman"/>
          <w:i/>
          <w:color w:val="000000"/>
          <w:sz w:val="22"/>
          <w:szCs w:val="22"/>
        </w:rPr>
        <w:t xml:space="preserve">rmore, in the SAPT definition, </w:t>
      </w:r>
      <w:r w:rsidR="00BF121C">
        <w:rPr>
          <w:rFonts w:eastAsia="Times New Roman"/>
          <w:i/>
          <w:color w:val="000000"/>
          <w:sz w:val="22"/>
          <w:szCs w:val="22"/>
        </w:rPr>
        <w:t xml:space="preserve">charge-transfer </w:t>
      </w:r>
    </w:p>
    <w:p w14:paraId="678641D6" w14:textId="77777777" w:rsidR="009E2FA8" w:rsidRDefault="00CC21E5" w:rsidP="00CC21E5">
      <w:pPr>
        <w:rPr>
          <w:rFonts w:eastAsia="Times New Roman"/>
          <w:i/>
          <w:color w:val="000000"/>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-The authors neglect to cite several potentials for ionic liquids that are based on energy decomposition analysis such as those developed by the group of J.R. Schmidt (JPCL, 5, 2670, 2014) or the AMOEBA potential for ILs (JPCB, 118, 7156, 2014) or other polarizable IL potentials such as APPLE&amp;P from the Borodin group. </w:t>
      </w:r>
      <w:r w:rsidRPr="00CC21E5">
        <w:rPr>
          <w:rFonts w:eastAsia="Times New Roman"/>
          <w:color w:val="000000"/>
          <w:sz w:val="22"/>
          <w:szCs w:val="22"/>
        </w:rPr>
        <w:br/>
      </w:r>
    </w:p>
    <w:p w14:paraId="6EA91A75" w14:textId="656543A7" w:rsidR="00866600" w:rsidRDefault="006E7B7B" w:rsidP="00CC21E5">
      <w:pPr>
        <w:rPr>
          <w:rFonts w:eastAsia="Times New Roman"/>
          <w:i/>
          <w:color w:val="000000"/>
          <w:sz w:val="22"/>
          <w:szCs w:val="22"/>
        </w:rPr>
      </w:pPr>
      <w:r>
        <w:rPr>
          <w:rFonts w:eastAsia="Times New Roman"/>
          <w:i/>
          <w:color w:val="000000"/>
          <w:sz w:val="22"/>
          <w:szCs w:val="22"/>
        </w:rPr>
        <w:t xml:space="preserve">Section1, pp. 2: </w:t>
      </w:r>
      <w:r w:rsidR="00866600">
        <w:rPr>
          <w:rFonts w:eastAsia="Times New Roman"/>
          <w:i/>
          <w:color w:val="000000"/>
          <w:sz w:val="22"/>
          <w:szCs w:val="22"/>
        </w:rPr>
        <w:t>Mention of work done with force fields on ionic liquids has now been included in the introduction.</w:t>
      </w:r>
    </w:p>
    <w:p w14:paraId="529FC12D" w14:textId="6868EE6A" w:rsidR="00435424" w:rsidRDefault="00CC21E5" w:rsidP="00CC21E5">
      <w:pPr>
        <w:rPr>
          <w:rFonts w:eastAsia="Times New Roman"/>
          <w:i/>
          <w:color w:val="000000"/>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-subsection 2.2, pp. 10: There is no mention of the overlap damping employed in EFP to account for penetration effects in the Coulomb and Polarization terms. </w:t>
      </w:r>
      <w:r w:rsidRPr="00CC21E5">
        <w:rPr>
          <w:rFonts w:eastAsia="Times New Roman"/>
          <w:color w:val="000000"/>
          <w:sz w:val="22"/>
          <w:szCs w:val="22"/>
        </w:rPr>
        <w:br/>
      </w:r>
    </w:p>
    <w:p w14:paraId="05EB00E3" w14:textId="78E15A45" w:rsidR="00FA35F0" w:rsidRDefault="006E7B7B" w:rsidP="00CC21E5">
      <w:pPr>
        <w:rPr>
          <w:rFonts w:eastAsia="Times New Roman"/>
          <w:i/>
          <w:color w:val="000000"/>
          <w:sz w:val="22"/>
          <w:szCs w:val="22"/>
        </w:rPr>
      </w:pPr>
      <w:r>
        <w:rPr>
          <w:rFonts w:eastAsia="Times New Roman"/>
          <w:i/>
          <w:color w:val="000000"/>
          <w:sz w:val="22"/>
          <w:szCs w:val="22"/>
        </w:rPr>
        <w:t xml:space="preserve">Subsection 2.2, pp. 11: </w:t>
      </w:r>
      <w:r w:rsidR="00FA35F0">
        <w:rPr>
          <w:rFonts w:eastAsia="Times New Roman"/>
          <w:i/>
          <w:color w:val="000000"/>
          <w:sz w:val="22"/>
          <w:szCs w:val="22"/>
        </w:rPr>
        <w:t>O</w:t>
      </w:r>
      <w:r w:rsidR="00E46220">
        <w:rPr>
          <w:rFonts w:eastAsia="Times New Roman"/>
          <w:i/>
          <w:color w:val="000000"/>
          <w:sz w:val="22"/>
          <w:szCs w:val="22"/>
        </w:rPr>
        <w:t>verlap damping is now mentioned for the Coulomb</w:t>
      </w:r>
      <w:r w:rsidR="004D3E4A">
        <w:rPr>
          <w:rFonts w:eastAsia="Times New Roman"/>
          <w:i/>
          <w:color w:val="000000"/>
          <w:sz w:val="22"/>
          <w:szCs w:val="22"/>
        </w:rPr>
        <w:t>, Polarisation,</w:t>
      </w:r>
      <w:r w:rsidR="00E46220">
        <w:rPr>
          <w:rFonts w:eastAsia="Times New Roman"/>
          <w:i/>
          <w:color w:val="000000"/>
          <w:sz w:val="22"/>
          <w:szCs w:val="22"/>
        </w:rPr>
        <w:t xml:space="preserve"> and Dispersion terms.</w:t>
      </w:r>
    </w:p>
    <w:p w14:paraId="077D6993" w14:textId="77777777" w:rsidR="009E2FA8" w:rsidRDefault="00CC21E5" w:rsidP="00CC21E5">
      <w:pPr>
        <w:rPr>
          <w:rFonts w:eastAsia="Times New Roman"/>
          <w:color w:val="000000"/>
          <w:sz w:val="22"/>
          <w:szCs w:val="22"/>
          <w:shd w:val="clear" w:color="auto" w:fill="FFFFFF"/>
        </w:rPr>
      </w:pPr>
      <w:r w:rsidRPr="00CC21E5">
        <w:rPr>
          <w:rFonts w:eastAsia="Times New Roman"/>
          <w:color w:val="000000"/>
          <w:sz w:val="22"/>
          <w:szCs w:val="22"/>
        </w:rPr>
        <w:lastRenderedPageBreak/>
        <w:br/>
      </w:r>
      <w:r w:rsidRPr="00CC21E5">
        <w:rPr>
          <w:rFonts w:eastAsia="Times New Roman"/>
          <w:color w:val="000000"/>
          <w:sz w:val="22"/>
          <w:szCs w:val="22"/>
          <w:shd w:val="clear" w:color="auto" w:fill="FFFFFF"/>
        </w:rPr>
        <w:t>-pp. 14, subsection 3.0.3: The authors could cite the work by Sherrill et al (JCP, 140, 094106, 2014) to justify the SAPT level employed for the reference. </w:t>
      </w:r>
    </w:p>
    <w:p w14:paraId="15341F65" w14:textId="77777777" w:rsidR="006D2EDD" w:rsidRDefault="006D2EDD" w:rsidP="00CC21E5">
      <w:pPr>
        <w:rPr>
          <w:rFonts w:eastAsia="Times New Roman"/>
          <w:color w:val="000000"/>
          <w:sz w:val="22"/>
          <w:szCs w:val="22"/>
        </w:rPr>
      </w:pPr>
    </w:p>
    <w:p w14:paraId="49EB9E99" w14:textId="7A6D7F14" w:rsidR="00CC21E5" w:rsidRDefault="006D2EDD" w:rsidP="00CC21E5">
      <w:pPr>
        <w:rPr>
          <w:rFonts w:eastAsia="Times New Roman"/>
          <w:color w:val="000000"/>
          <w:sz w:val="22"/>
          <w:szCs w:val="22"/>
          <w:shd w:val="clear" w:color="auto" w:fill="FFFFFF"/>
        </w:rPr>
      </w:pPr>
      <w:r>
        <w:rPr>
          <w:rFonts w:eastAsia="Times New Roman"/>
          <w:i/>
          <w:color w:val="000000"/>
          <w:sz w:val="22"/>
          <w:szCs w:val="22"/>
        </w:rPr>
        <w:t>Subsection 3.0.3, pp. 15:  Mentioned the work done by Parker et al. in Sherrill’s group used their findings to justify our choice of basis set for SAPT2+3.</w:t>
      </w:r>
      <w:r w:rsidR="00CC21E5" w:rsidRPr="00CC21E5">
        <w:rPr>
          <w:rFonts w:eastAsia="Times New Roman"/>
          <w:color w:val="000000"/>
          <w:sz w:val="22"/>
          <w:szCs w:val="22"/>
        </w:rPr>
        <w:br/>
      </w:r>
      <w:r w:rsidR="00CC21E5" w:rsidRPr="00CC21E5">
        <w:rPr>
          <w:rFonts w:eastAsia="Times New Roman"/>
          <w:color w:val="000000"/>
          <w:sz w:val="22"/>
          <w:szCs w:val="22"/>
        </w:rPr>
        <w:br/>
      </w:r>
      <w:r w:rsidR="00CC21E5" w:rsidRPr="00CC21E5">
        <w:rPr>
          <w:rFonts w:eastAsia="Times New Roman"/>
          <w:color w:val="000000"/>
          <w:sz w:val="22"/>
          <w:szCs w:val="22"/>
          <w:shd w:val="clear" w:color="auto" w:fill="FFFFFF"/>
        </w:rPr>
        <w:t>-pp. 16 top, it is unclear what is being compared for the differences between the</w:t>
      </w:r>
      <w:r w:rsidR="00CC21E5">
        <w:rPr>
          <w:rFonts w:eastAsia="Times New Roman"/>
          <w:color w:val="000000"/>
          <w:sz w:val="22"/>
          <w:szCs w:val="22"/>
        </w:rPr>
        <w:t xml:space="preserve"> </w:t>
      </w:r>
      <w:r w:rsidR="00CC21E5" w:rsidRPr="00CC21E5">
        <w:rPr>
          <w:rFonts w:eastAsia="Times New Roman"/>
          <w:color w:val="000000"/>
          <w:sz w:val="22"/>
          <w:szCs w:val="22"/>
          <w:shd w:val="clear" w:color="auto" w:fill="FFFFFF"/>
        </w:rPr>
        <w:t xml:space="preserve">basis sets. What do the authors mean by Coulomb being underestimated by 2.7 kJ/mol in triple zeta? what is the </w:t>
      </w:r>
      <w:r w:rsidR="00CC21E5">
        <w:rPr>
          <w:rFonts w:eastAsia="Times New Roman"/>
          <w:color w:val="000000"/>
          <w:sz w:val="22"/>
          <w:szCs w:val="22"/>
          <w:shd w:val="clear" w:color="auto" w:fill="FFFFFF"/>
        </w:rPr>
        <w:t>r</w:t>
      </w:r>
      <w:r w:rsidR="00CC21E5" w:rsidRPr="00CC21E5">
        <w:rPr>
          <w:rFonts w:eastAsia="Times New Roman"/>
          <w:color w:val="000000"/>
          <w:sz w:val="22"/>
          <w:szCs w:val="22"/>
          <w:shd w:val="clear" w:color="auto" w:fill="FFFFFF"/>
        </w:rPr>
        <w:t>eference? </w:t>
      </w:r>
    </w:p>
    <w:p w14:paraId="7A31A8B6" w14:textId="77777777" w:rsidR="00435424" w:rsidRDefault="00435424" w:rsidP="00CC21E5">
      <w:pPr>
        <w:rPr>
          <w:rFonts w:eastAsia="Times New Roman"/>
          <w:i/>
          <w:color w:val="000000"/>
          <w:sz w:val="22"/>
          <w:szCs w:val="22"/>
          <w:shd w:val="clear" w:color="auto" w:fill="FFFFFF"/>
        </w:rPr>
      </w:pPr>
    </w:p>
    <w:p w14:paraId="00139526" w14:textId="3B3ECF9E" w:rsidR="00886525" w:rsidRDefault="006D2EDD" w:rsidP="00CC21E5">
      <w:pPr>
        <w:rPr>
          <w:rFonts w:eastAsia="Times New Roman"/>
          <w:i/>
          <w:color w:val="000000"/>
          <w:sz w:val="22"/>
          <w:szCs w:val="22"/>
        </w:rPr>
      </w:pPr>
      <w:r>
        <w:rPr>
          <w:rFonts w:eastAsia="Times New Roman"/>
          <w:i/>
          <w:color w:val="000000"/>
          <w:sz w:val="22"/>
          <w:szCs w:val="22"/>
          <w:shd w:val="clear" w:color="auto" w:fill="FFFFFF"/>
        </w:rPr>
        <w:t xml:space="preserve">Subsection 3.0.3, pp. 17: </w:t>
      </w:r>
      <w:r w:rsidR="00CC21E5">
        <w:rPr>
          <w:rFonts w:eastAsia="Times New Roman"/>
          <w:i/>
          <w:color w:val="000000"/>
          <w:sz w:val="22"/>
          <w:szCs w:val="22"/>
          <w:shd w:val="clear" w:color="auto" w:fill="FFFFFF"/>
        </w:rPr>
        <w:t>Sentences have been rewritten for greater clarity.</w:t>
      </w:r>
      <w:r w:rsidR="00CC21E5" w:rsidRPr="00CC21E5">
        <w:rPr>
          <w:rFonts w:eastAsia="Times New Roman"/>
          <w:color w:val="000000"/>
          <w:sz w:val="22"/>
          <w:szCs w:val="22"/>
        </w:rPr>
        <w:br/>
      </w:r>
      <w:r w:rsidR="00CC21E5" w:rsidRPr="00CC21E5">
        <w:rPr>
          <w:rFonts w:eastAsia="Times New Roman"/>
          <w:color w:val="000000"/>
          <w:sz w:val="22"/>
          <w:szCs w:val="22"/>
        </w:rPr>
        <w:br/>
      </w:r>
      <w:r w:rsidR="00CC21E5" w:rsidRPr="00CC21E5">
        <w:rPr>
          <w:rFonts w:eastAsia="Times New Roman"/>
          <w:color w:val="000000"/>
          <w:sz w:val="22"/>
          <w:szCs w:val="22"/>
          <w:shd w:val="clear" w:color="auto" w:fill="FFFFFF"/>
        </w:rPr>
        <w:t>-Table 3: define acronyms </w:t>
      </w:r>
      <w:r w:rsidR="00CC21E5" w:rsidRPr="00CC21E5">
        <w:rPr>
          <w:rFonts w:eastAsia="Times New Roman"/>
          <w:color w:val="000000"/>
          <w:sz w:val="22"/>
          <w:szCs w:val="22"/>
        </w:rPr>
        <w:br/>
      </w:r>
    </w:p>
    <w:p w14:paraId="6F3023D4" w14:textId="57EF2ED1" w:rsidR="00CC21E5" w:rsidRPr="00CC21E5" w:rsidRDefault="00886525" w:rsidP="00CC21E5">
      <w:pPr>
        <w:rPr>
          <w:rFonts w:eastAsia="Times New Roman"/>
          <w:i/>
          <w:color w:val="000000"/>
          <w:sz w:val="22"/>
          <w:szCs w:val="22"/>
        </w:rPr>
      </w:pPr>
      <w:r>
        <w:rPr>
          <w:rFonts w:eastAsia="Times New Roman"/>
          <w:i/>
          <w:color w:val="000000"/>
          <w:sz w:val="22"/>
          <w:szCs w:val="22"/>
        </w:rPr>
        <w:t xml:space="preserve">Table 3: </w:t>
      </w:r>
      <w:r w:rsidR="00CC21E5">
        <w:rPr>
          <w:rFonts w:eastAsia="Times New Roman"/>
          <w:i/>
          <w:color w:val="000000"/>
          <w:sz w:val="22"/>
          <w:szCs w:val="22"/>
        </w:rPr>
        <w:t xml:space="preserve">Acronyms for typical ionic liquid anions (TILAs) and halides (Hal) had previously been mentioned in subsection 3.0.1 on pp. 12, but have not been used in any tables up to section 4.1 on pp. 17 in Table 3. For the readers’ convenience, the revision includes a reiteration in the table’s captions as to a reminder. </w:t>
      </w:r>
    </w:p>
    <w:p w14:paraId="24DB6A76" w14:textId="77777777" w:rsidR="00CC21E5"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-Table 4: define units (e.g. in caption)</w:t>
      </w:r>
    </w:p>
    <w:p w14:paraId="04F1AAA4" w14:textId="77777777" w:rsidR="00435424" w:rsidRDefault="00435424" w:rsidP="00CC21E5">
      <w:pPr>
        <w:rPr>
          <w:rFonts w:eastAsia="Times New Roman"/>
          <w:i/>
          <w:color w:val="000000"/>
          <w:sz w:val="22"/>
          <w:szCs w:val="22"/>
          <w:shd w:val="clear" w:color="auto" w:fill="FFFFFF"/>
        </w:rPr>
      </w:pPr>
    </w:p>
    <w:p w14:paraId="109000D2" w14:textId="73AFA88D" w:rsidR="00CC21E5" w:rsidRPr="009F29D3" w:rsidRDefault="00886525" w:rsidP="00CC21E5">
      <w:pPr>
        <w:rPr>
          <w:rFonts w:eastAsia="Times New Roman"/>
          <w:color w:val="000000"/>
          <w:sz w:val="22"/>
          <w:szCs w:val="22"/>
        </w:rPr>
      </w:pPr>
      <w:r>
        <w:rPr>
          <w:rFonts w:eastAsia="Times New Roman"/>
          <w:i/>
          <w:color w:val="000000"/>
          <w:sz w:val="22"/>
          <w:szCs w:val="22"/>
          <w:shd w:val="clear" w:color="auto" w:fill="FFFFFF"/>
        </w:rPr>
        <w:t xml:space="preserve">Table 4: </w:t>
      </w:r>
      <w:r w:rsidR="00CC21E5">
        <w:rPr>
          <w:rFonts w:eastAsia="Times New Roman"/>
          <w:i/>
          <w:color w:val="000000"/>
          <w:sz w:val="22"/>
          <w:szCs w:val="22"/>
          <w:shd w:val="clear" w:color="auto" w:fill="FFFFFF"/>
        </w:rPr>
        <w:t>Added units to captions.</w:t>
      </w:r>
      <w:r w:rsidR="00CC21E5" w:rsidRPr="00CC21E5">
        <w:rPr>
          <w:rFonts w:eastAsia="Times New Roman"/>
          <w:color w:val="000000"/>
          <w:sz w:val="22"/>
          <w:szCs w:val="22"/>
          <w:shd w:val="clear" w:color="auto" w:fill="FFFFFF"/>
        </w:rPr>
        <w:t> </w:t>
      </w:r>
      <w:r w:rsidR="00CC21E5" w:rsidRPr="00CC21E5">
        <w:rPr>
          <w:rFonts w:eastAsia="Times New Roman"/>
          <w:color w:val="000000"/>
          <w:sz w:val="22"/>
          <w:szCs w:val="22"/>
        </w:rPr>
        <w:br/>
      </w:r>
      <w:r w:rsidR="00CC21E5" w:rsidRPr="00CC21E5">
        <w:rPr>
          <w:rFonts w:eastAsia="Times New Roman"/>
          <w:color w:val="000000"/>
          <w:sz w:val="22"/>
          <w:szCs w:val="22"/>
        </w:rPr>
        <w:br/>
      </w:r>
      <w:r w:rsidR="00CC21E5" w:rsidRPr="00CC21E5">
        <w:rPr>
          <w:rFonts w:eastAsia="Times New Roman"/>
          <w:color w:val="000000"/>
          <w:sz w:val="22"/>
          <w:szCs w:val="22"/>
          <w:shd w:val="clear" w:color="auto" w:fill="FFFFFF"/>
        </w:rPr>
        <w:t>-Figure 4: It is unclear which data corresponds to the raw results, and which to the scaled. This figure needs to be re-worked. </w:t>
      </w:r>
    </w:p>
    <w:p w14:paraId="4D95BFF3" w14:textId="77777777" w:rsidR="00435424" w:rsidRDefault="00435424">
      <w:pPr>
        <w:rPr>
          <w:i/>
          <w:sz w:val="22"/>
          <w:szCs w:val="22"/>
        </w:rPr>
      </w:pPr>
    </w:p>
    <w:p w14:paraId="2B395FBD" w14:textId="0DE3E456" w:rsidR="00CC21E5" w:rsidRPr="00886525" w:rsidRDefault="00886525">
      <w:pPr>
        <w:rPr>
          <w:i/>
          <w:sz w:val="22"/>
          <w:szCs w:val="22"/>
        </w:rPr>
      </w:pPr>
      <w:r>
        <w:rPr>
          <w:i/>
          <w:sz w:val="22"/>
          <w:szCs w:val="22"/>
        </w:rPr>
        <w:t xml:space="preserve">Figure 4, pp. 26: </w:t>
      </w:r>
      <w:r w:rsidR="00F10429" w:rsidRPr="00B00D8E">
        <w:rPr>
          <w:i/>
          <w:sz w:val="22"/>
          <w:szCs w:val="22"/>
        </w:rPr>
        <w:t xml:space="preserve">Figure has been reworked, with </w:t>
      </w:r>
      <w:r w:rsidR="008C3DCE" w:rsidRPr="00B00D8E">
        <w:rPr>
          <w:i/>
          <w:sz w:val="22"/>
          <w:szCs w:val="22"/>
        </w:rPr>
        <w:t>all the distributions as density distributions (replaced histograms). Raw differences between SAPT and EFP are solid line unfilled densities, whereas the filled distribution represent differences after scaling.</w:t>
      </w:r>
    </w:p>
    <w:p w14:paraId="531A96C6" w14:textId="77777777" w:rsidR="00CC21E5" w:rsidRDefault="00CC21E5"/>
    <w:p w14:paraId="3E16FDDA" w14:textId="77777777" w:rsidR="00CC21E5" w:rsidRDefault="00CC21E5"/>
    <w:p w14:paraId="13155875" w14:textId="77777777" w:rsidR="00CC21E5" w:rsidRPr="00CC21E5" w:rsidRDefault="00CC21E5">
      <w:pPr>
        <w:rPr>
          <w:sz w:val="22"/>
          <w:szCs w:val="22"/>
        </w:rPr>
      </w:pPr>
    </w:p>
    <w:p w14:paraId="54374F19" w14:textId="77777777" w:rsidR="00435424" w:rsidRDefault="00CC21E5" w:rsidP="00CC21E5">
      <w:pPr>
        <w:rPr>
          <w:rFonts w:eastAsia="Times New Roman"/>
          <w:i/>
          <w:color w:val="000000"/>
          <w:sz w:val="22"/>
          <w:szCs w:val="22"/>
        </w:rPr>
      </w:pPr>
      <w:r w:rsidRPr="00CC21E5">
        <w:rPr>
          <w:rFonts w:eastAsia="Times New Roman"/>
          <w:color w:val="000000"/>
          <w:sz w:val="22"/>
          <w:szCs w:val="22"/>
          <w:shd w:val="clear" w:color="auto" w:fill="FFFFFF"/>
        </w:rPr>
        <w:t>Reviewer 2 Comments: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 xml:space="preserve">The authors present a very thorough comparison of the effective fragment potential method (EFP) for its use to describe the interaction in isolated ionic liquid ion pairs in the gas phase. As </w:t>
      </w:r>
      <w:r>
        <w:rPr>
          <w:rFonts w:eastAsia="Times New Roman"/>
          <w:color w:val="000000"/>
          <w:sz w:val="22"/>
          <w:szCs w:val="22"/>
          <w:shd w:val="clear" w:color="auto" w:fill="FFFFFF"/>
        </w:rPr>
        <w:t>b</w:t>
      </w:r>
      <w:r w:rsidRPr="00CC21E5">
        <w:rPr>
          <w:rFonts w:eastAsia="Times New Roman"/>
          <w:color w:val="000000"/>
          <w:sz w:val="22"/>
          <w:szCs w:val="22"/>
          <w:shd w:val="clear" w:color="auto" w:fill="FFFFFF"/>
        </w:rPr>
        <w:t>enchmark, SAPT2 and SAPT2+3 were used, which can be regarded as state-of-the-art. It was found that the performance of EFP depends much on the choice of the basis set and it is hard to predict only from the zeta-level and choice of augmented and polarization functions whether a certain basis set will work well. Overall, the performance of EFPs for ionic liquid ion pairs was worse than anticipated. A detailed analysis of the individual interaction components will enable the future development of improved EFP potentials for ionic liquids. The paper is well-organized and will enable the further improvement of methodology for the efficient simulation of ionic liquids, which is a very important subject and therefore the MS can be recommended for publication in JCTC after the following minor corrections are performed.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1. Please upload the ESI. It was missing in this submission. </w:t>
      </w:r>
      <w:r w:rsidRPr="00CC21E5">
        <w:rPr>
          <w:rFonts w:eastAsia="Times New Roman"/>
          <w:color w:val="000000"/>
          <w:sz w:val="22"/>
          <w:szCs w:val="22"/>
        </w:rPr>
        <w:br/>
      </w:r>
    </w:p>
    <w:p w14:paraId="5AC9B618" w14:textId="68E24746" w:rsidR="00AB6CC4" w:rsidRPr="00AB6CC4" w:rsidRDefault="00AB6CC4" w:rsidP="00CC21E5">
      <w:pPr>
        <w:rPr>
          <w:rFonts w:eastAsia="Times New Roman"/>
          <w:i/>
          <w:color w:val="000000"/>
          <w:sz w:val="22"/>
          <w:szCs w:val="22"/>
        </w:rPr>
      </w:pPr>
      <w:r>
        <w:rPr>
          <w:rFonts w:eastAsia="Times New Roman"/>
          <w:i/>
          <w:color w:val="000000"/>
          <w:sz w:val="22"/>
          <w:szCs w:val="22"/>
        </w:rPr>
        <w:t>The ESI (esi.pdf) was in the “tex” folder. It has been moved next to the manuscript now. To generate the pdf from the .tex file, use “esi.tex” in the “tex” folder.</w:t>
      </w:r>
    </w:p>
    <w:p w14:paraId="4BD5366D" w14:textId="77777777" w:rsidR="00435424" w:rsidRDefault="00435424" w:rsidP="00CC21E5">
      <w:pPr>
        <w:rPr>
          <w:rFonts w:eastAsia="Times New Roman"/>
          <w:color w:val="000000"/>
          <w:sz w:val="22"/>
          <w:szCs w:val="22"/>
        </w:rPr>
      </w:pPr>
    </w:p>
    <w:p w14:paraId="7ABB616C" w14:textId="77777777" w:rsidR="00886525"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2. Figures 1 and 2: It is hard to see the geometry. Perhaps two views (top and side, or similar) would be more helpful. In Figure 1: Is p1 a stereoisomer of p4? Also, it does not make sense to indicate double bonds in the imidazolium ring. Perhaps a schematic figure might serve better overall. </w:t>
      </w:r>
    </w:p>
    <w:p w14:paraId="5DF1E50C" w14:textId="77777777" w:rsidR="00886525" w:rsidRDefault="00886525" w:rsidP="00CC21E5">
      <w:pPr>
        <w:rPr>
          <w:rFonts w:eastAsia="Times New Roman"/>
          <w:color w:val="000000"/>
          <w:sz w:val="22"/>
          <w:szCs w:val="22"/>
          <w:shd w:val="clear" w:color="auto" w:fill="FFFFFF"/>
        </w:rPr>
      </w:pPr>
    </w:p>
    <w:p w14:paraId="4A83A587" w14:textId="54EB0468" w:rsidR="00435424" w:rsidRDefault="00886525" w:rsidP="00CC21E5">
      <w:pPr>
        <w:rPr>
          <w:rFonts w:eastAsia="Times New Roman"/>
          <w:i/>
          <w:color w:val="000000"/>
          <w:sz w:val="22"/>
          <w:szCs w:val="22"/>
        </w:rPr>
      </w:pPr>
      <w:r>
        <w:rPr>
          <w:rFonts w:eastAsia="Times New Roman"/>
          <w:i/>
          <w:color w:val="000000"/>
          <w:sz w:val="22"/>
          <w:szCs w:val="22"/>
          <w:shd w:val="clear" w:color="auto" w:fill="FFFFFF"/>
        </w:rPr>
        <w:t>Figs. 1 &amp; 2: Reworked, hopefully the orientation and nature of the interactions are clearer to reader.</w:t>
      </w:r>
      <w:r w:rsidR="00CC21E5" w:rsidRPr="00CC21E5">
        <w:rPr>
          <w:rFonts w:eastAsia="Times New Roman"/>
          <w:color w:val="000000"/>
          <w:sz w:val="22"/>
          <w:szCs w:val="22"/>
        </w:rPr>
        <w:br/>
      </w:r>
      <w:r w:rsidR="00CC21E5" w:rsidRPr="00CC21E5">
        <w:rPr>
          <w:rFonts w:eastAsia="Times New Roman"/>
          <w:color w:val="000000"/>
          <w:sz w:val="22"/>
          <w:szCs w:val="22"/>
        </w:rPr>
        <w:br/>
      </w:r>
      <w:r w:rsidR="00CC21E5" w:rsidRPr="00CC21E5">
        <w:rPr>
          <w:rFonts w:eastAsia="Times New Roman"/>
          <w:color w:val="000000"/>
          <w:sz w:val="22"/>
          <w:szCs w:val="22"/>
          <w:shd w:val="clear" w:color="auto" w:fill="FFFFFF"/>
        </w:rPr>
        <w:t xml:space="preserve">3. Only optimized geometries were used, but it is questionable whether optimized geometrical parameters for ion pairs are useful as they come in all ranges in the real liquid. This reviewer </w:t>
      </w:r>
      <w:r w:rsidR="00CC21E5">
        <w:rPr>
          <w:rFonts w:eastAsia="Times New Roman"/>
          <w:color w:val="000000"/>
          <w:sz w:val="22"/>
          <w:szCs w:val="22"/>
          <w:shd w:val="clear" w:color="auto" w:fill="FFFFFF"/>
        </w:rPr>
        <w:t>w</w:t>
      </w:r>
      <w:r w:rsidR="00CC21E5" w:rsidRPr="00CC21E5">
        <w:rPr>
          <w:rFonts w:eastAsia="Times New Roman"/>
          <w:color w:val="000000"/>
          <w:sz w:val="22"/>
          <w:szCs w:val="22"/>
          <w:shd w:val="clear" w:color="auto" w:fill="FFFFFF"/>
        </w:rPr>
        <w:t>onders if non-optimized geometries would show different trends in the performance than optimized geometries. </w:t>
      </w:r>
      <w:r w:rsidR="00CC21E5" w:rsidRPr="00CC21E5">
        <w:rPr>
          <w:rFonts w:eastAsia="Times New Roman"/>
          <w:color w:val="000000"/>
          <w:sz w:val="22"/>
          <w:szCs w:val="22"/>
        </w:rPr>
        <w:br/>
      </w:r>
    </w:p>
    <w:p w14:paraId="340E87B2" w14:textId="37720821" w:rsidR="00AB6CC4" w:rsidRPr="009E3104" w:rsidRDefault="00AB6CC4" w:rsidP="00CC21E5">
      <w:pPr>
        <w:rPr>
          <w:rFonts w:eastAsia="Times New Roman"/>
          <w:i/>
          <w:strike/>
          <w:color w:val="000000"/>
          <w:sz w:val="22"/>
          <w:szCs w:val="22"/>
        </w:rPr>
      </w:pPr>
      <w:r w:rsidRPr="009E3104">
        <w:rPr>
          <w:rFonts w:eastAsia="Times New Roman"/>
          <w:i/>
          <w:strike/>
          <w:color w:val="000000"/>
          <w:sz w:val="22"/>
          <w:szCs w:val="22"/>
        </w:rPr>
        <w:t>This is an interesting point. Indeed, in the real physical world</w:t>
      </w:r>
      <w:r w:rsidR="00412B6E" w:rsidRPr="009E3104">
        <w:rPr>
          <w:rFonts w:eastAsia="Times New Roman"/>
          <w:i/>
          <w:strike/>
          <w:color w:val="000000"/>
          <w:sz w:val="22"/>
          <w:szCs w:val="22"/>
        </w:rPr>
        <w:t>,</w:t>
      </w:r>
      <w:r w:rsidRPr="009E3104">
        <w:rPr>
          <w:rFonts w:eastAsia="Times New Roman"/>
          <w:i/>
          <w:strike/>
          <w:color w:val="000000"/>
          <w:sz w:val="22"/>
          <w:szCs w:val="22"/>
        </w:rPr>
        <w:t xml:space="preserve"> the ions comprising an ionic liquid would exist in a state of constant flux between different interacting geometries. In an ideal world, we would like to calculate interaction energies at every point on the potential energy surface. However, due to the limitations of our current technology, the computational expense </w:t>
      </w:r>
      <w:r w:rsidR="00412B6E" w:rsidRPr="009E3104">
        <w:rPr>
          <w:rFonts w:eastAsia="Times New Roman"/>
          <w:i/>
          <w:strike/>
          <w:color w:val="000000"/>
          <w:sz w:val="22"/>
          <w:szCs w:val="22"/>
        </w:rPr>
        <w:t xml:space="preserve">associated with such an exercise </w:t>
      </w:r>
      <w:r w:rsidRPr="009E3104">
        <w:rPr>
          <w:rFonts w:eastAsia="Times New Roman"/>
          <w:i/>
          <w:strike/>
          <w:color w:val="000000"/>
          <w:sz w:val="22"/>
          <w:szCs w:val="22"/>
        </w:rPr>
        <w:t>would be astronomical</w:t>
      </w:r>
      <w:r w:rsidR="001C6B82" w:rsidRPr="009E3104">
        <w:rPr>
          <w:rFonts w:eastAsia="Times New Roman"/>
          <w:i/>
          <w:strike/>
          <w:color w:val="000000"/>
          <w:sz w:val="22"/>
          <w:szCs w:val="22"/>
        </w:rPr>
        <w:t>. In light of this, calculations are performed only at selected points on the potential energy surface. Furthermore, only a single ion pair</w:t>
      </w:r>
      <w:r w:rsidR="00B00D8E" w:rsidRPr="009E3104">
        <w:rPr>
          <w:rFonts w:eastAsia="Times New Roman"/>
          <w:i/>
          <w:strike/>
          <w:color w:val="000000"/>
          <w:sz w:val="22"/>
          <w:szCs w:val="22"/>
        </w:rPr>
        <w:t xml:space="preserve"> in gas phase</w:t>
      </w:r>
      <w:r w:rsidR="001C6B82" w:rsidRPr="009E3104">
        <w:rPr>
          <w:rFonts w:eastAsia="Times New Roman"/>
          <w:i/>
          <w:strike/>
          <w:color w:val="000000"/>
          <w:sz w:val="22"/>
          <w:szCs w:val="22"/>
        </w:rPr>
        <w:t xml:space="preserve"> is examined, as larger systems are currently intractable. These select points on which calculations are to be performed are located through geometry optimization, the idea being that</w:t>
      </w:r>
      <w:r w:rsidR="00412B6E" w:rsidRPr="009E3104">
        <w:rPr>
          <w:rFonts w:eastAsia="Times New Roman"/>
          <w:i/>
          <w:strike/>
          <w:color w:val="000000"/>
          <w:sz w:val="22"/>
          <w:szCs w:val="22"/>
        </w:rPr>
        <w:t>,</w:t>
      </w:r>
      <w:r w:rsidR="001C6B82" w:rsidRPr="009E3104">
        <w:rPr>
          <w:rFonts w:eastAsia="Times New Roman"/>
          <w:i/>
          <w:strike/>
          <w:color w:val="000000"/>
          <w:sz w:val="22"/>
          <w:szCs w:val="22"/>
        </w:rPr>
        <w:t xml:space="preserve"> the system, which obeys the Boltzmann distribution, would spend a greater portion of the time in energetically favourable geometries.</w:t>
      </w:r>
    </w:p>
    <w:p w14:paraId="043BF3C9" w14:textId="0CD54516" w:rsidR="00412B6E" w:rsidRPr="009E3104" w:rsidRDefault="00412B6E" w:rsidP="00CC21E5">
      <w:pPr>
        <w:rPr>
          <w:rFonts w:eastAsia="Times New Roman"/>
          <w:i/>
          <w:strike/>
          <w:color w:val="000000"/>
          <w:sz w:val="22"/>
          <w:szCs w:val="22"/>
        </w:rPr>
      </w:pPr>
      <w:r w:rsidRPr="009E3104">
        <w:rPr>
          <w:rFonts w:eastAsia="Times New Roman"/>
          <w:i/>
          <w:strike/>
          <w:color w:val="000000"/>
          <w:sz w:val="22"/>
          <w:szCs w:val="22"/>
        </w:rPr>
        <w:t>This work focuses on the behaviour of the EFP method relative to SAPT. To answer the reviewer’s question, we would hope that this analysis is geometry independent. That is, regardless of the geometry being considered, the same trends would be observed between the potential energy surfaces of EFP and SAPT. However, it is highly possible that</w:t>
      </w:r>
      <w:r w:rsidR="00C906BB" w:rsidRPr="009E3104">
        <w:rPr>
          <w:rFonts w:eastAsia="Times New Roman"/>
          <w:i/>
          <w:strike/>
          <w:color w:val="000000"/>
          <w:sz w:val="22"/>
          <w:szCs w:val="22"/>
        </w:rPr>
        <w:t>,</w:t>
      </w:r>
      <w:r w:rsidRPr="009E3104">
        <w:rPr>
          <w:rFonts w:eastAsia="Times New Roman"/>
          <w:i/>
          <w:strike/>
          <w:color w:val="000000"/>
          <w:sz w:val="22"/>
          <w:szCs w:val="22"/>
        </w:rPr>
        <w:t xml:space="preserve"> in non-optimised geometries</w:t>
      </w:r>
      <w:r w:rsidR="00C906BB" w:rsidRPr="009E3104">
        <w:rPr>
          <w:rFonts w:eastAsia="Times New Roman"/>
          <w:i/>
          <w:strike/>
          <w:color w:val="000000"/>
          <w:sz w:val="22"/>
          <w:szCs w:val="22"/>
        </w:rPr>
        <w:t>, an interaction that is usually non-dominant becomes dominant, and as such the differences in how EFP and SAPT treat such instances may not be inferable from the differences between EFP and SAPT for optimised geometries. “Usually” being determined in the context of a Boltzmann distribution.</w:t>
      </w:r>
    </w:p>
    <w:p w14:paraId="66147BB0" w14:textId="77777777" w:rsidR="00EF29AF" w:rsidRDefault="00EF29AF" w:rsidP="00CC21E5">
      <w:pPr>
        <w:rPr>
          <w:rFonts w:eastAsia="Times New Roman"/>
          <w:i/>
          <w:color w:val="000000"/>
          <w:sz w:val="22"/>
          <w:szCs w:val="22"/>
        </w:rPr>
      </w:pPr>
    </w:p>
    <w:p w14:paraId="3AD9F3CB" w14:textId="77777777" w:rsidR="00EF29AF" w:rsidRDefault="00EF29AF" w:rsidP="00CC21E5">
      <w:pPr>
        <w:rPr>
          <w:rFonts w:eastAsia="Times New Roman"/>
          <w:i/>
          <w:color w:val="000000"/>
          <w:sz w:val="22"/>
          <w:szCs w:val="22"/>
        </w:rPr>
      </w:pPr>
    </w:p>
    <w:p w14:paraId="566A78F4" w14:textId="7B5C7B01" w:rsidR="00EF29AF" w:rsidRDefault="009E3104" w:rsidP="00CC21E5">
      <w:pPr>
        <w:rPr>
          <w:rFonts w:eastAsia="Times New Roman"/>
          <w:i/>
          <w:color w:val="000000"/>
          <w:sz w:val="22"/>
          <w:szCs w:val="22"/>
        </w:rPr>
      </w:pPr>
      <w:r>
        <w:rPr>
          <w:rFonts w:eastAsia="Times New Roman"/>
          <w:i/>
          <w:color w:val="000000"/>
          <w:sz w:val="22"/>
          <w:szCs w:val="22"/>
        </w:rPr>
        <w:t>To answer this point, we have calculated EFP and SAPT energies for c1mim-bf4 and c1mpyr-bf4 at 2 unoptimised separations, +0.6 and +1.0 Angstroms.</w:t>
      </w:r>
      <w:r w:rsidR="006422B6">
        <w:rPr>
          <w:rFonts w:eastAsia="Times New Roman"/>
          <w:i/>
          <w:color w:val="000000"/>
          <w:sz w:val="22"/>
          <w:szCs w:val="22"/>
        </w:rPr>
        <w:t xml:space="preserve"> The raw energies are reported below in Tables 1 &amp; 2.</w:t>
      </w:r>
      <w:r w:rsidR="0065265C">
        <w:rPr>
          <w:rFonts w:eastAsia="Times New Roman"/>
          <w:i/>
          <w:color w:val="000000"/>
          <w:sz w:val="22"/>
          <w:szCs w:val="22"/>
        </w:rPr>
        <w:t xml:space="preserve"> Only the SAPT2+ level is used due to limitations in time. The differences and percentage differences are also presented, in Tables 3 &amp; 4. The difference is defined as E(Diff) = E(SAPT) – E(EFP), whereas the percentage difference is E(%Diff) = E(Diff)/E(SAPT)*100. Note that the percentage differences are reported unsigned, i.e. all positive. </w:t>
      </w:r>
    </w:p>
    <w:p w14:paraId="700E9AFB" w14:textId="77777777" w:rsidR="0065265C" w:rsidRDefault="0065265C" w:rsidP="00CC21E5">
      <w:pPr>
        <w:rPr>
          <w:rFonts w:eastAsia="Times New Roman"/>
          <w:i/>
          <w:color w:val="000000"/>
          <w:sz w:val="22"/>
          <w:szCs w:val="22"/>
        </w:rPr>
      </w:pPr>
    </w:p>
    <w:p w14:paraId="25E7BDE4" w14:textId="42191EBA" w:rsidR="0065265C" w:rsidRDefault="0065265C" w:rsidP="00CC21E5">
      <w:pPr>
        <w:rPr>
          <w:rFonts w:eastAsia="Times New Roman"/>
          <w:i/>
          <w:color w:val="000000"/>
          <w:sz w:val="22"/>
          <w:szCs w:val="22"/>
        </w:rPr>
      </w:pPr>
      <w:r>
        <w:rPr>
          <w:rFonts w:eastAsia="Times New Roman"/>
          <w:i/>
          <w:color w:val="000000"/>
          <w:sz w:val="22"/>
          <w:szCs w:val="22"/>
        </w:rPr>
        <w:t xml:space="preserve">Considering the raw energies, we see that as the separation between </w:t>
      </w:r>
      <w:r w:rsidR="00262E04">
        <w:rPr>
          <w:rFonts w:eastAsia="Times New Roman"/>
          <w:i/>
          <w:color w:val="000000"/>
          <w:sz w:val="22"/>
          <w:szCs w:val="22"/>
        </w:rPr>
        <w:t>the ions increase, the strength of each interaction decreases too, as expected. This is o</w:t>
      </w:r>
      <w:r w:rsidR="00F23B01">
        <w:rPr>
          <w:rFonts w:eastAsia="Times New Roman"/>
          <w:i/>
          <w:color w:val="000000"/>
          <w:sz w:val="22"/>
          <w:szCs w:val="22"/>
        </w:rPr>
        <w:t xml:space="preserve">bserved for both EFP and SAPT, and is reflected in the difference of raw energies and the percentage differences as well. The percentage and raw differences appear to vanish as the interionic distance increases. For </w:t>
      </w:r>
      <w:r w:rsidR="00F25826">
        <w:rPr>
          <w:rFonts w:eastAsia="Times New Roman"/>
          <w:i/>
          <w:color w:val="000000"/>
          <w:sz w:val="22"/>
          <w:szCs w:val="22"/>
        </w:rPr>
        <w:t>electrostatics, while the absolute differences are larger than for the other contributions, the relative differences are smaller. On the other hand, for exchange, and to a smaller extent for induction and dispersion, while the absolute differences decrease dramatically with respect to increasing distance, the percentage difference does not drop quite as rapidly. For example, for [C</w:t>
      </w:r>
      <w:r w:rsidR="00F25826">
        <w:rPr>
          <w:rFonts w:eastAsia="Times New Roman"/>
          <w:i/>
          <w:color w:val="000000"/>
          <w:sz w:val="22"/>
          <w:szCs w:val="22"/>
          <w:vertAlign w:val="subscript"/>
        </w:rPr>
        <w:t>1</w:t>
      </w:r>
      <w:r w:rsidR="00F25826">
        <w:rPr>
          <w:rFonts w:eastAsia="Times New Roman"/>
          <w:i/>
          <w:color w:val="000000"/>
          <w:sz w:val="22"/>
          <w:szCs w:val="22"/>
        </w:rPr>
        <w:t>mpyr][BF</w:t>
      </w:r>
      <w:r w:rsidR="00F25826">
        <w:rPr>
          <w:rFonts w:eastAsia="Times New Roman"/>
          <w:i/>
          <w:color w:val="000000"/>
          <w:sz w:val="22"/>
          <w:szCs w:val="22"/>
          <w:vertAlign w:val="subscript"/>
        </w:rPr>
        <w:t>4</w:t>
      </w:r>
      <w:r w:rsidR="00F25826">
        <w:rPr>
          <w:rFonts w:eastAsia="Times New Roman"/>
          <w:i/>
          <w:color w:val="000000"/>
          <w:sz w:val="22"/>
          <w:szCs w:val="22"/>
        </w:rPr>
        <w:t>], going from +0.6 to +1.0 Angstroms, the difference between SAPT and EFP for exchange goes from 7.6 to 1.7 kJ/mol. However, the percentage difference only reduces from 31.1% to 26.2%. These percentage differences are quite high. The reason why they remain so high is because of the smaller exchange energies, which are more sensitive to small differences.</w:t>
      </w:r>
    </w:p>
    <w:p w14:paraId="08A35AB7" w14:textId="77777777" w:rsidR="00F25826" w:rsidRDefault="00F25826" w:rsidP="00CC21E5">
      <w:pPr>
        <w:rPr>
          <w:rFonts w:eastAsia="Times New Roman"/>
          <w:i/>
          <w:color w:val="000000"/>
          <w:sz w:val="22"/>
          <w:szCs w:val="22"/>
        </w:rPr>
      </w:pPr>
    </w:p>
    <w:p w14:paraId="64B73C8C" w14:textId="670D643E" w:rsidR="004D285D" w:rsidRDefault="0029382D" w:rsidP="00CC21E5">
      <w:pPr>
        <w:rPr>
          <w:rFonts w:eastAsia="Times New Roman"/>
          <w:i/>
          <w:color w:val="000000"/>
          <w:sz w:val="22"/>
          <w:szCs w:val="22"/>
        </w:rPr>
      </w:pPr>
      <w:r>
        <w:rPr>
          <w:rFonts w:eastAsia="Times New Roman"/>
          <w:i/>
          <w:color w:val="000000"/>
          <w:sz w:val="22"/>
          <w:szCs w:val="22"/>
        </w:rPr>
        <w:t xml:space="preserve">From this, we deduce that, in terms of absolute difference, SAPT and EFP would have better agreement at longer separations on the PES mostly because interactions weaken and the magnitudes decrease. However, the relative differences between the two methods do decrease as well, albeit </w:t>
      </w:r>
      <w:r w:rsidR="00E566CA">
        <w:rPr>
          <w:rFonts w:eastAsia="Times New Roman"/>
          <w:i/>
          <w:color w:val="000000"/>
          <w:sz w:val="22"/>
          <w:szCs w:val="22"/>
        </w:rPr>
        <w:t>slower and with less regularity.</w:t>
      </w:r>
    </w:p>
    <w:p w14:paraId="07CB8D6C" w14:textId="77777777" w:rsidR="00E566CA" w:rsidRDefault="00E566CA" w:rsidP="00CC21E5">
      <w:pPr>
        <w:rPr>
          <w:rFonts w:eastAsia="Times New Roman"/>
          <w:i/>
          <w:color w:val="000000"/>
          <w:sz w:val="22"/>
          <w:szCs w:val="22"/>
        </w:rPr>
      </w:pPr>
      <w:bookmarkStart w:id="0" w:name="_GoBack"/>
      <w:bookmarkEnd w:id="0"/>
    </w:p>
    <w:p w14:paraId="4BC36C6E" w14:textId="5D860330" w:rsidR="00C02EF6" w:rsidRDefault="00C02EF6" w:rsidP="00C02EF6">
      <w:pPr>
        <w:pStyle w:val="Caption"/>
        <w:keepNext/>
        <w:jc w:val="center"/>
      </w:pPr>
      <w:r>
        <w:t xml:space="preserve">Table </w:t>
      </w:r>
      <w:fldSimple w:instr=" SEQ Table \* ARABIC ">
        <w:r>
          <w:rPr>
            <w:noProof/>
          </w:rPr>
          <w:t>1</w:t>
        </w:r>
      </w:fldSimple>
      <w:r>
        <w:t>. EFP energies (kJ/mol)</w:t>
      </w:r>
    </w:p>
    <w:tbl>
      <w:tblPr>
        <w:tblW w:w="7938" w:type="dxa"/>
        <w:jc w:val="center"/>
        <w:tblLayout w:type="fixed"/>
        <w:tblLook w:val="04A0" w:firstRow="1" w:lastRow="0" w:firstColumn="1" w:lastColumn="0" w:noHBand="0" w:noVBand="1"/>
      </w:tblPr>
      <w:tblGrid>
        <w:gridCol w:w="2551"/>
        <w:gridCol w:w="993"/>
        <w:gridCol w:w="850"/>
        <w:gridCol w:w="884"/>
        <w:gridCol w:w="959"/>
        <w:gridCol w:w="784"/>
        <w:gridCol w:w="917"/>
      </w:tblGrid>
      <w:tr w:rsidR="00A27141" w:rsidRPr="00A27141" w14:paraId="762E1041" w14:textId="77777777" w:rsidTr="004F39AC">
        <w:trPr>
          <w:trHeight w:val="320"/>
          <w:jc w:val="center"/>
        </w:trPr>
        <w:tc>
          <w:tcPr>
            <w:tcW w:w="2551" w:type="dxa"/>
            <w:tcBorders>
              <w:top w:val="single" w:sz="4" w:space="0" w:color="auto"/>
              <w:bottom w:val="single" w:sz="4" w:space="0" w:color="auto"/>
            </w:tcBorders>
            <w:shd w:val="clear" w:color="auto" w:fill="auto"/>
            <w:noWrap/>
            <w:vAlign w:val="center"/>
            <w:hideMark/>
          </w:tcPr>
          <w:p w14:paraId="02AE73C6"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EFP</w:t>
            </w:r>
          </w:p>
        </w:tc>
        <w:tc>
          <w:tcPr>
            <w:tcW w:w="993" w:type="dxa"/>
            <w:tcBorders>
              <w:top w:val="single" w:sz="4" w:space="0" w:color="auto"/>
              <w:bottom w:val="single" w:sz="4" w:space="0" w:color="auto"/>
            </w:tcBorders>
            <w:shd w:val="clear" w:color="auto" w:fill="auto"/>
            <w:noWrap/>
            <w:vAlign w:val="center"/>
            <w:hideMark/>
          </w:tcPr>
          <w:p w14:paraId="799C13F8"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Elst</w:t>
            </w:r>
          </w:p>
        </w:tc>
        <w:tc>
          <w:tcPr>
            <w:tcW w:w="850" w:type="dxa"/>
            <w:tcBorders>
              <w:top w:val="single" w:sz="4" w:space="0" w:color="auto"/>
              <w:bottom w:val="single" w:sz="4" w:space="0" w:color="auto"/>
            </w:tcBorders>
            <w:shd w:val="clear" w:color="auto" w:fill="auto"/>
            <w:noWrap/>
            <w:vAlign w:val="center"/>
            <w:hideMark/>
          </w:tcPr>
          <w:p w14:paraId="73B71544"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Repl</w:t>
            </w:r>
          </w:p>
        </w:tc>
        <w:tc>
          <w:tcPr>
            <w:tcW w:w="884" w:type="dxa"/>
            <w:tcBorders>
              <w:top w:val="single" w:sz="4" w:space="0" w:color="auto"/>
              <w:bottom w:val="single" w:sz="4" w:space="0" w:color="auto"/>
            </w:tcBorders>
            <w:shd w:val="clear" w:color="auto" w:fill="auto"/>
            <w:noWrap/>
            <w:vAlign w:val="center"/>
            <w:hideMark/>
          </w:tcPr>
          <w:p w14:paraId="51B7D281"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Pol</w:t>
            </w:r>
          </w:p>
        </w:tc>
        <w:tc>
          <w:tcPr>
            <w:tcW w:w="959" w:type="dxa"/>
            <w:tcBorders>
              <w:top w:val="single" w:sz="4" w:space="0" w:color="auto"/>
              <w:bottom w:val="single" w:sz="4" w:space="0" w:color="auto"/>
            </w:tcBorders>
            <w:shd w:val="clear" w:color="auto" w:fill="auto"/>
            <w:noWrap/>
            <w:vAlign w:val="center"/>
            <w:hideMark/>
          </w:tcPr>
          <w:p w14:paraId="141381FF"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Disp</w:t>
            </w:r>
          </w:p>
        </w:tc>
        <w:tc>
          <w:tcPr>
            <w:tcW w:w="784" w:type="dxa"/>
            <w:tcBorders>
              <w:top w:val="single" w:sz="4" w:space="0" w:color="auto"/>
              <w:bottom w:val="single" w:sz="4" w:space="0" w:color="auto"/>
            </w:tcBorders>
            <w:shd w:val="clear" w:color="auto" w:fill="auto"/>
            <w:noWrap/>
            <w:vAlign w:val="center"/>
            <w:hideMark/>
          </w:tcPr>
          <w:p w14:paraId="4B6ED307"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CT</w:t>
            </w:r>
          </w:p>
        </w:tc>
        <w:tc>
          <w:tcPr>
            <w:tcW w:w="917" w:type="dxa"/>
            <w:tcBorders>
              <w:top w:val="single" w:sz="4" w:space="0" w:color="auto"/>
              <w:bottom w:val="single" w:sz="4" w:space="0" w:color="auto"/>
            </w:tcBorders>
            <w:shd w:val="clear" w:color="auto" w:fill="auto"/>
            <w:noWrap/>
            <w:vAlign w:val="center"/>
            <w:hideMark/>
          </w:tcPr>
          <w:p w14:paraId="75A280A4"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Total</w:t>
            </w:r>
          </w:p>
        </w:tc>
      </w:tr>
      <w:tr w:rsidR="00A27141" w:rsidRPr="00A27141" w14:paraId="3C4484DD" w14:textId="77777777" w:rsidTr="00AC2779">
        <w:trPr>
          <w:trHeight w:val="340"/>
          <w:jc w:val="center"/>
        </w:trPr>
        <w:tc>
          <w:tcPr>
            <w:tcW w:w="2551" w:type="dxa"/>
            <w:tcBorders>
              <w:top w:val="single" w:sz="4" w:space="0" w:color="auto"/>
            </w:tcBorders>
            <w:shd w:val="clear" w:color="auto" w:fill="auto"/>
            <w:noWrap/>
            <w:vAlign w:val="center"/>
            <w:hideMark/>
          </w:tcPr>
          <w:p w14:paraId="60329768"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+0.0)</w:t>
            </w:r>
          </w:p>
        </w:tc>
        <w:tc>
          <w:tcPr>
            <w:tcW w:w="993" w:type="dxa"/>
            <w:tcBorders>
              <w:top w:val="single" w:sz="4" w:space="0" w:color="auto"/>
            </w:tcBorders>
            <w:shd w:val="clear" w:color="auto" w:fill="auto"/>
            <w:noWrap/>
            <w:vAlign w:val="center"/>
            <w:hideMark/>
          </w:tcPr>
          <w:p w14:paraId="0FE74C1F"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-392.9</w:t>
            </w:r>
          </w:p>
        </w:tc>
        <w:tc>
          <w:tcPr>
            <w:tcW w:w="850" w:type="dxa"/>
            <w:tcBorders>
              <w:top w:val="single" w:sz="4" w:space="0" w:color="auto"/>
            </w:tcBorders>
            <w:shd w:val="clear" w:color="auto" w:fill="auto"/>
            <w:noWrap/>
            <w:vAlign w:val="center"/>
            <w:hideMark/>
          </w:tcPr>
          <w:p w14:paraId="376004D9"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71.5</w:t>
            </w:r>
          </w:p>
        </w:tc>
        <w:tc>
          <w:tcPr>
            <w:tcW w:w="884" w:type="dxa"/>
            <w:tcBorders>
              <w:top w:val="single" w:sz="4" w:space="0" w:color="auto"/>
            </w:tcBorders>
            <w:shd w:val="clear" w:color="auto" w:fill="auto"/>
            <w:noWrap/>
            <w:vAlign w:val="center"/>
            <w:hideMark/>
          </w:tcPr>
          <w:p w14:paraId="79A6CC86"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-32.7</w:t>
            </w:r>
          </w:p>
        </w:tc>
        <w:tc>
          <w:tcPr>
            <w:tcW w:w="959" w:type="dxa"/>
            <w:tcBorders>
              <w:top w:val="single" w:sz="4" w:space="0" w:color="auto"/>
            </w:tcBorders>
            <w:shd w:val="clear" w:color="auto" w:fill="auto"/>
            <w:noWrap/>
            <w:vAlign w:val="center"/>
            <w:hideMark/>
          </w:tcPr>
          <w:p w14:paraId="0F012CC4"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-55.6</w:t>
            </w:r>
          </w:p>
        </w:tc>
        <w:tc>
          <w:tcPr>
            <w:tcW w:w="784" w:type="dxa"/>
            <w:tcBorders>
              <w:top w:val="single" w:sz="4" w:space="0" w:color="auto"/>
            </w:tcBorders>
            <w:shd w:val="clear" w:color="auto" w:fill="auto"/>
            <w:noWrap/>
            <w:vAlign w:val="center"/>
            <w:hideMark/>
          </w:tcPr>
          <w:p w14:paraId="3B1F06E3"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-2.5</w:t>
            </w:r>
          </w:p>
        </w:tc>
        <w:tc>
          <w:tcPr>
            <w:tcW w:w="917" w:type="dxa"/>
            <w:tcBorders>
              <w:top w:val="single" w:sz="4" w:space="0" w:color="auto"/>
            </w:tcBorders>
            <w:shd w:val="clear" w:color="auto" w:fill="auto"/>
            <w:noWrap/>
            <w:vAlign w:val="center"/>
            <w:hideMark/>
          </w:tcPr>
          <w:p w14:paraId="30580855"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-412.1</w:t>
            </w:r>
          </w:p>
        </w:tc>
      </w:tr>
      <w:tr w:rsidR="00A27141" w:rsidRPr="00A27141" w14:paraId="43C63170" w14:textId="77777777" w:rsidTr="00AC2779">
        <w:trPr>
          <w:trHeight w:val="340"/>
          <w:jc w:val="center"/>
        </w:trPr>
        <w:tc>
          <w:tcPr>
            <w:tcW w:w="2551" w:type="dxa"/>
            <w:shd w:val="clear" w:color="auto" w:fill="auto"/>
            <w:noWrap/>
            <w:vAlign w:val="center"/>
            <w:hideMark/>
          </w:tcPr>
          <w:p w14:paraId="2BA9DFEA"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+0.6)</w:t>
            </w:r>
          </w:p>
        </w:tc>
        <w:tc>
          <w:tcPr>
            <w:tcW w:w="993" w:type="dxa"/>
            <w:shd w:val="clear" w:color="auto" w:fill="auto"/>
            <w:noWrap/>
            <w:vAlign w:val="center"/>
            <w:hideMark/>
          </w:tcPr>
          <w:p w14:paraId="2EFFCE61"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-345.1</w:t>
            </w:r>
          </w:p>
        </w:tc>
        <w:tc>
          <w:tcPr>
            <w:tcW w:w="850" w:type="dxa"/>
            <w:shd w:val="clear" w:color="auto" w:fill="auto"/>
            <w:noWrap/>
            <w:vAlign w:val="center"/>
            <w:hideMark/>
          </w:tcPr>
          <w:p w14:paraId="269D25D3"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20.6</w:t>
            </w:r>
          </w:p>
        </w:tc>
        <w:tc>
          <w:tcPr>
            <w:tcW w:w="884" w:type="dxa"/>
            <w:shd w:val="clear" w:color="auto" w:fill="auto"/>
            <w:noWrap/>
            <w:vAlign w:val="center"/>
            <w:hideMark/>
          </w:tcPr>
          <w:p w14:paraId="75C0C72C"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-23.9</w:t>
            </w:r>
          </w:p>
        </w:tc>
        <w:tc>
          <w:tcPr>
            <w:tcW w:w="959" w:type="dxa"/>
            <w:shd w:val="clear" w:color="auto" w:fill="auto"/>
            <w:noWrap/>
            <w:vAlign w:val="center"/>
            <w:hideMark/>
          </w:tcPr>
          <w:p w14:paraId="7FA5D3AC"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-23.8</w:t>
            </w:r>
          </w:p>
        </w:tc>
        <w:tc>
          <w:tcPr>
            <w:tcW w:w="784" w:type="dxa"/>
            <w:shd w:val="clear" w:color="auto" w:fill="auto"/>
            <w:noWrap/>
            <w:vAlign w:val="center"/>
            <w:hideMark/>
          </w:tcPr>
          <w:p w14:paraId="17B674E2"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-0.5</w:t>
            </w:r>
          </w:p>
        </w:tc>
        <w:tc>
          <w:tcPr>
            <w:tcW w:w="917" w:type="dxa"/>
            <w:shd w:val="clear" w:color="auto" w:fill="auto"/>
            <w:noWrap/>
            <w:vAlign w:val="center"/>
            <w:hideMark/>
          </w:tcPr>
          <w:p w14:paraId="4DAEBE45"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-372.7</w:t>
            </w:r>
          </w:p>
        </w:tc>
      </w:tr>
      <w:tr w:rsidR="00A27141" w:rsidRPr="00A27141" w14:paraId="0ED25C76" w14:textId="77777777" w:rsidTr="00AC2779">
        <w:trPr>
          <w:trHeight w:val="340"/>
          <w:jc w:val="center"/>
        </w:trPr>
        <w:tc>
          <w:tcPr>
            <w:tcW w:w="2551" w:type="dxa"/>
            <w:shd w:val="clear" w:color="auto" w:fill="auto"/>
            <w:noWrap/>
            <w:vAlign w:val="center"/>
            <w:hideMark/>
          </w:tcPr>
          <w:p w14:paraId="25635D65"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+1.0)</w:t>
            </w:r>
          </w:p>
        </w:tc>
        <w:tc>
          <w:tcPr>
            <w:tcW w:w="993" w:type="dxa"/>
            <w:shd w:val="clear" w:color="auto" w:fill="auto"/>
            <w:noWrap/>
            <w:vAlign w:val="center"/>
            <w:hideMark/>
          </w:tcPr>
          <w:p w14:paraId="7002BF02"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-314.0</w:t>
            </w:r>
          </w:p>
        </w:tc>
        <w:tc>
          <w:tcPr>
            <w:tcW w:w="850" w:type="dxa"/>
            <w:shd w:val="clear" w:color="auto" w:fill="auto"/>
            <w:noWrap/>
            <w:vAlign w:val="center"/>
            <w:hideMark/>
          </w:tcPr>
          <w:p w14:paraId="3466AF55"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6.1</w:t>
            </w:r>
          </w:p>
        </w:tc>
        <w:tc>
          <w:tcPr>
            <w:tcW w:w="884" w:type="dxa"/>
            <w:shd w:val="clear" w:color="auto" w:fill="auto"/>
            <w:noWrap/>
            <w:vAlign w:val="center"/>
            <w:hideMark/>
          </w:tcPr>
          <w:p w14:paraId="6261103E"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-17.8</w:t>
            </w:r>
          </w:p>
        </w:tc>
        <w:tc>
          <w:tcPr>
            <w:tcW w:w="959" w:type="dxa"/>
            <w:shd w:val="clear" w:color="auto" w:fill="auto"/>
            <w:noWrap/>
            <w:vAlign w:val="center"/>
            <w:hideMark/>
          </w:tcPr>
          <w:p w14:paraId="40B8F57D"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-13.5</w:t>
            </w:r>
          </w:p>
        </w:tc>
        <w:tc>
          <w:tcPr>
            <w:tcW w:w="784" w:type="dxa"/>
            <w:shd w:val="clear" w:color="auto" w:fill="auto"/>
            <w:noWrap/>
            <w:vAlign w:val="center"/>
            <w:hideMark/>
          </w:tcPr>
          <w:p w14:paraId="12AE8385"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-0.1</w:t>
            </w:r>
          </w:p>
        </w:tc>
        <w:tc>
          <w:tcPr>
            <w:tcW w:w="917" w:type="dxa"/>
            <w:shd w:val="clear" w:color="auto" w:fill="auto"/>
            <w:noWrap/>
            <w:vAlign w:val="center"/>
            <w:hideMark/>
          </w:tcPr>
          <w:p w14:paraId="4BF84741"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-339.3</w:t>
            </w:r>
          </w:p>
        </w:tc>
      </w:tr>
      <w:tr w:rsidR="00A27141" w:rsidRPr="00A27141" w14:paraId="6CB8BF8C" w14:textId="77777777" w:rsidTr="00AC2779">
        <w:trPr>
          <w:trHeight w:val="340"/>
          <w:jc w:val="center"/>
        </w:trPr>
        <w:tc>
          <w:tcPr>
            <w:tcW w:w="2551" w:type="dxa"/>
            <w:shd w:val="clear" w:color="auto" w:fill="auto"/>
            <w:noWrap/>
            <w:vAlign w:val="center"/>
            <w:hideMark/>
          </w:tcPr>
          <w:p w14:paraId="3731D829"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+0.0)</w:t>
            </w:r>
          </w:p>
        </w:tc>
        <w:tc>
          <w:tcPr>
            <w:tcW w:w="993" w:type="dxa"/>
            <w:shd w:val="clear" w:color="auto" w:fill="auto"/>
            <w:noWrap/>
            <w:vAlign w:val="center"/>
            <w:hideMark/>
          </w:tcPr>
          <w:p w14:paraId="0E3E66B4"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-376.3</w:t>
            </w:r>
          </w:p>
        </w:tc>
        <w:tc>
          <w:tcPr>
            <w:tcW w:w="850" w:type="dxa"/>
            <w:shd w:val="clear" w:color="auto" w:fill="auto"/>
            <w:noWrap/>
            <w:vAlign w:val="center"/>
            <w:hideMark/>
          </w:tcPr>
          <w:p w14:paraId="0AF6B7A6"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63.2</w:t>
            </w:r>
          </w:p>
        </w:tc>
        <w:tc>
          <w:tcPr>
            <w:tcW w:w="884" w:type="dxa"/>
            <w:shd w:val="clear" w:color="auto" w:fill="auto"/>
            <w:noWrap/>
            <w:vAlign w:val="center"/>
            <w:hideMark/>
          </w:tcPr>
          <w:p w14:paraId="35F00DE2"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-37.6</w:t>
            </w:r>
          </w:p>
        </w:tc>
        <w:tc>
          <w:tcPr>
            <w:tcW w:w="959" w:type="dxa"/>
            <w:shd w:val="clear" w:color="auto" w:fill="auto"/>
            <w:noWrap/>
            <w:vAlign w:val="center"/>
            <w:hideMark/>
          </w:tcPr>
          <w:p w14:paraId="555161E1"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-43.0</w:t>
            </w:r>
          </w:p>
        </w:tc>
        <w:tc>
          <w:tcPr>
            <w:tcW w:w="784" w:type="dxa"/>
            <w:shd w:val="clear" w:color="auto" w:fill="auto"/>
            <w:noWrap/>
            <w:vAlign w:val="center"/>
            <w:hideMark/>
          </w:tcPr>
          <w:p w14:paraId="2E24D938"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-4.3</w:t>
            </w:r>
          </w:p>
        </w:tc>
        <w:tc>
          <w:tcPr>
            <w:tcW w:w="917" w:type="dxa"/>
            <w:shd w:val="clear" w:color="auto" w:fill="auto"/>
            <w:noWrap/>
            <w:vAlign w:val="center"/>
            <w:hideMark/>
          </w:tcPr>
          <w:p w14:paraId="56AE0312"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-398.0</w:t>
            </w:r>
          </w:p>
        </w:tc>
      </w:tr>
      <w:tr w:rsidR="00A27141" w:rsidRPr="00A27141" w14:paraId="625760B8" w14:textId="77777777" w:rsidTr="004F39AC">
        <w:trPr>
          <w:trHeight w:val="340"/>
          <w:jc w:val="center"/>
        </w:trPr>
        <w:tc>
          <w:tcPr>
            <w:tcW w:w="2551" w:type="dxa"/>
            <w:shd w:val="clear" w:color="auto" w:fill="auto"/>
            <w:noWrap/>
            <w:vAlign w:val="center"/>
            <w:hideMark/>
          </w:tcPr>
          <w:p w14:paraId="0699614A"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+0.6)</w:t>
            </w:r>
          </w:p>
        </w:tc>
        <w:tc>
          <w:tcPr>
            <w:tcW w:w="993" w:type="dxa"/>
            <w:shd w:val="clear" w:color="auto" w:fill="auto"/>
            <w:noWrap/>
            <w:vAlign w:val="center"/>
            <w:hideMark/>
          </w:tcPr>
          <w:p w14:paraId="4535F813"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-325.0</w:t>
            </w:r>
          </w:p>
        </w:tc>
        <w:tc>
          <w:tcPr>
            <w:tcW w:w="850" w:type="dxa"/>
            <w:shd w:val="clear" w:color="auto" w:fill="auto"/>
            <w:noWrap/>
            <w:vAlign w:val="center"/>
            <w:hideMark/>
          </w:tcPr>
          <w:p w14:paraId="427AC07A"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16.8</w:t>
            </w:r>
          </w:p>
        </w:tc>
        <w:tc>
          <w:tcPr>
            <w:tcW w:w="884" w:type="dxa"/>
            <w:shd w:val="clear" w:color="auto" w:fill="auto"/>
            <w:noWrap/>
            <w:vAlign w:val="center"/>
            <w:hideMark/>
          </w:tcPr>
          <w:p w14:paraId="7A36DE69"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-26.1</w:t>
            </w:r>
          </w:p>
        </w:tc>
        <w:tc>
          <w:tcPr>
            <w:tcW w:w="959" w:type="dxa"/>
            <w:shd w:val="clear" w:color="auto" w:fill="auto"/>
            <w:noWrap/>
            <w:vAlign w:val="center"/>
            <w:hideMark/>
          </w:tcPr>
          <w:p w14:paraId="25FF5709"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-17.8</w:t>
            </w:r>
          </w:p>
        </w:tc>
        <w:tc>
          <w:tcPr>
            <w:tcW w:w="784" w:type="dxa"/>
            <w:shd w:val="clear" w:color="auto" w:fill="auto"/>
            <w:noWrap/>
            <w:vAlign w:val="center"/>
            <w:hideMark/>
          </w:tcPr>
          <w:p w14:paraId="4FBAB588"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-1.1</w:t>
            </w:r>
          </w:p>
        </w:tc>
        <w:tc>
          <w:tcPr>
            <w:tcW w:w="917" w:type="dxa"/>
            <w:shd w:val="clear" w:color="auto" w:fill="auto"/>
            <w:noWrap/>
            <w:vAlign w:val="center"/>
            <w:hideMark/>
          </w:tcPr>
          <w:p w14:paraId="48D30443"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-353.1</w:t>
            </w:r>
          </w:p>
        </w:tc>
      </w:tr>
      <w:tr w:rsidR="00A27141" w:rsidRPr="00A27141" w14:paraId="0CBC5E4F" w14:textId="77777777" w:rsidTr="004F39AC">
        <w:trPr>
          <w:trHeight w:val="340"/>
          <w:jc w:val="center"/>
        </w:trPr>
        <w:tc>
          <w:tcPr>
            <w:tcW w:w="2551" w:type="dxa"/>
            <w:tcBorders>
              <w:bottom w:val="single" w:sz="4" w:space="0" w:color="auto"/>
            </w:tcBorders>
            <w:shd w:val="clear" w:color="auto" w:fill="auto"/>
            <w:noWrap/>
            <w:vAlign w:val="center"/>
            <w:hideMark/>
          </w:tcPr>
          <w:p w14:paraId="4D265FA4" w14:textId="4671DE42" w:rsidR="00A27141" w:rsidRPr="00A27141" w:rsidRDefault="00A27141" w:rsidP="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+1.0)</w:t>
            </w:r>
          </w:p>
        </w:tc>
        <w:tc>
          <w:tcPr>
            <w:tcW w:w="993" w:type="dxa"/>
            <w:tcBorders>
              <w:bottom w:val="single" w:sz="4" w:space="0" w:color="auto"/>
            </w:tcBorders>
            <w:shd w:val="clear" w:color="auto" w:fill="auto"/>
            <w:noWrap/>
            <w:vAlign w:val="center"/>
            <w:hideMark/>
          </w:tcPr>
          <w:p w14:paraId="542FE687"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-294.0</w:t>
            </w:r>
          </w:p>
        </w:tc>
        <w:tc>
          <w:tcPr>
            <w:tcW w:w="850" w:type="dxa"/>
            <w:tcBorders>
              <w:bottom w:val="single" w:sz="4" w:space="0" w:color="auto"/>
            </w:tcBorders>
            <w:shd w:val="clear" w:color="auto" w:fill="auto"/>
            <w:noWrap/>
            <w:vAlign w:val="center"/>
            <w:hideMark/>
          </w:tcPr>
          <w:p w14:paraId="4CAB9B9D"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4.9</w:t>
            </w:r>
          </w:p>
        </w:tc>
        <w:tc>
          <w:tcPr>
            <w:tcW w:w="884" w:type="dxa"/>
            <w:tcBorders>
              <w:bottom w:val="single" w:sz="4" w:space="0" w:color="auto"/>
            </w:tcBorders>
            <w:shd w:val="clear" w:color="auto" w:fill="auto"/>
            <w:noWrap/>
            <w:vAlign w:val="center"/>
            <w:hideMark/>
          </w:tcPr>
          <w:p w14:paraId="6E7DB651"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-18.6</w:t>
            </w:r>
          </w:p>
        </w:tc>
        <w:tc>
          <w:tcPr>
            <w:tcW w:w="959" w:type="dxa"/>
            <w:tcBorders>
              <w:bottom w:val="single" w:sz="4" w:space="0" w:color="auto"/>
            </w:tcBorders>
            <w:shd w:val="clear" w:color="auto" w:fill="auto"/>
            <w:noWrap/>
            <w:vAlign w:val="center"/>
            <w:hideMark/>
          </w:tcPr>
          <w:p w14:paraId="67C82AEC"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-9.8</w:t>
            </w:r>
          </w:p>
        </w:tc>
        <w:tc>
          <w:tcPr>
            <w:tcW w:w="784" w:type="dxa"/>
            <w:tcBorders>
              <w:bottom w:val="single" w:sz="4" w:space="0" w:color="auto"/>
            </w:tcBorders>
            <w:shd w:val="clear" w:color="auto" w:fill="auto"/>
            <w:noWrap/>
            <w:vAlign w:val="center"/>
            <w:hideMark/>
          </w:tcPr>
          <w:p w14:paraId="0523965A"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-0.3</w:t>
            </w:r>
          </w:p>
        </w:tc>
        <w:tc>
          <w:tcPr>
            <w:tcW w:w="917" w:type="dxa"/>
            <w:tcBorders>
              <w:bottom w:val="single" w:sz="4" w:space="0" w:color="auto"/>
            </w:tcBorders>
            <w:shd w:val="clear" w:color="auto" w:fill="auto"/>
            <w:noWrap/>
            <w:vAlign w:val="center"/>
            <w:hideMark/>
          </w:tcPr>
          <w:p w14:paraId="414B9C6A" w14:textId="77777777" w:rsidR="00A27141" w:rsidRPr="00A27141" w:rsidRDefault="00A27141" w:rsidP="00AC2779">
            <w:pPr>
              <w:jc w:val="right"/>
              <w:rPr>
                <w:rFonts w:ascii="Calibri" w:eastAsia="Times New Roman" w:hAnsi="Calibri"/>
                <w:color w:val="000000"/>
                <w:sz w:val="22"/>
                <w:szCs w:val="22"/>
              </w:rPr>
            </w:pPr>
            <w:r w:rsidRPr="00A27141">
              <w:rPr>
                <w:rFonts w:ascii="Calibri" w:eastAsia="Times New Roman" w:hAnsi="Calibri"/>
                <w:color w:val="000000"/>
                <w:sz w:val="22"/>
                <w:szCs w:val="22"/>
              </w:rPr>
              <w:t>-317.8</w:t>
            </w:r>
          </w:p>
        </w:tc>
      </w:tr>
    </w:tbl>
    <w:p w14:paraId="649AA86A" w14:textId="77777777" w:rsidR="004D285D" w:rsidRDefault="004D285D" w:rsidP="00CC21E5">
      <w:pPr>
        <w:rPr>
          <w:rFonts w:eastAsia="Times New Roman"/>
          <w:i/>
          <w:color w:val="000000"/>
          <w:sz w:val="22"/>
          <w:szCs w:val="22"/>
        </w:rPr>
      </w:pPr>
    </w:p>
    <w:p w14:paraId="317AC156" w14:textId="77777777" w:rsidR="00A27141" w:rsidRDefault="00A27141" w:rsidP="00CC21E5">
      <w:pPr>
        <w:rPr>
          <w:rFonts w:eastAsia="Times New Roman"/>
          <w:i/>
          <w:color w:val="000000"/>
          <w:sz w:val="22"/>
          <w:szCs w:val="22"/>
        </w:rPr>
      </w:pPr>
    </w:p>
    <w:p w14:paraId="2696BEA9" w14:textId="4A411C1C" w:rsidR="00C02EF6" w:rsidRDefault="00C02EF6" w:rsidP="00C02EF6">
      <w:pPr>
        <w:pStyle w:val="Caption"/>
        <w:keepNext/>
        <w:jc w:val="center"/>
      </w:pPr>
      <w:r>
        <w:t xml:space="preserve">Table </w:t>
      </w:r>
      <w:fldSimple w:instr=" SEQ Table \* ARABIC ">
        <w:r>
          <w:rPr>
            <w:noProof/>
          </w:rPr>
          <w:t>2</w:t>
        </w:r>
      </w:fldSimple>
      <w:r>
        <w:t>. SAPT energies (kJ/mol)</w:t>
      </w:r>
    </w:p>
    <w:tbl>
      <w:tblPr>
        <w:tblW w:w="7782" w:type="dxa"/>
        <w:jc w:val="center"/>
        <w:tblLayout w:type="fixed"/>
        <w:tblLook w:val="04A0" w:firstRow="1" w:lastRow="0" w:firstColumn="1" w:lastColumn="0" w:noHBand="0" w:noVBand="1"/>
      </w:tblPr>
      <w:tblGrid>
        <w:gridCol w:w="2551"/>
        <w:gridCol w:w="993"/>
        <w:gridCol w:w="992"/>
        <w:gridCol w:w="927"/>
        <w:gridCol w:w="1019"/>
        <w:gridCol w:w="459"/>
        <w:gridCol w:w="841"/>
      </w:tblGrid>
      <w:tr w:rsidR="00AC2779" w:rsidRPr="00A27141" w14:paraId="0E2E3344" w14:textId="77777777" w:rsidTr="004F39AC">
        <w:trPr>
          <w:trHeight w:hRule="exact" w:val="321"/>
          <w:jc w:val="center"/>
        </w:trPr>
        <w:tc>
          <w:tcPr>
            <w:tcW w:w="2551" w:type="dxa"/>
            <w:tcBorders>
              <w:top w:val="single" w:sz="4" w:space="0" w:color="auto"/>
              <w:bottom w:val="single" w:sz="4" w:space="0" w:color="auto"/>
            </w:tcBorders>
            <w:shd w:val="clear" w:color="auto" w:fill="auto"/>
            <w:noWrap/>
            <w:vAlign w:val="center"/>
            <w:hideMark/>
          </w:tcPr>
          <w:p w14:paraId="55A034BD"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SAPT</w:t>
            </w:r>
          </w:p>
        </w:tc>
        <w:tc>
          <w:tcPr>
            <w:tcW w:w="993" w:type="dxa"/>
            <w:tcBorders>
              <w:top w:val="single" w:sz="4" w:space="0" w:color="auto"/>
              <w:bottom w:val="single" w:sz="4" w:space="0" w:color="auto"/>
            </w:tcBorders>
            <w:shd w:val="clear" w:color="auto" w:fill="auto"/>
            <w:noWrap/>
            <w:vAlign w:val="center"/>
            <w:hideMark/>
          </w:tcPr>
          <w:p w14:paraId="7E142720"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Elst</w:t>
            </w:r>
          </w:p>
        </w:tc>
        <w:tc>
          <w:tcPr>
            <w:tcW w:w="992" w:type="dxa"/>
            <w:tcBorders>
              <w:top w:val="single" w:sz="4" w:space="0" w:color="auto"/>
              <w:bottom w:val="single" w:sz="4" w:space="0" w:color="auto"/>
            </w:tcBorders>
            <w:shd w:val="clear" w:color="auto" w:fill="auto"/>
            <w:noWrap/>
            <w:vAlign w:val="center"/>
            <w:hideMark/>
          </w:tcPr>
          <w:p w14:paraId="662DE91D"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Exch</w:t>
            </w:r>
          </w:p>
        </w:tc>
        <w:tc>
          <w:tcPr>
            <w:tcW w:w="927" w:type="dxa"/>
            <w:tcBorders>
              <w:top w:val="single" w:sz="4" w:space="0" w:color="auto"/>
              <w:bottom w:val="single" w:sz="4" w:space="0" w:color="auto"/>
            </w:tcBorders>
            <w:shd w:val="clear" w:color="auto" w:fill="auto"/>
            <w:noWrap/>
            <w:vAlign w:val="center"/>
            <w:hideMark/>
          </w:tcPr>
          <w:p w14:paraId="0A54EC5C"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Ind</w:t>
            </w:r>
          </w:p>
        </w:tc>
        <w:tc>
          <w:tcPr>
            <w:tcW w:w="1019" w:type="dxa"/>
            <w:tcBorders>
              <w:top w:val="single" w:sz="4" w:space="0" w:color="auto"/>
              <w:bottom w:val="single" w:sz="4" w:space="0" w:color="auto"/>
            </w:tcBorders>
            <w:shd w:val="clear" w:color="auto" w:fill="auto"/>
            <w:noWrap/>
            <w:vAlign w:val="center"/>
            <w:hideMark/>
          </w:tcPr>
          <w:p w14:paraId="76FC2B55"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Disp</w:t>
            </w:r>
          </w:p>
        </w:tc>
        <w:tc>
          <w:tcPr>
            <w:tcW w:w="459" w:type="dxa"/>
            <w:tcBorders>
              <w:top w:val="single" w:sz="4" w:space="0" w:color="auto"/>
              <w:bottom w:val="single" w:sz="4" w:space="0" w:color="auto"/>
            </w:tcBorders>
            <w:shd w:val="clear" w:color="auto" w:fill="auto"/>
            <w:noWrap/>
            <w:vAlign w:val="center"/>
            <w:hideMark/>
          </w:tcPr>
          <w:p w14:paraId="431758A2" w14:textId="28970FD2" w:rsidR="00AC2779" w:rsidRPr="00A27141"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CT</w:t>
            </w:r>
          </w:p>
        </w:tc>
        <w:tc>
          <w:tcPr>
            <w:tcW w:w="841" w:type="dxa"/>
            <w:tcBorders>
              <w:top w:val="single" w:sz="4" w:space="0" w:color="auto"/>
              <w:bottom w:val="single" w:sz="4" w:space="0" w:color="auto"/>
            </w:tcBorders>
            <w:shd w:val="clear" w:color="auto" w:fill="auto"/>
            <w:noWrap/>
            <w:vAlign w:val="center"/>
            <w:hideMark/>
          </w:tcPr>
          <w:p w14:paraId="71B02952"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Total</w:t>
            </w:r>
          </w:p>
        </w:tc>
      </w:tr>
      <w:tr w:rsidR="00AC2779" w:rsidRPr="00A27141" w14:paraId="44031667" w14:textId="77777777" w:rsidTr="00AC2779">
        <w:trPr>
          <w:trHeight w:val="306"/>
          <w:jc w:val="center"/>
        </w:trPr>
        <w:tc>
          <w:tcPr>
            <w:tcW w:w="2551" w:type="dxa"/>
            <w:tcBorders>
              <w:top w:val="single" w:sz="4" w:space="0" w:color="auto"/>
            </w:tcBorders>
            <w:shd w:val="clear" w:color="auto" w:fill="auto"/>
            <w:noWrap/>
            <w:vAlign w:val="center"/>
            <w:hideMark/>
          </w:tcPr>
          <w:p w14:paraId="1D717093" w14:textId="229AD2D6"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+0.0)</w:t>
            </w:r>
          </w:p>
        </w:tc>
        <w:tc>
          <w:tcPr>
            <w:tcW w:w="993" w:type="dxa"/>
            <w:tcBorders>
              <w:top w:val="single" w:sz="4" w:space="0" w:color="auto"/>
            </w:tcBorders>
            <w:shd w:val="clear" w:color="auto" w:fill="auto"/>
            <w:noWrap/>
            <w:vAlign w:val="center"/>
            <w:hideMark/>
          </w:tcPr>
          <w:p w14:paraId="23F88C13"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-431.2</w:t>
            </w:r>
          </w:p>
        </w:tc>
        <w:tc>
          <w:tcPr>
            <w:tcW w:w="992" w:type="dxa"/>
            <w:tcBorders>
              <w:top w:val="single" w:sz="4" w:space="0" w:color="auto"/>
            </w:tcBorders>
            <w:shd w:val="clear" w:color="auto" w:fill="auto"/>
            <w:noWrap/>
            <w:vAlign w:val="center"/>
            <w:hideMark/>
          </w:tcPr>
          <w:p w14:paraId="1122721F"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163.0</w:t>
            </w:r>
          </w:p>
        </w:tc>
        <w:tc>
          <w:tcPr>
            <w:tcW w:w="927" w:type="dxa"/>
            <w:tcBorders>
              <w:top w:val="single" w:sz="4" w:space="0" w:color="auto"/>
            </w:tcBorders>
            <w:shd w:val="clear" w:color="auto" w:fill="auto"/>
            <w:noWrap/>
            <w:vAlign w:val="center"/>
            <w:hideMark/>
          </w:tcPr>
          <w:p w14:paraId="7180D218"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-50.0</w:t>
            </w:r>
          </w:p>
        </w:tc>
        <w:tc>
          <w:tcPr>
            <w:tcW w:w="1019" w:type="dxa"/>
            <w:tcBorders>
              <w:top w:val="single" w:sz="4" w:space="0" w:color="auto"/>
            </w:tcBorders>
            <w:shd w:val="clear" w:color="auto" w:fill="auto"/>
            <w:noWrap/>
            <w:vAlign w:val="center"/>
            <w:hideMark/>
          </w:tcPr>
          <w:p w14:paraId="7608E3D1"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-59.0</w:t>
            </w:r>
          </w:p>
        </w:tc>
        <w:tc>
          <w:tcPr>
            <w:tcW w:w="459" w:type="dxa"/>
            <w:tcBorders>
              <w:top w:val="single" w:sz="4" w:space="0" w:color="auto"/>
            </w:tcBorders>
            <w:shd w:val="clear" w:color="auto" w:fill="auto"/>
            <w:noWrap/>
            <w:vAlign w:val="center"/>
            <w:hideMark/>
          </w:tcPr>
          <w:p w14:paraId="4E18C7EE" w14:textId="4646A7FB"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tcBorders>
              <w:top w:val="single" w:sz="4" w:space="0" w:color="auto"/>
            </w:tcBorders>
            <w:shd w:val="clear" w:color="auto" w:fill="auto"/>
            <w:noWrap/>
            <w:vAlign w:val="center"/>
            <w:hideMark/>
          </w:tcPr>
          <w:p w14:paraId="27BACACE"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-377.1</w:t>
            </w:r>
          </w:p>
        </w:tc>
      </w:tr>
      <w:tr w:rsidR="00AC2779" w:rsidRPr="00A27141" w14:paraId="258EF928" w14:textId="77777777" w:rsidTr="00AC2779">
        <w:trPr>
          <w:trHeight w:val="340"/>
          <w:jc w:val="center"/>
        </w:trPr>
        <w:tc>
          <w:tcPr>
            <w:tcW w:w="2551" w:type="dxa"/>
            <w:shd w:val="clear" w:color="auto" w:fill="auto"/>
            <w:noWrap/>
            <w:vAlign w:val="center"/>
            <w:hideMark/>
          </w:tcPr>
          <w:p w14:paraId="457F57E4"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+0.6)</w:t>
            </w:r>
          </w:p>
        </w:tc>
        <w:tc>
          <w:tcPr>
            <w:tcW w:w="993" w:type="dxa"/>
            <w:shd w:val="clear" w:color="auto" w:fill="auto"/>
            <w:noWrap/>
            <w:vAlign w:val="center"/>
            <w:hideMark/>
          </w:tcPr>
          <w:p w14:paraId="415BA3F0"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-339.7</w:t>
            </w:r>
          </w:p>
        </w:tc>
        <w:tc>
          <w:tcPr>
            <w:tcW w:w="992" w:type="dxa"/>
            <w:shd w:val="clear" w:color="auto" w:fill="auto"/>
            <w:noWrap/>
            <w:vAlign w:val="center"/>
            <w:hideMark/>
          </w:tcPr>
          <w:p w14:paraId="73AD0D6B"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28.4</w:t>
            </w:r>
          </w:p>
        </w:tc>
        <w:tc>
          <w:tcPr>
            <w:tcW w:w="927" w:type="dxa"/>
            <w:shd w:val="clear" w:color="auto" w:fill="auto"/>
            <w:noWrap/>
            <w:vAlign w:val="center"/>
            <w:hideMark/>
          </w:tcPr>
          <w:p w14:paraId="50E8BCE7"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-27.8</w:t>
            </w:r>
          </w:p>
        </w:tc>
        <w:tc>
          <w:tcPr>
            <w:tcW w:w="1019" w:type="dxa"/>
            <w:shd w:val="clear" w:color="auto" w:fill="auto"/>
            <w:noWrap/>
            <w:vAlign w:val="center"/>
            <w:hideMark/>
          </w:tcPr>
          <w:p w14:paraId="0BA3CDA7"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-24.5</w:t>
            </w:r>
          </w:p>
        </w:tc>
        <w:tc>
          <w:tcPr>
            <w:tcW w:w="459" w:type="dxa"/>
            <w:shd w:val="clear" w:color="auto" w:fill="auto"/>
            <w:noWrap/>
            <w:vAlign w:val="center"/>
            <w:hideMark/>
          </w:tcPr>
          <w:p w14:paraId="26152A14" w14:textId="1FA726F8"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shd w:val="clear" w:color="auto" w:fill="auto"/>
            <w:noWrap/>
            <w:vAlign w:val="center"/>
            <w:hideMark/>
          </w:tcPr>
          <w:p w14:paraId="14FC13C4"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-363.6</w:t>
            </w:r>
          </w:p>
        </w:tc>
      </w:tr>
      <w:tr w:rsidR="00AC2779" w:rsidRPr="00A27141" w14:paraId="63A741F9" w14:textId="77777777" w:rsidTr="00AC2779">
        <w:trPr>
          <w:trHeight w:val="340"/>
          <w:jc w:val="center"/>
        </w:trPr>
        <w:tc>
          <w:tcPr>
            <w:tcW w:w="2551" w:type="dxa"/>
            <w:shd w:val="clear" w:color="auto" w:fill="auto"/>
            <w:noWrap/>
            <w:vAlign w:val="center"/>
            <w:hideMark/>
          </w:tcPr>
          <w:p w14:paraId="78F93AC9"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mim][BF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+1.0)</w:t>
            </w:r>
          </w:p>
        </w:tc>
        <w:tc>
          <w:tcPr>
            <w:tcW w:w="993" w:type="dxa"/>
            <w:shd w:val="clear" w:color="auto" w:fill="auto"/>
            <w:noWrap/>
            <w:vAlign w:val="center"/>
            <w:hideMark/>
          </w:tcPr>
          <w:p w14:paraId="0C512743"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-309.6</w:t>
            </w:r>
          </w:p>
        </w:tc>
        <w:tc>
          <w:tcPr>
            <w:tcW w:w="992" w:type="dxa"/>
            <w:shd w:val="clear" w:color="auto" w:fill="auto"/>
            <w:noWrap/>
            <w:vAlign w:val="center"/>
            <w:hideMark/>
          </w:tcPr>
          <w:p w14:paraId="205BDABB"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8.5</w:t>
            </w:r>
          </w:p>
        </w:tc>
        <w:tc>
          <w:tcPr>
            <w:tcW w:w="927" w:type="dxa"/>
            <w:shd w:val="clear" w:color="auto" w:fill="auto"/>
            <w:noWrap/>
            <w:vAlign w:val="center"/>
            <w:hideMark/>
          </w:tcPr>
          <w:p w14:paraId="7EE303E8"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-19.7</w:t>
            </w:r>
          </w:p>
        </w:tc>
        <w:tc>
          <w:tcPr>
            <w:tcW w:w="1019" w:type="dxa"/>
            <w:shd w:val="clear" w:color="auto" w:fill="auto"/>
            <w:noWrap/>
            <w:vAlign w:val="center"/>
            <w:hideMark/>
          </w:tcPr>
          <w:p w14:paraId="6619E286"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-13.7</w:t>
            </w:r>
          </w:p>
        </w:tc>
        <w:tc>
          <w:tcPr>
            <w:tcW w:w="459" w:type="dxa"/>
            <w:shd w:val="clear" w:color="auto" w:fill="auto"/>
            <w:noWrap/>
            <w:vAlign w:val="center"/>
            <w:hideMark/>
          </w:tcPr>
          <w:p w14:paraId="0A1429A4" w14:textId="6A8EC950"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shd w:val="clear" w:color="auto" w:fill="auto"/>
            <w:noWrap/>
            <w:vAlign w:val="center"/>
            <w:hideMark/>
          </w:tcPr>
          <w:p w14:paraId="428E2ED4"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-334.5</w:t>
            </w:r>
          </w:p>
        </w:tc>
      </w:tr>
      <w:tr w:rsidR="00AC2779" w:rsidRPr="00A27141" w14:paraId="56DD054E" w14:textId="77777777" w:rsidTr="00AC2779">
        <w:trPr>
          <w:trHeight w:val="340"/>
          <w:jc w:val="center"/>
        </w:trPr>
        <w:tc>
          <w:tcPr>
            <w:tcW w:w="2551" w:type="dxa"/>
            <w:shd w:val="clear" w:color="auto" w:fill="auto"/>
            <w:noWrap/>
            <w:vAlign w:val="center"/>
            <w:hideMark/>
          </w:tcPr>
          <w:p w14:paraId="229AC7D3"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+0.0)</w:t>
            </w:r>
          </w:p>
        </w:tc>
        <w:tc>
          <w:tcPr>
            <w:tcW w:w="993" w:type="dxa"/>
            <w:shd w:val="clear" w:color="auto" w:fill="auto"/>
            <w:noWrap/>
            <w:vAlign w:val="center"/>
            <w:hideMark/>
          </w:tcPr>
          <w:p w14:paraId="26F09F61"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-414.9</w:t>
            </w:r>
          </w:p>
        </w:tc>
        <w:tc>
          <w:tcPr>
            <w:tcW w:w="992" w:type="dxa"/>
            <w:shd w:val="clear" w:color="auto" w:fill="auto"/>
            <w:noWrap/>
            <w:vAlign w:val="center"/>
            <w:hideMark/>
          </w:tcPr>
          <w:p w14:paraId="781F08C7"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158.0</w:t>
            </w:r>
          </w:p>
        </w:tc>
        <w:tc>
          <w:tcPr>
            <w:tcW w:w="927" w:type="dxa"/>
            <w:shd w:val="clear" w:color="auto" w:fill="auto"/>
            <w:noWrap/>
            <w:vAlign w:val="center"/>
            <w:hideMark/>
          </w:tcPr>
          <w:p w14:paraId="59A0B181"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-61.2</w:t>
            </w:r>
          </w:p>
        </w:tc>
        <w:tc>
          <w:tcPr>
            <w:tcW w:w="1019" w:type="dxa"/>
            <w:shd w:val="clear" w:color="auto" w:fill="auto"/>
            <w:noWrap/>
            <w:vAlign w:val="center"/>
            <w:hideMark/>
          </w:tcPr>
          <w:p w14:paraId="04C67B68"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-53.2</w:t>
            </w:r>
          </w:p>
        </w:tc>
        <w:tc>
          <w:tcPr>
            <w:tcW w:w="459" w:type="dxa"/>
            <w:shd w:val="clear" w:color="auto" w:fill="auto"/>
            <w:noWrap/>
            <w:vAlign w:val="center"/>
            <w:hideMark/>
          </w:tcPr>
          <w:p w14:paraId="4D78FA94" w14:textId="02CDFE5F"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shd w:val="clear" w:color="auto" w:fill="auto"/>
            <w:noWrap/>
            <w:vAlign w:val="center"/>
            <w:hideMark/>
          </w:tcPr>
          <w:p w14:paraId="3531E9A4"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-371.3</w:t>
            </w:r>
          </w:p>
        </w:tc>
      </w:tr>
      <w:tr w:rsidR="004F39AC" w:rsidRPr="00A27141" w14:paraId="5E43F827" w14:textId="77777777" w:rsidTr="004F39AC">
        <w:trPr>
          <w:trHeight w:val="340"/>
          <w:jc w:val="center"/>
        </w:trPr>
        <w:tc>
          <w:tcPr>
            <w:tcW w:w="2551" w:type="dxa"/>
            <w:shd w:val="clear" w:color="auto" w:fill="auto"/>
            <w:noWrap/>
            <w:vAlign w:val="center"/>
            <w:hideMark/>
          </w:tcPr>
          <w:p w14:paraId="78215B2C" w14:textId="77777777"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(R</w:t>
            </w:r>
            <w:r w:rsidRPr="00A27141">
              <w:rPr>
                <w:rFonts w:ascii="Calibri" w:eastAsia="Times New Roman" w:hAnsi="Calibri"/>
                <w:color w:val="000000"/>
                <w:sz w:val="22"/>
                <w:szCs w:val="22"/>
                <w:vertAlign w:val="subscript"/>
              </w:rPr>
              <w:t>e</w:t>
            </w:r>
            <w:r w:rsidRPr="00A27141">
              <w:rPr>
                <w:rFonts w:ascii="Calibri" w:eastAsia="Times New Roman" w:hAnsi="Calibri"/>
                <w:color w:val="000000"/>
                <w:sz w:val="22"/>
                <w:szCs w:val="22"/>
              </w:rPr>
              <w:t>+0.6)</w:t>
            </w:r>
          </w:p>
        </w:tc>
        <w:tc>
          <w:tcPr>
            <w:tcW w:w="993" w:type="dxa"/>
            <w:shd w:val="clear" w:color="auto" w:fill="auto"/>
            <w:noWrap/>
            <w:vAlign w:val="center"/>
            <w:hideMark/>
          </w:tcPr>
          <w:p w14:paraId="32B39F05"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-323.4</w:t>
            </w:r>
          </w:p>
        </w:tc>
        <w:tc>
          <w:tcPr>
            <w:tcW w:w="992" w:type="dxa"/>
            <w:shd w:val="clear" w:color="auto" w:fill="auto"/>
            <w:noWrap/>
            <w:vAlign w:val="center"/>
            <w:hideMark/>
          </w:tcPr>
          <w:p w14:paraId="2FE85C5B"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24.4</w:t>
            </w:r>
          </w:p>
        </w:tc>
        <w:tc>
          <w:tcPr>
            <w:tcW w:w="927" w:type="dxa"/>
            <w:shd w:val="clear" w:color="auto" w:fill="auto"/>
            <w:noWrap/>
            <w:vAlign w:val="center"/>
            <w:hideMark/>
          </w:tcPr>
          <w:p w14:paraId="002BEB3A"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-29.9</w:t>
            </w:r>
          </w:p>
        </w:tc>
        <w:tc>
          <w:tcPr>
            <w:tcW w:w="1019" w:type="dxa"/>
            <w:shd w:val="clear" w:color="auto" w:fill="auto"/>
            <w:noWrap/>
            <w:vAlign w:val="center"/>
            <w:hideMark/>
          </w:tcPr>
          <w:p w14:paraId="2FEBAD38"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-20.3</w:t>
            </w:r>
          </w:p>
        </w:tc>
        <w:tc>
          <w:tcPr>
            <w:tcW w:w="459" w:type="dxa"/>
            <w:shd w:val="clear" w:color="auto" w:fill="auto"/>
            <w:noWrap/>
            <w:vAlign w:val="center"/>
            <w:hideMark/>
          </w:tcPr>
          <w:p w14:paraId="7F610A11" w14:textId="33A4431A"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shd w:val="clear" w:color="auto" w:fill="auto"/>
            <w:noWrap/>
            <w:vAlign w:val="center"/>
            <w:hideMark/>
          </w:tcPr>
          <w:p w14:paraId="48CC3CC4"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-349.2</w:t>
            </w:r>
          </w:p>
        </w:tc>
      </w:tr>
      <w:tr w:rsidR="004F39AC" w:rsidRPr="00A27141" w14:paraId="2182ED65" w14:textId="77777777" w:rsidTr="004F39AC">
        <w:trPr>
          <w:trHeight w:val="340"/>
          <w:jc w:val="center"/>
        </w:trPr>
        <w:tc>
          <w:tcPr>
            <w:tcW w:w="2551" w:type="dxa"/>
            <w:tcBorders>
              <w:bottom w:val="single" w:sz="4" w:space="0" w:color="auto"/>
            </w:tcBorders>
            <w:shd w:val="clear" w:color="auto" w:fill="auto"/>
            <w:noWrap/>
            <w:vAlign w:val="center"/>
            <w:hideMark/>
          </w:tcPr>
          <w:p w14:paraId="7093DEE9" w14:textId="1462DD5D" w:rsidR="00A27141" w:rsidRPr="00A27141" w:rsidRDefault="00A27141">
            <w:pPr>
              <w:jc w:val="center"/>
              <w:rPr>
                <w:rFonts w:ascii="Calibri" w:eastAsia="Times New Roman" w:hAnsi="Calibri"/>
                <w:color w:val="000000"/>
                <w:sz w:val="22"/>
                <w:szCs w:val="22"/>
              </w:rPr>
            </w:pPr>
            <w:r w:rsidRPr="00A27141">
              <w:rPr>
                <w:rFonts w:ascii="Calibri" w:eastAsia="Times New Roman" w:hAnsi="Calibri"/>
                <w:color w:val="000000"/>
                <w:sz w:val="22"/>
                <w:szCs w:val="22"/>
              </w:rPr>
              <w:t>[C</w:t>
            </w:r>
            <w:r w:rsidRPr="00A27141">
              <w:rPr>
                <w:rFonts w:ascii="Calibri" w:eastAsia="Times New Roman" w:hAnsi="Calibri"/>
                <w:color w:val="000000"/>
                <w:sz w:val="22"/>
                <w:szCs w:val="22"/>
                <w:vertAlign w:val="subscript"/>
              </w:rPr>
              <w:t>1</w:t>
            </w:r>
            <w:r w:rsidRPr="00A27141">
              <w:rPr>
                <w:rFonts w:ascii="Calibri" w:eastAsia="Times New Roman" w:hAnsi="Calibri"/>
                <w:color w:val="000000"/>
                <w:sz w:val="22"/>
                <w:szCs w:val="22"/>
              </w:rPr>
              <w:t>mpyr][BF</w:t>
            </w:r>
            <w:r w:rsidRPr="00A27141">
              <w:rPr>
                <w:rFonts w:ascii="Calibri" w:eastAsia="Times New Roman" w:hAnsi="Calibri"/>
                <w:color w:val="000000"/>
                <w:sz w:val="22"/>
                <w:szCs w:val="22"/>
                <w:vertAlign w:val="subscript"/>
              </w:rPr>
              <w:t>4</w:t>
            </w:r>
            <w:r w:rsidRPr="00A27141">
              <w:rPr>
                <w:rFonts w:ascii="Calibri" w:eastAsia="Times New Roman" w:hAnsi="Calibri"/>
                <w:color w:val="000000"/>
                <w:sz w:val="22"/>
                <w:szCs w:val="22"/>
              </w:rPr>
              <w:t>] (</w:t>
            </w:r>
            <w:r w:rsidR="00C02EF6" w:rsidRPr="00A27141">
              <w:rPr>
                <w:rFonts w:ascii="Calibri" w:eastAsia="Times New Roman" w:hAnsi="Calibri"/>
                <w:color w:val="000000"/>
                <w:sz w:val="22"/>
                <w:szCs w:val="22"/>
              </w:rPr>
              <w:t>R</w:t>
            </w:r>
            <w:r w:rsidR="00C02EF6" w:rsidRPr="00A27141">
              <w:rPr>
                <w:rFonts w:ascii="Calibri" w:eastAsia="Times New Roman" w:hAnsi="Calibri"/>
                <w:color w:val="000000"/>
                <w:sz w:val="22"/>
                <w:szCs w:val="22"/>
                <w:vertAlign w:val="subscript"/>
              </w:rPr>
              <w:t>e</w:t>
            </w:r>
            <w:r w:rsidR="00C02EF6" w:rsidRPr="00A27141">
              <w:rPr>
                <w:rFonts w:ascii="Calibri" w:eastAsia="Times New Roman" w:hAnsi="Calibri"/>
                <w:color w:val="000000"/>
                <w:sz w:val="22"/>
                <w:szCs w:val="22"/>
              </w:rPr>
              <w:t xml:space="preserve"> </w:t>
            </w:r>
            <w:r w:rsidRPr="00A27141">
              <w:rPr>
                <w:rFonts w:ascii="Calibri" w:eastAsia="Times New Roman" w:hAnsi="Calibri"/>
                <w:color w:val="000000"/>
                <w:sz w:val="22"/>
                <w:szCs w:val="22"/>
              </w:rPr>
              <w:t>+1.0)</w:t>
            </w:r>
          </w:p>
        </w:tc>
        <w:tc>
          <w:tcPr>
            <w:tcW w:w="993" w:type="dxa"/>
            <w:tcBorders>
              <w:bottom w:val="single" w:sz="4" w:space="0" w:color="auto"/>
            </w:tcBorders>
            <w:shd w:val="clear" w:color="auto" w:fill="auto"/>
            <w:noWrap/>
            <w:vAlign w:val="center"/>
            <w:hideMark/>
          </w:tcPr>
          <w:p w14:paraId="73DB7C50"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-293.0</w:t>
            </w:r>
          </w:p>
        </w:tc>
        <w:tc>
          <w:tcPr>
            <w:tcW w:w="992" w:type="dxa"/>
            <w:tcBorders>
              <w:bottom w:val="single" w:sz="4" w:space="0" w:color="auto"/>
            </w:tcBorders>
            <w:shd w:val="clear" w:color="auto" w:fill="auto"/>
            <w:noWrap/>
            <w:vAlign w:val="center"/>
            <w:hideMark/>
          </w:tcPr>
          <w:p w14:paraId="463D0A04"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6.6</w:t>
            </w:r>
          </w:p>
        </w:tc>
        <w:tc>
          <w:tcPr>
            <w:tcW w:w="927" w:type="dxa"/>
            <w:tcBorders>
              <w:bottom w:val="single" w:sz="4" w:space="0" w:color="auto"/>
            </w:tcBorders>
            <w:shd w:val="clear" w:color="auto" w:fill="auto"/>
            <w:noWrap/>
            <w:vAlign w:val="center"/>
            <w:hideMark/>
          </w:tcPr>
          <w:p w14:paraId="2EB60628"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-20.4</w:t>
            </w:r>
          </w:p>
        </w:tc>
        <w:tc>
          <w:tcPr>
            <w:tcW w:w="1019" w:type="dxa"/>
            <w:tcBorders>
              <w:bottom w:val="single" w:sz="4" w:space="0" w:color="auto"/>
            </w:tcBorders>
            <w:shd w:val="clear" w:color="auto" w:fill="auto"/>
            <w:noWrap/>
            <w:vAlign w:val="center"/>
            <w:hideMark/>
          </w:tcPr>
          <w:p w14:paraId="18170A0B"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-10.9</w:t>
            </w:r>
          </w:p>
        </w:tc>
        <w:tc>
          <w:tcPr>
            <w:tcW w:w="459" w:type="dxa"/>
            <w:tcBorders>
              <w:bottom w:val="single" w:sz="4" w:space="0" w:color="auto"/>
            </w:tcBorders>
            <w:shd w:val="clear" w:color="auto" w:fill="auto"/>
            <w:noWrap/>
            <w:vAlign w:val="center"/>
            <w:hideMark/>
          </w:tcPr>
          <w:p w14:paraId="46E915D9" w14:textId="3FAF05F4" w:rsidR="00A27141" w:rsidRPr="00A27141" w:rsidRDefault="00AC2779">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841" w:type="dxa"/>
            <w:tcBorders>
              <w:bottom w:val="single" w:sz="4" w:space="0" w:color="auto"/>
            </w:tcBorders>
            <w:shd w:val="clear" w:color="auto" w:fill="auto"/>
            <w:noWrap/>
            <w:vAlign w:val="center"/>
            <w:hideMark/>
          </w:tcPr>
          <w:p w14:paraId="76F7F51A" w14:textId="77777777" w:rsidR="00A27141" w:rsidRPr="00A27141" w:rsidRDefault="00A27141" w:rsidP="004F39AC">
            <w:pPr>
              <w:jc w:val="right"/>
              <w:rPr>
                <w:rFonts w:ascii="Calibri" w:eastAsia="Times New Roman" w:hAnsi="Calibri"/>
                <w:color w:val="000000"/>
                <w:sz w:val="22"/>
                <w:szCs w:val="22"/>
              </w:rPr>
            </w:pPr>
            <w:r w:rsidRPr="00A27141">
              <w:rPr>
                <w:rFonts w:ascii="Calibri" w:eastAsia="Times New Roman" w:hAnsi="Calibri"/>
                <w:color w:val="000000"/>
                <w:sz w:val="22"/>
                <w:szCs w:val="22"/>
              </w:rPr>
              <w:t>-317.7</w:t>
            </w:r>
          </w:p>
        </w:tc>
      </w:tr>
    </w:tbl>
    <w:p w14:paraId="4D57C267" w14:textId="77777777" w:rsidR="00A27141" w:rsidRDefault="00A27141" w:rsidP="00CC21E5">
      <w:pPr>
        <w:rPr>
          <w:rFonts w:eastAsia="Times New Roman"/>
          <w:i/>
          <w:color w:val="000000"/>
          <w:sz w:val="22"/>
          <w:szCs w:val="22"/>
        </w:rPr>
      </w:pPr>
    </w:p>
    <w:p w14:paraId="04507EDF" w14:textId="77777777" w:rsidR="00AC2779" w:rsidRDefault="00AC2779" w:rsidP="00CC21E5">
      <w:pPr>
        <w:rPr>
          <w:rFonts w:eastAsia="Times New Roman"/>
          <w:i/>
          <w:color w:val="000000"/>
          <w:sz w:val="22"/>
          <w:szCs w:val="22"/>
        </w:rPr>
      </w:pPr>
    </w:p>
    <w:p w14:paraId="5D361A5E" w14:textId="77777777" w:rsidR="00AC2779" w:rsidRPr="00AB6CC4" w:rsidRDefault="00AC2779" w:rsidP="00CC21E5">
      <w:pPr>
        <w:rPr>
          <w:rFonts w:eastAsia="Times New Roman"/>
          <w:i/>
          <w:color w:val="000000"/>
          <w:sz w:val="22"/>
          <w:szCs w:val="22"/>
        </w:rPr>
      </w:pPr>
    </w:p>
    <w:p w14:paraId="4D2E0D4D" w14:textId="051B3DEE" w:rsidR="00C02EF6" w:rsidRDefault="00C02EF6" w:rsidP="00C02EF6">
      <w:pPr>
        <w:pStyle w:val="Caption"/>
        <w:keepNext/>
      </w:pPr>
      <w:r>
        <w:t xml:space="preserve">Table </w:t>
      </w:r>
      <w:fldSimple w:instr=" SEQ Table \* ARABIC ">
        <w:r>
          <w:rPr>
            <w:noProof/>
          </w:rPr>
          <w:t>3</w:t>
        </w:r>
      </w:fldSimple>
      <w:r>
        <w:t>. Differences between SAPT and EFP energies: E(SAPT - EFP)</w:t>
      </w:r>
      <w:r>
        <w:rPr>
          <w:noProof/>
        </w:rPr>
        <w:t xml:space="preserve"> (kJ/mol)</w:t>
      </w:r>
    </w:p>
    <w:tbl>
      <w:tblPr>
        <w:tblW w:w="7232" w:type="dxa"/>
        <w:jc w:val="center"/>
        <w:tblLayout w:type="fixed"/>
        <w:tblLook w:val="04A0" w:firstRow="1" w:lastRow="0" w:firstColumn="1" w:lastColumn="0" w:noHBand="0" w:noVBand="1"/>
      </w:tblPr>
      <w:tblGrid>
        <w:gridCol w:w="2410"/>
        <w:gridCol w:w="741"/>
        <w:gridCol w:w="1101"/>
        <w:gridCol w:w="851"/>
        <w:gridCol w:w="850"/>
        <w:gridCol w:w="426"/>
        <w:gridCol w:w="57"/>
        <w:gridCol w:w="796"/>
      </w:tblGrid>
      <w:tr w:rsidR="004F39AC" w:rsidRPr="00AC2779" w14:paraId="6688BC7D" w14:textId="77777777" w:rsidTr="004F39AC">
        <w:trPr>
          <w:trHeight w:val="320"/>
          <w:jc w:val="center"/>
        </w:trPr>
        <w:tc>
          <w:tcPr>
            <w:tcW w:w="2410" w:type="dxa"/>
            <w:tcBorders>
              <w:top w:val="single" w:sz="4" w:space="0" w:color="auto"/>
              <w:bottom w:val="single" w:sz="4" w:space="0" w:color="auto"/>
            </w:tcBorders>
            <w:shd w:val="clear" w:color="auto" w:fill="auto"/>
            <w:noWrap/>
            <w:vAlign w:val="center"/>
            <w:hideMark/>
          </w:tcPr>
          <w:p w14:paraId="6C4FE365"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Differences (kJ/mol)</w:t>
            </w:r>
          </w:p>
        </w:tc>
        <w:tc>
          <w:tcPr>
            <w:tcW w:w="741" w:type="dxa"/>
            <w:tcBorders>
              <w:top w:val="single" w:sz="4" w:space="0" w:color="auto"/>
              <w:bottom w:val="single" w:sz="4" w:space="0" w:color="auto"/>
            </w:tcBorders>
            <w:shd w:val="clear" w:color="auto" w:fill="auto"/>
            <w:noWrap/>
            <w:vAlign w:val="center"/>
            <w:hideMark/>
          </w:tcPr>
          <w:p w14:paraId="4FD377BA"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Elst</w:t>
            </w:r>
          </w:p>
        </w:tc>
        <w:tc>
          <w:tcPr>
            <w:tcW w:w="1101" w:type="dxa"/>
            <w:tcBorders>
              <w:top w:val="single" w:sz="4" w:space="0" w:color="auto"/>
              <w:bottom w:val="single" w:sz="4" w:space="0" w:color="auto"/>
            </w:tcBorders>
            <w:shd w:val="clear" w:color="auto" w:fill="auto"/>
            <w:noWrap/>
            <w:vAlign w:val="center"/>
            <w:hideMark/>
          </w:tcPr>
          <w:p w14:paraId="7EA4F2E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Exch</w:t>
            </w:r>
          </w:p>
        </w:tc>
        <w:tc>
          <w:tcPr>
            <w:tcW w:w="851" w:type="dxa"/>
            <w:tcBorders>
              <w:top w:val="single" w:sz="4" w:space="0" w:color="auto"/>
              <w:bottom w:val="single" w:sz="4" w:space="0" w:color="auto"/>
            </w:tcBorders>
            <w:shd w:val="clear" w:color="auto" w:fill="auto"/>
            <w:noWrap/>
            <w:vAlign w:val="center"/>
            <w:hideMark/>
          </w:tcPr>
          <w:p w14:paraId="1907B46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Ind</w:t>
            </w:r>
          </w:p>
        </w:tc>
        <w:tc>
          <w:tcPr>
            <w:tcW w:w="850" w:type="dxa"/>
            <w:tcBorders>
              <w:top w:val="single" w:sz="4" w:space="0" w:color="auto"/>
              <w:bottom w:val="single" w:sz="4" w:space="0" w:color="auto"/>
            </w:tcBorders>
            <w:shd w:val="clear" w:color="auto" w:fill="auto"/>
            <w:noWrap/>
            <w:vAlign w:val="center"/>
            <w:hideMark/>
          </w:tcPr>
          <w:p w14:paraId="57A0B2A7"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Disp</w:t>
            </w:r>
          </w:p>
        </w:tc>
        <w:tc>
          <w:tcPr>
            <w:tcW w:w="483" w:type="dxa"/>
            <w:gridSpan w:val="2"/>
            <w:tcBorders>
              <w:top w:val="single" w:sz="4" w:space="0" w:color="auto"/>
              <w:bottom w:val="single" w:sz="4" w:space="0" w:color="auto"/>
            </w:tcBorders>
            <w:shd w:val="clear" w:color="auto" w:fill="auto"/>
            <w:noWrap/>
            <w:vAlign w:val="center"/>
            <w:hideMark/>
          </w:tcPr>
          <w:p w14:paraId="4AF28556" w14:textId="7F9E5D0A"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CT</w:t>
            </w:r>
          </w:p>
        </w:tc>
        <w:tc>
          <w:tcPr>
            <w:tcW w:w="796" w:type="dxa"/>
            <w:tcBorders>
              <w:top w:val="single" w:sz="4" w:space="0" w:color="auto"/>
              <w:bottom w:val="single" w:sz="4" w:space="0" w:color="auto"/>
            </w:tcBorders>
            <w:shd w:val="clear" w:color="auto" w:fill="auto"/>
            <w:noWrap/>
            <w:vAlign w:val="center"/>
            <w:hideMark/>
          </w:tcPr>
          <w:p w14:paraId="54F217D2"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Total</w:t>
            </w:r>
          </w:p>
        </w:tc>
      </w:tr>
      <w:tr w:rsidR="004F39AC" w:rsidRPr="00AC2779" w14:paraId="110657A2" w14:textId="77777777" w:rsidTr="004F39AC">
        <w:trPr>
          <w:trHeight w:val="340"/>
          <w:jc w:val="center"/>
        </w:trPr>
        <w:tc>
          <w:tcPr>
            <w:tcW w:w="2410" w:type="dxa"/>
            <w:tcBorders>
              <w:top w:val="single" w:sz="4" w:space="0" w:color="auto"/>
            </w:tcBorders>
            <w:shd w:val="clear" w:color="auto" w:fill="auto"/>
            <w:noWrap/>
            <w:vAlign w:val="center"/>
            <w:hideMark/>
          </w:tcPr>
          <w:p w14:paraId="26B3E226"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+0.0)</w:t>
            </w:r>
          </w:p>
        </w:tc>
        <w:tc>
          <w:tcPr>
            <w:tcW w:w="741" w:type="dxa"/>
            <w:tcBorders>
              <w:top w:val="single" w:sz="4" w:space="0" w:color="auto"/>
            </w:tcBorders>
            <w:shd w:val="clear" w:color="auto" w:fill="auto"/>
            <w:noWrap/>
            <w:vAlign w:val="center"/>
            <w:hideMark/>
          </w:tcPr>
          <w:p w14:paraId="5DF7A45E"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-38.3</w:t>
            </w:r>
          </w:p>
        </w:tc>
        <w:tc>
          <w:tcPr>
            <w:tcW w:w="1101" w:type="dxa"/>
            <w:tcBorders>
              <w:top w:val="single" w:sz="4" w:space="0" w:color="auto"/>
            </w:tcBorders>
            <w:shd w:val="clear" w:color="auto" w:fill="auto"/>
            <w:noWrap/>
            <w:vAlign w:val="center"/>
            <w:hideMark/>
          </w:tcPr>
          <w:p w14:paraId="00699ED1"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91.5</w:t>
            </w:r>
          </w:p>
        </w:tc>
        <w:tc>
          <w:tcPr>
            <w:tcW w:w="851" w:type="dxa"/>
            <w:tcBorders>
              <w:top w:val="single" w:sz="4" w:space="0" w:color="auto"/>
            </w:tcBorders>
            <w:shd w:val="clear" w:color="auto" w:fill="auto"/>
            <w:noWrap/>
            <w:vAlign w:val="center"/>
            <w:hideMark/>
          </w:tcPr>
          <w:p w14:paraId="6EFE644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-17.3</w:t>
            </w:r>
          </w:p>
        </w:tc>
        <w:tc>
          <w:tcPr>
            <w:tcW w:w="850" w:type="dxa"/>
            <w:tcBorders>
              <w:top w:val="single" w:sz="4" w:space="0" w:color="auto"/>
            </w:tcBorders>
            <w:shd w:val="clear" w:color="auto" w:fill="auto"/>
            <w:noWrap/>
            <w:vAlign w:val="center"/>
            <w:hideMark/>
          </w:tcPr>
          <w:p w14:paraId="305A0C61"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-3.4</w:t>
            </w:r>
          </w:p>
        </w:tc>
        <w:tc>
          <w:tcPr>
            <w:tcW w:w="426" w:type="dxa"/>
            <w:tcBorders>
              <w:top w:val="single" w:sz="4" w:space="0" w:color="auto"/>
            </w:tcBorders>
            <w:shd w:val="clear" w:color="auto" w:fill="auto"/>
            <w:noWrap/>
            <w:vAlign w:val="center"/>
            <w:hideMark/>
          </w:tcPr>
          <w:p w14:paraId="0999AE99" w14:textId="7964411D"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tcBorders>
              <w:top w:val="single" w:sz="4" w:space="0" w:color="auto"/>
            </w:tcBorders>
            <w:shd w:val="clear" w:color="auto" w:fill="auto"/>
            <w:noWrap/>
            <w:vAlign w:val="center"/>
            <w:hideMark/>
          </w:tcPr>
          <w:p w14:paraId="67CBD063"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35.0</w:t>
            </w:r>
          </w:p>
        </w:tc>
      </w:tr>
      <w:tr w:rsidR="004F39AC" w:rsidRPr="00AC2779" w14:paraId="36A0AB5C" w14:textId="77777777" w:rsidTr="004F39AC">
        <w:trPr>
          <w:trHeight w:val="340"/>
          <w:jc w:val="center"/>
        </w:trPr>
        <w:tc>
          <w:tcPr>
            <w:tcW w:w="2410" w:type="dxa"/>
            <w:shd w:val="clear" w:color="auto" w:fill="auto"/>
            <w:noWrap/>
            <w:vAlign w:val="center"/>
            <w:hideMark/>
          </w:tcPr>
          <w:p w14:paraId="3B5CAA62"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741" w:type="dxa"/>
            <w:shd w:val="clear" w:color="auto" w:fill="auto"/>
            <w:noWrap/>
            <w:vAlign w:val="center"/>
            <w:hideMark/>
          </w:tcPr>
          <w:p w14:paraId="6D0144D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5.4</w:t>
            </w:r>
          </w:p>
        </w:tc>
        <w:tc>
          <w:tcPr>
            <w:tcW w:w="1101" w:type="dxa"/>
            <w:shd w:val="clear" w:color="auto" w:fill="auto"/>
            <w:noWrap/>
            <w:vAlign w:val="center"/>
            <w:hideMark/>
          </w:tcPr>
          <w:p w14:paraId="64BB0B1A"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7.8</w:t>
            </w:r>
          </w:p>
        </w:tc>
        <w:tc>
          <w:tcPr>
            <w:tcW w:w="851" w:type="dxa"/>
            <w:shd w:val="clear" w:color="auto" w:fill="auto"/>
            <w:noWrap/>
            <w:vAlign w:val="center"/>
            <w:hideMark/>
          </w:tcPr>
          <w:p w14:paraId="76A5CF5D"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-3.9</w:t>
            </w:r>
          </w:p>
        </w:tc>
        <w:tc>
          <w:tcPr>
            <w:tcW w:w="850" w:type="dxa"/>
            <w:shd w:val="clear" w:color="auto" w:fill="auto"/>
            <w:noWrap/>
            <w:vAlign w:val="center"/>
            <w:hideMark/>
          </w:tcPr>
          <w:p w14:paraId="52112AB4"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-0.7</w:t>
            </w:r>
          </w:p>
        </w:tc>
        <w:tc>
          <w:tcPr>
            <w:tcW w:w="426" w:type="dxa"/>
            <w:shd w:val="clear" w:color="auto" w:fill="auto"/>
            <w:noWrap/>
            <w:vAlign w:val="center"/>
            <w:hideMark/>
          </w:tcPr>
          <w:p w14:paraId="77A02869" w14:textId="1622F8BD"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shd w:val="clear" w:color="auto" w:fill="auto"/>
            <w:noWrap/>
            <w:vAlign w:val="center"/>
            <w:hideMark/>
          </w:tcPr>
          <w:p w14:paraId="563B28FF"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9.1</w:t>
            </w:r>
          </w:p>
        </w:tc>
      </w:tr>
      <w:tr w:rsidR="004F39AC" w:rsidRPr="00AC2779" w14:paraId="4BFECAA3" w14:textId="77777777" w:rsidTr="004F39AC">
        <w:trPr>
          <w:trHeight w:val="340"/>
          <w:jc w:val="center"/>
        </w:trPr>
        <w:tc>
          <w:tcPr>
            <w:tcW w:w="2410" w:type="dxa"/>
            <w:shd w:val="clear" w:color="auto" w:fill="auto"/>
            <w:noWrap/>
            <w:vAlign w:val="center"/>
            <w:hideMark/>
          </w:tcPr>
          <w:p w14:paraId="4CDAB167"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741" w:type="dxa"/>
            <w:shd w:val="clear" w:color="auto" w:fill="auto"/>
            <w:noWrap/>
            <w:vAlign w:val="center"/>
            <w:hideMark/>
          </w:tcPr>
          <w:p w14:paraId="7CD4931B"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4.4</w:t>
            </w:r>
          </w:p>
        </w:tc>
        <w:tc>
          <w:tcPr>
            <w:tcW w:w="1101" w:type="dxa"/>
            <w:shd w:val="clear" w:color="auto" w:fill="auto"/>
            <w:noWrap/>
            <w:vAlign w:val="center"/>
            <w:hideMark/>
          </w:tcPr>
          <w:p w14:paraId="021C7916"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2.4</w:t>
            </w:r>
          </w:p>
        </w:tc>
        <w:tc>
          <w:tcPr>
            <w:tcW w:w="851" w:type="dxa"/>
            <w:shd w:val="clear" w:color="auto" w:fill="auto"/>
            <w:noWrap/>
            <w:vAlign w:val="center"/>
            <w:hideMark/>
          </w:tcPr>
          <w:p w14:paraId="195DE14A"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-1.9</w:t>
            </w:r>
          </w:p>
        </w:tc>
        <w:tc>
          <w:tcPr>
            <w:tcW w:w="850" w:type="dxa"/>
            <w:shd w:val="clear" w:color="auto" w:fill="auto"/>
            <w:noWrap/>
            <w:vAlign w:val="center"/>
            <w:hideMark/>
          </w:tcPr>
          <w:p w14:paraId="41989260"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-0.2</w:t>
            </w:r>
          </w:p>
        </w:tc>
        <w:tc>
          <w:tcPr>
            <w:tcW w:w="426" w:type="dxa"/>
            <w:shd w:val="clear" w:color="auto" w:fill="auto"/>
            <w:noWrap/>
            <w:vAlign w:val="center"/>
            <w:hideMark/>
          </w:tcPr>
          <w:p w14:paraId="15344A17" w14:textId="56AD203C"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shd w:val="clear" w:color="auto" w:fill="auto"/>
            <w:noWrap/>
            <w:vAlign w:val="center"/>
            <w:hideMark/>
          </w:tcPr>
          <w:p w14:paraId="120B0656"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4.8</w:t>
            </w:r>
          </w:p>
        </w:tc>
      </w:tr>
      <w:tr w:rsidR="004F39AC" w:rsidRPr="00AC2779" w14:paraId="43105152" w14:textId="77777777" w:rsidTr="004F39AC">
        <w:trPr>
          <w:trHeight w:val="340"/>
          <w:jc w:val="center"/>
        </w:trPr>
        <w:tc>
          <w:tcPr>
            <w:tcW w:w="2410" w:type="dxa"/>
            <w:shd w:val="clear" w:color="auto" w:fill="auto"/>
            <w:noWrap/>
            <w:vAlign w:val="center"/>
            <w:hideMark/>
          </w:tcPr>
          <w:p w14:paraId="08B0AE4D"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+0.0)</w:t>
            </w:r>
          </w:p>
        </w:tc>
        <w:tc>
          <w:tcPr>
            <w:tcW w:w="741" w:type="dxa"/>
            <w:shd w:val="clear" w:color="auto" w:fill="auto"/>
            <w:noWrap/>
            <w:vAlign w:val="center"/>
            <w:hideMark/>
          </w:tcPr>
          <w:p w14:paraId="7D1B86B4"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-38.6</w:t>
            </w:r>
          </w:p>
        </w:tc>
        <w:tc>
          <w:tcPr>
            <w:tcW w:w="1101" w:type="dxa"/>
            <w:shd w:val="clear" w:color="auto" w:fill="auto"/>
            <w:noWrap/>
            <w:vAlign w:val="center"/>
            <w:hideMark/>
          </w:tcPr>
          <w:p w14:paraId="240B9337"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94.8</w:t>
            </w:r>
          </w:p>
        </w:tc>
        <w:tc>
          <w:tcPr>
            <w:tcW w:w="851" w:type="dxa"/>
            <w:shd w:val="clear" w:color="auto" w:fill="auto"/>
            <w:noWrap/>
            <w:vAlign w:val="center"/>
            <w:hideMark/>
          </w:tcPr>
          <w:p w14:paraId="6B1B6724"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-23.6</w:t>
            </w:r>
          </w:p>
        </w:tc>
        <w:tc>
          <w:tcPr>
            <w:tcW w:w="850" w:type="dxa"/>
            <w:shd w:val="clear" w:color="auto" w:fill="auto"/>
            <w:noWrap/>
            <w:vAlign w:val="center"/>
            <w:hideMark/>
          </w:tcPr>
          <w:p w14:paraId="1550B8D5"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-10.1</w:t>
            </w:r>
          </w:p>
        </w:tc>
        <w:tc>
          <w:tcPr>
            <w:tcW w:w="426" w:type="dxa"/>
            <w:shd w:val="clear" w:color="auto" w:fill="auto"/>
            <w:noWrap/>
            <w:vAlign w:val="center"/>
            <w:hideMark/>
          </w:tcPr>
          <w:p w14:paraId="54CF7475" w14:textId="4ABA72C4"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shd w:val="clear" w:color="auto" w:fill="auto"/>
            <w:noWrap/>
            <w:vAlign w:val="center"/>
            <w:hideMark/>
          </w:tcPr>
          <w:p w14:paraId="35B3855F"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26.7</w:t>
            </w:r>
          </w:p>
        </w:tc>
      </w:tr>
      <w:tr w:rsidR="004F39AC" w:rsidRPr="00AC2779" w14:paraId="4C2CAB56" w14:textId="77777777" w:rsidTr="004F39AC">
        <w:trPr>
          <w:trHeight w:val="340"/>
          <w:jc w:val="center"/>
        </w:trPr>
        <w:tc>
          <w:tcPr>
            <w:tcW w:w="2410" w:type="dxa"/>
            <w:shd w:val="clear" w:color="auto" w:fill="auto"/>
            <w:noWrap/>
            <w:vAlign w:val="center"/>
            <w:hideMark/>
          </w:tcPr>
          <w:p w14:paraId="640C9F63"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741" w:type="dxa"/>
            <w:shd w:val="clear" w:color="auto" w:fill="auto"/>
            <w:noWrap/>
            <w:vAlign w:val="center"/>
            <w:hideMark/>
          </w:tcPr>
          <w:p w14:paraId="534B88AF"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1.6</w:t>
            </w:r>
          </w:p>
        </w:tc>
        <w:tc>
          <w:tcPr>
            <w:tcW w:w="1101" w:type="dxa"/>
            <w:shd w:val="clear" w:color="auto" w:fill="auto"/>
            <w:noWrap/>
            <w:vAlign w:val="center"/>
            <w:hideMark/>
          </w:tcPr>
          <w:p w14:paraId="13C774BF"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7.6</w:t>
            </w:r>
          </w:p>
        </w:tc>
        <w:tc>
          <w:tcPr>
            <w:tcW w:w="851" w:type="dxa"/>
            <w:shd w:val="clear" w:color="auto" w:fill="auto"/>
            <w:noWrap/>
            <w:vAlign w:val="center"/>
            <w:hideMark/>
          </w:tcPr>
          <w:p w14:paraId="65D68EB0"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w:t>
            </w:r>
          </w:p>
        </w:tc>
        <w:tc>
          <w:tcPr>
            <w:tcW w:w="850" w:type="dxa"/>
            <w:shd w:val="clear" w:color="auto" w:fill="auto"/>
            <w:noWrap/>
            <w:vAlign w:val="center"/>
            <w:hideMark/>
          </w:tcPr>
          <w:p w14:paraId="732CE4D4"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w:t>
            </w:r>
          </w:p>
        </w:tc>
        <w:tc>
          <w:tcPr>
            <w:tcW w:w="426" w:type="dxa"/>
            <w:shd w:val="clear" w:color="auto" w:fill="auto"/>
            <w:noWrap/>
            <w:vAlign w:val="center"/>
            <w:hideMark/>
          </w:tcPr>
          <w:p w14:paraId="1C5392A0" w14:textId="6DD1A24A"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shd w:val="clear" w:color="auto" w:fill="auto"/>
            <w:noWrap/>
            <w:vAlign w:val="center"/>
            <w:hideMark/>
          </w:tcPr>
          <w:p w14:paraId="4D2CD679"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4.0</w:t>
            </w:r>
          </w:p>
        </w:tc>
      </w:tr>
      <w:tr w:rsidR="004F39AC" w:rsidRPr="00AC2779" w14:paraId="076B1F26" w14:textId="77777777" w:rsidTr="004F39AC">
        <w:trPr>
          <w:trHeight w:val="340"/>
          <w:jc w:val="center"/>
        </w:trPr>
        <w:tc>
          <w:tcPr>
            <w:tcW w:w="2410" w:type="dxa"/>
            <w:tcBorders>
              <w:bottom w:val="single" w:sz="4" w:space="0" w:color="auto"/>
            </w:tcBorders>
            <w:shd w:val="clear" w:color="auto" w:fill="auto"/>
            <w:noWrap/>
            <w:vAlign w:val="center"/>
            <w:hideMark/>
          </w:tcPr>
          <w:p w14:paraId="68B5D1BD"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741" w:type="dxa"/>
            <w:tcBorders>
              <w:bottom w:val="single" w:sz="4" w:space="0" w:color="auto"/>
            </w:tcBorders>
            <w:shd w:val="clear" w:color="auto" w:fill="auto"/>
            <w:noWrap/>
            <w:vAlign w:val="center"/>
            <w:hideMark/>
          </w:tcPr>
          <w:p w14:paraId="223C3526"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w:t>
            </w:r>
          </w:p>
        </w:tc>
        <w:tc>
          <w:tcPr>
            <w:tcW w:w="1101" w:type="dxa"/>
            <w:tcBorders>
              <w:bottom w:val="single" w:sz="4" w:space="0" w:color="auto"/>
            </w:tcBorders>
            <w:shd w:val="clear" w:color="auto" w:fill="auto"/>
            <w:noWrap/>
            <w:vAlign w:val="center"/>
            <w:hideMark/>
          </w:tcPr>
          <w:p w14:paraId="7ACFC573"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1.7</w:t>
            </w:r>
          </w:p>
        </w:tc>
        <w:tc>
          <w:tcPr>
            <w:tcW w:w="851" w:type="dxa"/>
            <w:tcBorders>
              <w:bottom w:val="single" w:sz="4" w:space="0" w:color="auto"/>
            </w:tcBorders>
            <w:shd w:val="clear" w:color="auto" w:fill="auto"/>
            <w:noWrap/>
            <w:vAlign w:val="center"/>
            <w:hideMark/>
          </w:tcPr>
          <w:p w14:paraId="0FD6B40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-1.8</w:t>
            </w:r>
          </w:p>
        </w:tc>
        <w:tc>
          <w:tcPr>
            <w:tcW w:w="850" w:type="dxa"/>
            <w:tcBorders>
              <w:bottom w:val="single" w:sz="4" w:space="0" w:color="auto"/>
            </w:tcBorders>
            <w:shd w:val="clear" w:color="auto" w:fill="auto"/>
            <w:noWrap/>
            <w:vAlign w:val="center"/>
            <w:hideMark/>
          </w:tcPr>
          <w:p w14:paraId="3AC55612"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-1.1</w:t>
            </w:r>
          </w:p>
        </w:tc>
        <w:tc>
          <w:tcPr>
            <w:tcW w:w="426" w:type="dxa"/>
            <w:tcBorders>
              <w:bottom w:val="single" w:sz="4" w:space="0" w:color="auto"/>
            </w:tcBorders>
            <w:shd w:val="clear" w:color="auto" w:fill="auto"/>
            <w:noWrap/>
            <w:vAlign w:val="center"/>
            <w:hideMark/>
          </w:tcPr>
          <w:p w14:paraId="3F83CF19" w14:textId="1E4BEFF7" w:rsidR="00AC2779" w:rsidRPr="00AC2779" w:rsidRDefault="00AC2779" w:rsidP="004F39AC">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853" w:type="dxa"/>
            <w:gridSpan w:val="2"/>
            <w:tcBorders>
              <w:bottom w:val="single" w:sz="4" w:space="0" w:color="auto"/>
            </w:tcBorders>
            <w:shd w:val="clear" w:color="auto" w:fill="auto"/>
            <w:noWrap/>
            <w:vAlign w:val="center"/>
            <w:hideMark/>
          </w:tcPr>
          <w:p w14:paraId="3EACD4C3"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0.2</w:t>
            </w:r>
          </w:p>
        </w:tc>
      </w:tr>
    </w:tbl>
    <w:p w14:paraId="46916E0A" w14:textId="77777777" w:rsidR="00435424" w:rsidRDefault="00435424" w:rsidP="00CC21E5">
      <w:pPr>
        <w:rPr>
          <w:rFonts w:eastAsia="Times New Roman"/>
          <w:color w:val="000000"/>
          <w:sz w:val="22"/>
          <w:szCs w:val="22"/>
        </w:rPr>
      </w:pPr>
    </w:p>
    <w:p w14:paraId="45086C9F" w14:textId="783111EA" w:rsidR="00C02EF6" w:rsidRDefault="00C02EF6" w:rsidP="00C02EF6">
      <w:pPr>
        <w:pStyle w:val="Caption"/>
        <w:keepNext/>
      </w:pPr>
      <w:r>
        <w:t xml:space="preserve">Table </w:t>
      </w:r>
      <w:fldSimple w:instr=" SEQ Table \* ARABIC ">
        <w:r>
          <w:rPr>
            <w:noProof/>
          </w:rPr>
          <w:t>4</w:t>
        </w:r>
      </w:fldSimple>
      <w:r>
        <w:t>. Percentage differences:  E(SAPT - EFP)/E(SAPT)</w:t>
      </w:r>
      <w:r>
        <w:rPr>
          <w:noProof/>
        </w:rPr>
        <w:t xml:space="preserve"> (kJ/mol)</w:t>
      </w:r>
    </w:p>
    <w:tbl>
      <w:tblPr>
        <w:tblW w:w="7229" w:type="dxa"/>
        <w:jc w:val="center"/>
        <w:tblLayout w:type="fixed"/>
        <w:tblLook w:val="04A0" w:firstRow="1" w:lastRow="0" w:firstColumn="1" w:lastColumn="0" w:noHBand="0" w:noVBand="1"/>
      </w:tblPr>
      <w:tblGrid>
        <w:gridCol w:w="2693"/>
        <w:gridCol w:w="567"/>
        <w:gridCol w:w="992"/>
        <w:gridCol w:w="851"/>
        <w:gridCol w:w="850"/>
        <w:gridCol w:w="567"/>
        <w:gridCol w:w="709"/>
      </w:tblGrid>
      <w:tr w:rsidR="004F39AC" w:rsidRPr="00AC2779" w14:paraId="4FA7CB84" w14:textId="77777777" w:rsidTr="004F39AC">
        <w:trPr>
          <w:trHeight w:val="339"/>
          <w:jc w:val="center"/>
        </w:trPr>
        <w:tc>
          <w:tcPr>
            <w:tcW w:w="2693" w:type="dxa"/>
            <w:tcBorders>
              <w:top w:val="single" w:sz="4" w:space="0" w:color="auto"/>
              <w:bottom w:val="single" w:sz="4" w:space="0" w:color="auto"/>
            </w:tcBorders>
            <w:shd w:val="clear" w:color="auto" w:fill="auto"/>
            <w:noWrap/>
            <w:vAlign w:val="center"/>
            <w:hideMark/>
          </w:tcPr>
          <w:p w14:paraId="1978AFF6"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Relative Differences (%)</w:t>
            </w:r>
          </w:p>
        </w:tc>
        <w:tc>
          <w:tcPr>
            <w:tcW w:w="567" w:type="dxa"/>
            <w:tcBorders>
              <w:top w:val="single" w:sz="4" w:space="0" w:color="auto"/>
              <w:bottom w:val="single" w:sz="4" w:space="0" w:color="auto"/>
            </w:tcBorders>
            <w:shd w:val="clear" w:color="auto" w:fill="auto"/>
            <w:noWrap/>
            <w:vAlign w:val="center"/>
            <w:hideMark/>
          </w:tcPr>
          <w:p w14:paraId="46033946"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Elst</w:t>
            </w:r>
          </w:p>
        </w:tc>
        <w:tc>
          <w:tcPr>
            <w:tcW w:w="992" w:type="dxa"/>
            <w:tcBorders>
              <w:top w:val="single" w:sz="4" w:space="0" w:color="auto"/>
              <w:bottom w:val="single" w:sz="4" w:space="0" w:color="auto"/>
            </w:tcBorders>
            <w:shd w:val="clear" w:color="auto" w:fill="auto"/>
            <w:noWrap/>
            <w:vAlign w:val="center"/>
            <w:hideMark/>
          </w:tcPr>
          <w:p w14:paraId="04B90228"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Exch</w:t>
            </w:r>
          </w:p>
        </w:tc>
        <w:tc>
          <w:tcPr>
            <w:tcW w:w="851" w:type="dxa"/>
            <w:tcBorders>
              <w:top w:val="single" w:sz="4" w:space="0" w:color="auto"/>
              <w:bottom w:val="single" w:sz="4" w:space="0" w:color="auto"/>
            </w:tcBorders>
            <w:shd w:val="clear" w:color="auto" w:fill="auto"/>
            <w:noWrap/>
            <w:vAlign w:val="center"/>
            <w:hideMark/>
          </w:tcPr>
          <w:p w14:paraId="48947632"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Ind</w:t>
            </w:r>
          </w:p>
        </w:tc>
        <w:tc>
          <w:tcPr>
            <w:tcW w:w="850" w:type="dxa"/>
            <w:tcBorders>
              <w:top w:val="single" w:sz="4" w:space="0" w:color="auto"/>
              <w:bottom w:val="single" w:sz="4" w:space="0" w:color="auto"/>
            </w:tcBorders>
            <w:shd w:val="clear" w:color="auto" w:fill="auto"/>
            <w:noWrap/>
            <w:vAlign w:val="center"/>
            <w:hideMark/>
          </w:tcPr>
          <w:p w14:paraId="028748D0"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Disp</w:t>
            </w:r>
          </w:p>
        </w:tc>
        <w:tc>
          <w:tcPr>
            <w:tcW w:w="567" w:type="dxa"/>
            <w:tcBorders>
              <w:top w:val="single" w:sz="4" w:space="0" w:color="auto"/>
              <w:bottom w:val="single" w:sz="4" w:space="0" w:color="auto"/>
            </w:tcBorders>
            <w:shd w:val="clear" w:color="auto" w:fill="auto"/>
            <w:noWrap/>
            <w:vAlign w:val="center"/>
            <w:hideMark/>
          </w:tcPr>
          <w:p w14:paraId="1B011594" w14:textId="343B4402" w:rsidR="00AC2779" w:rsidRPr="00AC2779" w:rsidRDefault="00AC2779">
            <w:pPr>
              <w:jc w:val="center"/>
              <w:rPr>
                <w:rFonts w:ascii="Calibri" w:eastAsia="Times New Roman" w:hAnsi="Calibri"/>
                <w:color w:val="000000"/>
                <w:sz w:val="22"/>
                <w:szCs w:val="22"/>
              </w:rPr>
            </w:pPr>
            <w:r>
              <w:rPr>
                <w:rFonts w:ascii="Calibri" w:eastAsia="Times New Roman" w:hAnsi="Calibri"/>
                <w:color w:val="000000"/>
                <w:sz w:val="22"/>
                <w:szCs w:val="22"/>
              </w:rPr>
              <w:t>CT</w:t>
            </w:r>
          </w:p>
        </w:tc>
        <w:tc>
          <w:tcPr>
            <w:tcW w:w="709" w:type="dxa"/>
            <w:tcBorders>
              <w:top w:val="single" w:sz="4" w:space="0" w:color="auto"/>
              <w:bottom w:val="single" w:sz="4" w:space="0" w:color="auto"/>
            </w:tcBorders>
            <w:shd w:val="clear" w:color="auto" w:fill="auto"/>
            <w:noWrap/>
            <w:vAlign w:val="center"/>
            <w:hideMark/>
          </w:tcPr>
          <w:p w14:paraId="13A58339" w14:textId="7777777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Total</w:t>
            </w:r>
          </w:p>
        </w:tc>
      </w:tr>
      <w:tr w:rsidR="004F39AC" w:rsidRPr="00AC2779" w14:paraId="18451CF5" w14:textId="77777777" w:rsidTr="004F39AC">
        <w:trPr>
          <w:trHeight w:val="340"/>
          <w:jc w:val="center"/>
        </w:trPr>
        <w:tc>
          <w:tcPr>
            <w:tcW w:w="2693" w:type="dxa"/>
            <w:tcBorders>
              <w:top w:val="single" w:sz="4" w:space="0" w:color="auto"/>
            </w:tcBorders>
            <w:shd w:val="clear" w:color="auto" w:fill="auto"/>
            <w:noWrap/>
            <w:vAlign w:val="center"/>
            <w:hideMark/>
          </w:tcPr>
          <w:p w14:paraId="73376E6D"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+0.0)</w:t>
            </w:r>
          </w:p>
        </w:tc>
        <w:tc>
          <w:tcPr>
            <w:tcW w:w="567" w:type="dxa"/>
            <w:tcBorders>
              <w:top w:val="single" w:sz="4" w:space="0" w:color="auto"/>
            </w:tcBorders>
            <w:shd w:val="clear" w:color="auto" w:fill="auto"/>
            <w:noWrap/>
            <w:vAlign w:val="center"/>
            <w:hideMark/>
          </w:tcPr>
          <w:p w14:paraId="309445E2" w14:textId="0939ADAB"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8.9</w:t>
            </w:r>
          </w:p>
        </w:tc>
        <w:tc>
          <w:tcPr>
            <w:tcW w:w="992" w:type="dxa"/>
            <w:tcBorders>
              <w:top w:val="single" w:sz="4" w:space="0" w:color="auto"/>
            </w:tcBorders>
            <w:shd w:val="clear" w:color="auto" w:fill="auto"/>
            <w:noWrap/>
            <w:vAlign w:val="center"/>
            <w:hideMark/>
          </w:tcPr>
          <w:p w14:paraId="4349B35D" w14:textId="0C52D30E"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56.1</w:t>
            </w:r>
          </w:p>
        </w:tc>
        <w:tc>
          <w:tcPr>
            <w:tcW w:w="851" w:type="dxa"/>
            <w:tcBorders>
              <w:top w:val="single" w:sz="4" w:space="0" w:color="auto"/>
            </w:tcBorders>
            <w:shd w:val="clear" w:color="auto" w:fill="auto"/>
            <w:noWrap/>
            <w:vAlign w:val="center"/>
            <w:hideMark/>
          </w:tcPr>
          <w:p w14:paraId="7D72BC77" w14:textId="602EFD4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34.6</w:t>
            </w:r>
          </w:p>
        </w:tc>
        <w:tc>
          <w:tcPr>
            <w:tcW w:w="850" w:type="dxa"/>
            <w:tcBorders>
              <w:top w:val="single" w:sz="4" w:space="0" w:color="auto"/>
            </w:tcBorders>
            <w:shd w:val="clear" w:color="auto" w:fill="auto"/>
            <w:noWrap/>
            <w:vAlign w:val="center"/>
            <w:hideMark/>
          </w:tcPr>
          <w:p w14:paraId="35B51E96" w14:textId="6AEB83DD"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5.7</w:t>
            </w:r>
          </w:p>
        </w:tc>
        <w:tc>
          <w:tcPr>
            <w:tcW w:w="567" w:type="dxa"/>
            <w:tcBorders>
              <w:top w:val="single" w:sz="4" w:space="0" w:color="auto"/>
            </w:tcBorders>
            <w:shd w:val="clear" w:color="auto" w:fill="auto"/>
            <w:noWrap/>
            <w:vAlign w:val="center"/>
            <w:hideMark/>
          </w:tcPr>
          <w:p w14:paraId="006335FD" w14:textId="3B54B554"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tcBorders>
              <w:top w:val="single" w:sz="4" w:space="0" w:color="auto"/>
            </w:tcBorders>
            <w:shd w:val="clear" w:color="auto" w:fill="auto"/>
            <w:noWrap/>
            <w:vAlign w:val="center"/>
            <w:hideMark/>
          </w:tcPr>
          <w:p w14:paraId="791AE80C" w14:textId="5AFE9DB7"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9.3</w:t>
            </w:r>
          </w:p>
        </w:tc>
      </w:tr>
      <w:tr w:rsidR="004F39AC" w:rsidRPr="00AC2779" w14:paraId="3EA28465" w14:textId="77777777" w:rsidTr="004F39AC">
        <w:trPr>
          <w:trHeight w:val="340"/>
          <w:jc w:val="center"/>
        </w:trPr>
        <w:tc>
          <w:tcPr>
            <w:tcW w:w="2693" w:type="dxa"/>
            <w:shd w:val="clear" w:color="auto" w:fill="auto"/>
            <w:noWrap/>
            <w:vAlign w:val="center"/>
            <w:hideMark/>
          </w:tcPr>
          <w:p w14:paraId="2E74A9F6"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567" w:type="dxa"/>
            <w:shd w:val="clear" w:color="auto" w:fill="auto"/>
            <w:noWrap/>
            <w:vAlign w:val="center"/>
            <w:hideMark/>
          </w:tcPr>
          <w:p w14:paraId="4CA91CBB" w14:textId="054F27AB"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1.6</w:t>
            </w:r>
          </w:p>
        </w:tc>
        <w:tc>
          <w:tcPr>
            <w:tcW w:w="992" w:type="dxa"/>
            <w:shd w:val="clear" w:color="auto" w:fill="auto"/>
            <w:noWrap/>
            <w:vAlign w:val="center"/>
            <w:hideMark/>
          </w:tcPr>
          <w:p w14:paraId="0EC00E06" w14:textId="5AF994C6"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27.6</w:t>
            </w:r>
          </w:p>
        </w:tc>
        <w:tc>
          <w:tcPr>
            <w:tcW w:w="851" w:type="dxa"/>
            <w:shd w:val="clear" w:color="auto" w:fill="auto"/>
            <w:noWrap/>
            <w:vAlign w:val="center"/>
            <w:hideMark/>
          </w:tcPr>
          <w:p w14:paraId="78E6B8B8" w14:textId="64E1A441"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13.9</w:t>
            </w:r>
          </w:p>
        </w:tc>
        <w:tc>
          <w:tcPr>
            <w:tcW w:w="850" w:type="dxa"/>
            <w:shd w:val="clear" w:color="auto" w:fill="auto"/>
            <w:noWrap/>
            <w:vAlign w:val="center"/>
            <w:hideMark/>
          </w:tcPr>
          <w:p w14:paraId="4649620E" w14:textId="77B527E0"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2.7</w:t>
            </w:r>
          </w:p>
        </w:tc>
        <w:tc>
          <w:tcPr>
            <w:tcW w:w="567" w:type="dxa"/>
            <w:shd w:val="clear" w:color="auto" w:fill="auto"/>
            <w:noWrap/>
            <w:vAlign w:val="center"/>
            <w:hideMark/>
          </w:tcPr>
          <w:p w14:paraId="08438CA1" w14:textId="3BBD3D92"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shd w:val="clear" w:color="auto" w:fill="auto"/>
            <w:noWrap/>
            <w:vAlign w:val="center"/>
            <w:hideMark/>
          </w:tcPr>
          <w:p w14:paraId="2276B24A" w14:textId="0724A2DB"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2.5</w:t>
            </w:r>
          </w:p>
        </w:tc>
      </w:tr>
      <w:tr w:rsidR="004F39AC" w:rsidRPr="00AC2779" w14:paraId="29068E68" w14:textId="77777777" w:rsidTr="004F39AC">
        <w:trPr>
          <w:trHeight w:val="340"/>
          <w:jc w:val="center"/>
        </w:trPr>
        <w:tc>
          <w:tcPr>
            <w:tcW w:w="2693" w:type="dxa"/>
            <w:shd w:val="clear" w:color="auto" w:fill="auto"/>
            <w:noWrap/>
            <w:vAlign w:val="center"/>
            <w:hideMark/>
          </w:tcPr>
          <w:p w14:paraId="7BBDE36A"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567" w:type="dxa"/>
            <w:shd w:val="clear" w:color="auto" w:fill="auto"/>
            <w:noWrap/>
            <w:vAlign w:val="center"/>
            <w:hideMark/>
          </w:tcPr>
          <w:p w14:paraId="3ECA59B6" w14:textId="43F473F2"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1.4</w:t>
            </w:r>
          </w:p>
        </w:tc>
        <w:tc>
          <w:tcPr>
            <w:tcW w:w="992" w:type="dxa"/>
            <w:shd w:val="clear" w:color="auto" w:fill="auto"/>
            <w:noWrap/>
            <w:vAlign w:val="center"/>
            <w:hideMark/>
          </w:tcPr>
          <w:p w14:paraId="73E06CDC" w14:textId="696C1788"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28.4</w:t>
            </w:r>
          </w:p>
        </w:tc>
        <w:tc>
          <w:tcPr>
            <w:tcW w:w="851" w:type="dxa"/>
            <w:shd w:val="clear" w:color="auto" w:fill="auto"/>
            <w:noWrap/>
            <w:vAlign w:val="center"/>
            <w:hideMark/>
          </w:tcPr>
          <w:p w14:paraId="03BD3AA6" w14:textId="21CF1489"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9.9</w:t>
            </w:r>
          </w:p>
        </w:tc>
        <w:tc>
          <w:tcPr>
            <w:tcW w:w="850" w:type="dxa"/>
            <w:shd w:val="clear" w:color="auto" w:fill="auto"/>
            <w:noWrap/>
            <w:vAlign w:val="center"/>
            <w:hideMark/>
          </w:tcPr>
          <w:p w14:paraId="0D7F9633" w14:textId="3E45658F"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w:t>
            </w:r>
          </w:p>
        </w:tc>
        <w:tc>
          <w:tcPr>
            <w:tcW w:w="567" w:type="dxa"/>
            <w:shd w:val="clear" w:color="auto" w:fill="auto"/>
            <w:noWrap/>
            <w:vAlign w:val="center"/>
            <w:hideMark/>
          </w:tcPr>
          <w:p w14:paraId="72B1D63A" w14:textId="65EFCCA6"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shd w:val="clear" w:color="auto" w:fill="auto"/>
            <w:noWrap/>
            <w:vAlign w:val="center"/>
            <w:hideMark/>
          </w:tcPr>
          <w:p w14:paraId="2B7455A6" w14:textId="0C118A23"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1.4</w:t>
            </w:r>
          </w:p>
        </w:tc>
      </w:tr>
      <w:tr w:rsidR="004F39AC" w:rsidRPr="00AC2779" w14:paraId="53AC37F8" w14:textId="77777777" w:rsidTr="004F39AC">
        <w:trPr>
          <w:trHeight w:val="340"/>
          <w:jc w:val="center"/>
        </w:trPr>
        <w:tc>
          <w:tcPr>
            <w:tcW w:w="2693" w:type="dxa"/>
            <w:shd w:val="clear" w:color="auto" w:fill="auto"/>
            <w:noWrap/>
            <w:vAlign w:val="center"/>
            <w:hideMark/>
          </w:tcPr>
          <w:p w14:paraId="7B920218"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+0.0)</w:t>
            </w:r>
          </w:p>
        </w:tc>
        <w:tc>
          <w:tcPr>
            <w:tcW w:w="567" w:type="dxa"/>
            <w:shd w:val="clear" w:color="auto" w:fill="auto"/>
            <w:noWrap/>
            <w:vAlign w:val="center"/>
            <w:hideMark/>
          </w:tcPr>
          <w:p w14:paraId="2B675C83" w14:textId="7B18A565"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9.3</w:t>
            </w:r>
          </w:p>
        </w:tc>
        <w:tc>
          <w:tcPr>
            <w:tcW w:w="992" w:type="dxa"/>
            <w:shd w:val="clear" w:color="auto" w:fill="auto"/>
            <w:noWrap/>
            <w:vAlign w:val="center"/>
            <w:hideMark/>
          </w:tcPr>
          <w:p w14:paraId="3754E8EE" w14:textId="13D1F30C"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60.0</w:t>
            </w:r>
          </w:p>
        </w:tc>
        <w:tc>
          <w:tcPr>
            <w:tcW w:w="851" w:type="dxa"/>
            <w:shd w:val="clear" w:color="auto" w:fill="auto"/>
            <w:noWrap/>
            <w:vAlign w:val="center"/>
            <w:hideMark/>
          </w:tcPr>
          <w:p w14:paraId="4F78B60C" w14:textId="7716288B"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38.6</w:t>
            </w:r>
          </w:p>
        </w:tc>
        <w:tc>
          <w:tcPr>
            <w:tcW w:w="850" w:type="dxa"/>
            <w:shd w:val="clear" w:color="auto" w:fill="auto"/>
            <w:noWrap/>
            <w:vAlign w:val="center"/>
            <w:hideMark/>
          </w:tcPr>
          <w:p w14:paraId="64ECBE0D" w14:textId="301C0DAC"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19.1</w:t>
            </w:r>
          </w:p>
        </w:tc>
        <w:tc>
          <w:tcPr>
            <w:tcW w:w="567" w:type="dxa"/>
            <w:shd w:val="clear" w:color="auto" w:fill="auto"/>
            <w:noWrap/>
            <w:vAlign w:val="center"/>
            <w:hideMark/>
          </w:tcPr>
          <w:p w14:paraId="6943F4CD" w14:textId="3B8AE880"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shd w:val="clear" w:color="auto" w:fill="auto"/>
            <w:noWrap/>
            <w:vAlign w:val="center"/>
            <w:hideMark/>
          </w:tcPr>
          <w:p w14:paraId="6F1354E1" w14:textId="72AA82E4"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7.2</w:t>
            </w:r>
          </w:p>
        </w:tc>
      </w:tr>
      <w:tr w:rsidR="004F39AC" w:rsidRPr="00AC2779" w14:paraId="5EE2FF71" w14:textId="77777777" w:rsidTr="004F39AC">
        <w:trPr>
          <w:trHeight w:val="340"/>
          <w:jc w:val="center"/>
        </w:trPr>
        <w:tc>
          <w:tcPr>
            <w:tcW w:w="2693" w:type="dxa"/>
            <w:shd w:val="clear" w:color="auto" w:fill="auto"/>
            <w:noWrap/>
            <w:vAlign w:val="center"/>
            <w:hideMark/>
          </w:tcPr>
          <w:p w14:paraId="10EC053B"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567" w:type="dxa"/>
            <w:shd w:val="clear" w:color="auto" w:fill="auto"/>
            <w:noWrap/>
            <w:vAlign w:val="center"/>
            <w:hideMark/>
          </w:tcPr>
          <w:p w14:paraId="49915DA2" w14:textId="6172CC6A"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0.5</w:t>
            </w:r>
          </w:p>
        </w:tc>
        <w:tc>
          <w:tcPr>
            <w:tcW w:w="992" w:type="dxa"/>
            <w:shd w:val="clear" w:color="auto" w:fill="auto"/>
            <w:noWrap/>
            <w:vAlign w:val="center"/>
            <w:hideMark/>
          </w:tcPr>
          <w:p w14:paraId="68C1E857" w14:textId="30A0BAF6"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31.1</w:t>
            </w:r>
          </w:p>
        </w:tc>
        <w:tc>
          <w:tcPr>
            <w:tcW w:w="851" w:type="dxa"/>
            <w:shd w:val="clear" w:color="auto" w:fill="auto"/>
            <w:noWrap/>
            <w:vAlign w:val="center"/>
            <w:hideMark/>
          </w:tcPr>
          <w:p w14:paraId="71FB3F4C" w14:textId="79AA353E"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12.6</w:t>
            </w:r>
          </w:p>
        </w:tc>
        <w:tc>
          <w:tcPr>
            <w:tcW w:w="850" w:type="dxa"/>
            <w:shd w:val="clear" w:color="auto" w:fill="auto"/>
            <w:noWrap/>
            <w:vAlign w:val="center"/>
            <w:hideMark/>
          </w:tcPr>
          <w:p w14:paraId="4EB843D0" w14:textId="7C4FCCE6"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12.6</w:t>
            </w:r>
          </w:p>
        </w:tc>
        <w:tc>
          <w:tcPr>
            <w:tcW w:w="567" w:type="dxa"/>
            <w:shd w:val="clear" w:color="auto" w:fill="auto"/>
            <w:noWrap/>
            <w:vAlign w:val="center"/>
            <w:hideMark/>
          </w:tcPr>
          <w:p w14:paraId="0E0E707C" w14:textId="5B065B6D"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shd w:val="clear" w:color="auto" w:fill="auto"/>
            <w:noWrap/>
            <w:vAlign w:val="center"/>
            <w:hideMark/>
          </w:tcPr>
          <w:p w14:paraId="5AFE0A6E" w14:textId="3AEC4EA9"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1.1</w:t>
            </w:r>
          </w:p>
        </w:tc>
      </w:tr>
      <w:tr w:rsidR="004F39AC" w:rsidRPr="00AC2779" w14:paraId="4A2623E1" w14:textId="77777777" w:rsidTr="004F39AC">
        <w:trPr>
          <w:trHeight w:val="340"/>
          <w:jc w:val="center"/>
        </w:trPr>
        <w:tc>
          <w:tcPr>
            <w:tcW w:w="2693" w:type="dxa"/>
            <w:tcBorders>
              <w:bottom w:val="single" w:sz="4" w:space="0" w:color="auto"/>
            </w:tcBorders>
            <w:shd w:val="clear" w:color="auto" w:fill="auto"/>
            <w:noWrap/>
            <w:vAlign w:val="center"/>
            <w:hideMark/>
          </w:tcPr>
          <w:p w14:paraId="456E77F4" w14:textId="77777777" w:rsidR="00AC2779" w:rsidRPr="00AC2779" w:rsidRDefault="00AC2779">
            <w:pPr>
              <w:jc w:val="cente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567" w:type="dxa"/>
            <w:tcBorders>
              <w:bottom w:val="single" w:sz="4" w:space="0" w:color="auto"/>
            </w:tcBorders>
            <w:shd w:val="clear" w:color="auto" w:fill="auto"/>
            <w:noWrap/>
            <w:vAlign w:val="center"/>
            <w:hideMark/>
          </w:tcPr>
          <w:p w14:paraId="39FCA6AE" w14:textId="0C4037CD"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0.3</w:t>
            </w:r>
          </w:p>
        </w:tc>
        <w:tc>
          <w:tcPr>
            <w:tcW w:w="992" w:type="dxa"/>
            <w:tcBorders>
              <w:bottom w:val="single" w:sz="4" w:space="0" w:color="auto"/>
            </w:tcBorders>
            <w:shd w:val="clear" w:color="auto" w:fill="auto"/>
            <w:noWrap/>
            <w:vAlign w:val="center"/>
            <w:hideMark/>
          </w:tcPr>
          <w:p w14:paraId="2C932F4A" w14:textId="7E12B099"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26.2</w:t>
            </w:r>
          </w:p>
        </w:tc>
        <w:tc>
          <w:tcPr>
            <w:tcW w:w="851" w:type="dxa"/>
            <w:tcBorders>
              <w:bottom w:val="single" w:sz="4" w:space="0" w:color="auto"/>
            </w:tcBorders>
            <w:shd w:val="clear" w:color="auto" w:fill="auto"/>
            <w:noWrap/>
            <w:vAlign w:val="center"/>
            <w:hideMark/>
          </w:tcPr>
          <w:p w14:paraId="2589E7B3" w14:textId="64A07E29"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8.8</w:t>
            </w:r>
          </w:p>
        </w:tc>
        <w:tc>
          <w:tcPr>
            <w:tcW w:w="850" w:type="dxa"/>
            <w:tcBorders>
              <w:bottom w:val="single" w:sz="4" w:space="0" w:color="auto"/>
            </w:tcBorders>
            <w:shd w:val="clear" w:color="auto" w:fill="auto"/>
            <w:noWrap/>
            <w:vAlign w:val="center"/>
            <w:hideMark/>
          </w:tcPr>
          <w:p w14:paraId="368A923F" w14:textId="48865B86"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10.2</w:t>
            </w:r>
          </w:p>
        </w:tc>
        <w:tc>
          <w:tcPr>
            <w:tcW w:w="567" w:type="dxa"/>
            <w:tcBorders>
              <w:bottom w:val="single" w:sz="4" w:space="0" w:color="auto"/>
            </w:tcBorders>
            <w:shd w:val="clear" w:color="auto" w:fill="auto"/>
            <w:noWrap/>
            <w:vAlign w:val="center"/>
            <w:hideMark/>
          </w:tcPr>
          <w:p w14:paraId="7D195B04" w14:textId="1DEE5824" w:rsidR="00AC2779" w:rsidRPr="00AC2779" w:rsidRDefault="004F39AC">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709" w:type="dxa"/>
            <w:tcBorders>
              <w:bottom w:val="single" w:sz="4" w:space="0" w:color="auto"/>
            </w:tcBorders>
            <w:shd w:val="clear" w:color="auto" w:fill="auto"/>
            <w:noWrap/>
            <w:vAlign w:val="center"/>
            <w:hideMark/>
          </w:tcPr>
          <w:p w14:paraId="50C5AA61" w14:textId="32B9286C" w:rsidR="00AC2779" w:rsidRPr="00AC2779" w:rsidRDefault="00AC2779"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0.0</w:t>
            </w:r>
          </w:p>
        </w:tc>
      </w:tr>
    </w:tbl>
    <w:p w14:paraId="44A75D20" w14:textId="77777777" w:rsidR="00AC2779" w:rsidRDefault="00AC2779" w:rsidP="00CC21E5">
      <w:pPr>
        <w:rPr>
          <w:rFonts w:eastAsia="Times New Roman"/>
          <w:color w:val="000000"/>
          <w:sz w:val="22"/>
          <w:szCs w:val="22"/>
        </w:rPr>
      </w:pPr>
    </w:p>
    <w:p w14:paraId="62418C9A" w14:textId="77777777" w:rsidR="00AC2779" w:rsidRDefault="00AC2779" w:rsidP="00CC21E5">
      <w:pPr>
        <w:rPr>
          <w:rFonts w:eastAsia="Times New Roman"/>
          <w:color w:val="000000"/>
          <w:sz w:val="22"/>
          <w:szCs w:val="22"/>
        </w:rPr>
      </w:pPr>
    </w:p>
    <w:p w14:paraId="07BBE0CB" w14:textId="77777777" w:rsidR="00AC2779" w:rsidRDefault="00AC2779" w:rsidP="00CC21E5">
      <w:pPr>
        <w:rPr>
          <w:rFonts w:eastAsia="Times New Roman"/>
          <w:color w:val="000000"/>
          <w:sz w:val="22"/>
          <w:szCs w:val="22"/>
        </w:rPr>
      </w:pPr>
    </w:p>
    <w:p w14:paraId="4DAB6DFD" w14:textId="77777777" w:rsidR="00AC2779" w:rsidRDefault="00AC2779" w:rsidP="00CC21E5">
      <w:pPr>
        <w:rPr>
          <w:rFonts w:eastAsia="Times New Roman"/>
          <w:color w:val="000000"/>
          <w:sz w:val="22"/>
          <w:szCs w:val="22"/>
        </w:rPr>
      </w:pPr>
    </w:p>
    <w:p w14:paraId="34EF4630" w14:textId="2C7875EE" w:rsidR="00CC21E5" w:rsidRPr="00CC21E5" w:rsidRDefault="00CC21E5" w:rsidP="00CC21E5">
      <w:pPr>
        <w:rPr>
          <w:rFonts w:eastAsia="Times New Roman"/>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4. It would be helpful to indicate the amount of charge transfer between the ion pairs, in terms of some population analysis such as Weinhold's NPA. The authors noted that this is of great concern for the development of classical and coarse-grained potentials. </w:t>
      </w:r>
    </w:p>
    <w:p w14:paraId="2CAEBCE5" w14:textId="77777777" w:rsidR="00435424" w:rsidRDefault="00435424">
      <w:pPr>
        <w:rPr>
          <w:i/>
          <w:sz w:val="22"/>
          <w:szCs w:val="22"/>
        </w:rPr>
      </w:pPr>
    </w:p>
    <w:p w14:paraId="5A64766E" w14:textId="27FDB132" w:rsidR="00CC21E5" w:rsidRPr="00BB174D" w:rsidRDefault="00BB174D">
      <w:pPr>
        <w:rPr>
          <w:i/>
          <w:sz w:val="22"/>
          <w:szCs w:val="22"/>
        </w:rPr>
      </w:pPr>
      <w:r w:rsidRPr="00BB174D">
        <w:rPr>
          <w:i/>
          <w:sz w:val="22"/>
          <w:szCs w:val="22"/>
        </w:rPr>
        <w:t xml:space="preserve">Our group has previously done NPA charge-transfer calculations on ionic liquids (Rigby &amp; Izogorodina, PCCP </w:t>
      </w:r>
      <w:r w:rsidRPr="00BB174D">
        <w:rPr>
          <w:b/>
          <w:i/>
          <w:sz w:val="22"/>
          <w:szCs w:val="22"/>
        </w:rPr>
        <w:t>15</w:t>
      </w:r>
      <w:r w:rsidRPr="00BB174D">
        <w:rPr>
          <w:i/>
          <w:sz w:val="22"/>
          <w:szCs w:val="22"/>
        </w:rPr>
        <w:t xml:space="preserve"> 1632 2013). The results indicate that NPA gives very small NCT (Fig. 7, pp1640), except for the </w:t>
      </w:r>
      <w:r>
        <w:rPr>
          <w:i/>
          <w:sz w:val="22"/>
          <w:szCs w:val="22"/>
        </w:rPr>
        <w:t>c</w:t>
      </w:r>
      <w:r w:rsidRPr="00BB174D">
        <w:rPr>
          <w:i/>
          <w:sz w:val="22"/>
          <w:szCs w:val="22"/>
        </w:rPr>
        <w:t xml:space="preserve">hloride anion. Due to the localised orbitals used in NPA, </w:t>
      </w:r>
      <w:r>
        <w:rPr>
          <w:i/>
          <w:sz w:val="22"/>
          <w:szCs w:val="22"/>
        </w:rPr>
        <w:t>it treats covalent interactions well, but not so much for systems where Coulombic interactions dominate. The reason the chlor</w:t>
      </w:r>
      <w:r w:rsidR="00435424">
        <w:rPr>
          <w:i/>
          <w:sz w:val="22"/>
          <w:szCs w:val="22"/>
        </w:rPr>
        <w:t>ide anion performs better is because of the small size of the monoatomic anion</w:t>
      </w:r>
      <w:r>
        <w:rPr>
          <w:i/>
          <w:sz w:val="22"/>
          <w:szCs w:val="22"/>
        </w:rPr>
        <w:t xml:space="preserve"> </w:t>
      </w:r>
      <w:r w:rsidR="00435424">
        <w:rPr>
          <w:i/>
          <w:sz w:val="22"/>
          <w:szCs w:val="22"/>
        </w:rPr>
        <w:t>which leads to</w:t>
      </w:r>
      <w:r>
        <w:rPr>
          <w:i/>
          <w:sz w:val="22"/>
          <w:szCs w:val="22"/>
        </w:rPr>
        <w:t xml:space="preserve"> greater </w:t>
      </w:r>
      <w:r w:rsidR="00435424">
        <w:rPr>
          <w:i/>
          <w:sz w:val="22"/>
          <w:szCs w:val="22"/>
        </w:rPr>
        <w:t xml:space="preserve">orbital </w:t>
      </w:r>
      <w:r>
        <w:rPr>
          <w:i/>
          <w:sz w:val="22"/>
          <w:szCs w:val="22"/>
        </w:rPr>
        <w:t>overlap. This renders the interaction semi-covalent</w:t>
      </w:r>
      <w:r w:rsidR="00435424">
        <w:rPr>
          <w:i/>
          <w:sz w:val="22"/>
          <w:szCs w:val="22"/>
        </w:rPr>
        <w:t>, and hence NPA produces non-negligible charge-tranfer comparable with other atomic partial charge schemes. With this in mind, we decided not to use NPA alongside with the geodesic scheme to quantify the NCT in the studied systems, since aside from bromide and chloride, the interaction character of the anions is mostly noncovalent.</w:t>
      </w:r>
    </w:p>
    <w:sectPr w:rsidR="00CC21E5" w:rsidRPr="00BB174D" w:rsidSect="0021603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D3B8A"/>
    <w:multiLevelType w:val="hybridMultilevel"/>
    <w:tmpl w:val="4F14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E5"/>
    <w:rsid w:val="00001DA4"/>
    <w:rsid w:val="000233EA"/>
    <w:rsid w:val="000D251F"/>
    <w:rsid w:val="000E4136"/>
    <w:rsid w:val="000F25BD"/>
    <w:rsid w:val="00124B45"/>
    <w:rsid w:val="00154932"/>
    <w:rsid w:val="001C6B82"/>
    <w:rsid w:val="00216039"/>
    <w:rsid w:val="00262E04"/>
    <w:rsid w:val="0029382D"/>
    <w:rsid w:val="00387007"/>
    <w:rsid w:val="00412B6E"/>
    <w:rsid w:val="00435424"/>
    <w:rsid w:val="004D285D"/>
    <w:rsid w:val="004D3E4A"/>
    <w:rsid w:val="004F39AC"/>
    <w:rsid w:val="005F121A"/>
    <w:rsid w:val="006422B6"/>
    <w:rsid w:val="0065265C"/>
    <w:rsid w:val="006D2EDD"/>
    <w:rsid w:val="006E7B7B"/>
    <w:rsid w:val="00757D90"/>
    <w:rsid w:val="007D7C9C"/>
    <w:rsid w:val="00866600"/>
    <w:rsid w:val="00886525"/>
    <w:rsid w:val="008C3DCE"/>
    <w:rsid w:val="00977995"/>
    <w:rsid w:val="009E2FA8"/>
    <w:rsid w:val="009E3104"/>
    <w:rsid w:val="009F29D3"/>
    <w:rsid w:val="00A27141"/>
    <w:rsid w:val="00A8084A"/>
    <w:rsid w:val="00AB6CC4"/>
    <w:rsid w:val="00AC2779"/>
    <w:rsid w:val="00B00D8E"/>
    <w:rsid w:val="00BB06A7"/>
    <w:rsid w:val="00BB174D"/>
    <w:rsid w:val="00BB3CDC"/>
    <w:rsid w:val="00BF121C"/>
    <w:rsid w:val="00C02EF6"/>
    <w:rsid w:val="00C906BB"/>
    <w:rsid w:val="00CC21E5"/>
    <w:rsid w:val="00CE7363"/>
    <w:rsid w:val="00CF706D"/>
    <w:rsid w:val="00E46220"/>
    <w:rsid w:val="00E566CA"/>
    <w:rsid w:val="00E66B25"/>
    <w:rsid w:val="00E857C6"/>
    <w:rsid w:val="00EF29AF"/>
    <w:rsid w:val="00F10429"/>
    <w:rsid w:val="00F23B01"/>
    <w:rsid w:val="00F25826"/>
    <w:rsid w:val="00F85C43"/>
    <w:rsid w:val="00FA35F0"/>
    <w:rsid w:val="00FF3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A6ED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7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21E5"/>
  </w:style>
  <w:style w:type="paragraph" w:styleId="ListParagraph">
    <w:name w:val="List Paragraph"/>
    <w:basedOn w:val="Normal"/>
    <w:uiPriority w:val="34"/>
    <w:qFormat/>
    <w:rsid w:val="00124B45"/>
    <w:pPr>
      <w:ind w:left="720"/>
      <w:contextualSpacing/>
    </w:pPr>
    <w:rPr>
      <w:rFonts w:asciiTheme="minorHAnsi" w:hAnsiTheme="minorHAnsi" w:cstheme="minorBidi"/>
      <w:lang w:val="en-GB"/>
    </w:rPr>
  </w:style>
  <w:style w:type="paragraph" w:styleId="Caption">
    <w:name w:val="caption"/>
    <w:basedOn w:val="Normal"/>
    <w:next w:val="Normal"/>
    <w:uiPriority w:val="35"/>
    <w:unhideWhenUsed/>
    <w:qFormat/>
    <w:rsid w:val="00C02E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095">
      <w:bodyDiv w:val="1"/>
      <w:marLeft w:val="0"/>
      <w:marRight w:val="0"/>
      <w:marTop w:val="0"/>
      <w:marBottom w:val="0"/>
      <w:divBdr>
        <w:top w:val="none" w:sz="0" w:space="0" w:color="auto"/>
        <w:left w:val="none" w:sz="0" w:space="0" w:color="auto"/>
        <w:bottom w:val="none" w:sz="0" w:space="0" w:color="auto"/>
        <w:right w:val="none" w:sz="0" w:space="0" w:color="auto"/>
      </w:divBdr>
    </w:div>
    <w:div w:id="23285523">
      <w:bodyDiv w:val="1"/>
      <w:marLeft w:val="0"/>
      <w:marRight w:val="0"/>
      <w:marTop w:val="0"/>
      <w:marBottom w:val="0"/>
      <w:divBdr>
        <w:top w:val="none" w:sz="0" w:space="0" w:color="auto"/>
        <w:left w:val="none" w:sz="0" w:space="0" w:color="auto"/>
        <w:bottom w:val="none" w:sz="0" w:space="0" w:color="auto"/>
        <w:right w:val="none" w:sz="0" w:space="0" w:color="auto"/>
      </w:divBdr>
    </w:div>
    <w:div w:id="365106140">
      <w:bodyDiv w:val="1"/>
      <w:marLeft w:val="0"/>
      <w:marRight w:val="0"/>
      <w:marTop w:val="0"/>
      <w:marBottom w:val="0"/>
      <w:divBdr>
        <w:top w:val="none" w:sz="0" w:space="0" w:color="auto"/>
        <w:left w:val="none" w:sz="0" w:space="0" w:color="auto"/>
        <w:bottom w:val="none" w:sz="0" w:space="0" w:color="auto"/>
        <w:right w:val="none" w:sz="0" w:space="0" w:color="auto"/>
      </w:divBdr>
    </w:div>
    <w:div w:id="570623285">
      <w:bodyDiv w:val="1"/>
      <w:marLeft w:val="0"/>
      <w:marRight w:val="0"/>
      <w:marTop w:val="0"/>
      <w:marBottom w:val="0"/>
      <w:divBdr>
        <w:top w:val="none" w:sz="0" w:space="0" w:color="auto"/>
        <w:left w:val="none" w:sz="0" w:space="0" w:color="auto"/>
        <w:bottom w:val="none" w:sz="0" w:space="0" w:color="auto"/>
        <w:right w:val="none" w:sz="0" w:space="0" w:color="auto"/>
      </w:divBdr>
    </w:div>
    <w:div w:id="1415710603">
      <w:bodyDiv w:val="1"/>
      <w:marLeft w:val="0"/>
      <w:marRight w:val="0"/>
      <w:marTop w:val="0"/>
      <w:marBottom w:val="0"/>
      <w:divBdr>
        <w:top w:val="none" w:sz="0" w:space="0" w:color="auto"/>
        <w:left w:val="none" w:sz="0" w:space="0" w:color="auto"/>
        <w:bottom w:val="none" w:sz="0" w:space="0" w:color="auto"/>
        <w:right w:val="none" w:sz="0" w:space="0" w:color="auto"/>
      </w:divBdr>
    </w:div>
    <w:div w:id="1721250530">
      <w:bodyDiv w:val="1"/>
      <w:marLeft w:val="0"/>
      <w:marRight w:val="0"/>
      <w:marTop w:val="0"/>
      <w:marBottom w:val="0"/>
      <w:divBdr>
        <w:top w:val="none" w:sz="0" w:space="0" w:color="auto"/>
        <w:left w:val="none" w:sz="0" w:space="0" w:color="auto"/>
        <w:bottom w:val="none" w:sz="0" w:space="0" w:color="auto"/>
        <w:right w:val="none" w:sz="0" w:space="0" w:color="auto"/>
      </w:divBdr>
    </w:div>
    <w:div w:id="2112774619">
      <w:bodyDiv w:val="1"/>
      <w:marLeft w:val="0"/>
      <w:marRight w:val="0"/>
      <w:marTop w:val="0"/>
      <w:marBottom w:val="0"/>
      <w:divBdr>
        <w:top w:val="none" w:sz="0" w:space="0" w:color="auto"/>
        <w:left w:val="none" w:sz="0" w:space="0" w:color="auto"/>
        <w:bottom w:val="none" w:sz="0" w:space="0" w:color="auto"/>
        <w:right w:val="none" w:sz="0" w:space="0" w:color="auto"/>
      </w:divBdr>
    </w:div>
    <w:div w:id="2134709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3F8AF-8BF2-7C42-B3C8-92BC74AF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1965</Words>
  <Characters>11207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2016-03-20T23:23:00Z</dcterms:created>
  <dcterms:modified xsi:type="dcterms:W3CDTF">2016-04-14T05:35:00Z</dcterms:modified>
  <cp:category/>
</cp:coreProperties>
</file>