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7C30" w14:textId="0BAC2573" w:rsidR="00FB6C92" w:rsidRPr="004B4E6E" w:rsidRDefault="00000000" w:rsidP="004B4E6E">
      <w:pPr>
        <w:pStyle w:val="Titre1"/>
        <w:jc w:val="center"/>
        <w:rPr>
          <w:b/>
          <w:bCs/>
          <w:color w:val="7030A0"/>
          <w:u w:val="single"/>
        </w:rPr>
      </w:pPr>
      <w:bookmarkStart w:id="0" w:name="X3a0ab4e19f081a2dc2815ae550043c568a7b0dd"/>
      <w:r w:rsidRPr="004B4E6E">
        <w:rPr>
          <w:b/>
          <w:bCs/>
          <w:color w:val="7030A0"/>
          <w:u w:val="single"/>
        </w:rPr>
        <w:t xml:space="preserve">Cahier des charges — </w:t>
      </w:r>
      <w:r w:rsidR="001F5B2D">
        <w:rPr>
          <w:b/>
          <w:bCs/>
          <w:color w:val="7030A0"/>
          <w:u w:val="single"/>
        </w:rPr>
        <w:t>Site de f</w:t>
      </w:r>
      <w:r w:rsidRPr="004B4E6E">
        <w:rPr>
          <w:b/>
          <w:bCs/>
          <w:color w:val="7030A0"/>
          <w:u w:val="single"/>
        </w:rPr>
        <w:t>ormation</w:t>
      </w:r>
      <w:r w:rsidR="001F5B2D">
        <w:rPr>
          <w:b/>
          <w:bCs/>
          <w:color w:val="7030A0"/>
          <w:u w:val="single"/>
        </w:rPr>
        <w:t xml:space="preserve"> Empower</w:t>
      </w:r>
    </w:p>
    <w:p w14:paraId="4FD37C31" w14:textId="292375D1" w:rsidR="00FB6C92" w:rsidRDefault="00000000">
      <w:pPr>
        <w:pStyle w:val="FirstParagraph"/>
      </w:pPr>
      <w:proofErr w:type="gramStart"/>
      <w:r>
        <w:rPr>
          <w:b/>
          <w:bCs/>
        </w:rPr>
        <w:t>Date</w:t>
      </w:r>
      <w:r>
        <w:t xml:space="preserve"> :</w:t>
      </w:r>
      <w:proofErr w:type="gramEnd"/>
      <w:r>
        <w:t xml:space="preserve"> </w:t>
      </w:r>
      <w:r w:rsidR="004B4E6E">
        <w:t>12</w:t>
      </w:r>
      <w:r>
        <w:t xml:space="preserve"> </w:t>
      </w:r>
      <w:proofErr w:type="spellStart"/>
      <w:r>
        <w:t>septembre</w:t>
      </w:r>
      <w:proofErr w:type="spellEnd"/>
      <w:r>
        <w:t xml:space="preserve"> 2025 </w:t>
      </w:r>
    </w:p>
    <w:p w14:paraId="39FEA499" w14:textId="10278398" w:rsidR="00887B86" w:rsidRPr="00887B86" w:rsidRDefault="00887B86" w:rsidP="00887B86">
      <w:pPr>
        <w:pStyle w:val="Corpsdetexte"/>
      </w:pPr>
      <w:r>
        <w:t xml:space="preserve">SYLLA Bakary </w:t>
      </w:r>
    </w:p>
    <w:p w14:paraId="4FD37C32" w14:textId="27292F2D" w:rsidR="00FB6C92" w:rsidRDefault="00FB6C92"/>
    <w:p w14:paraId="4FD37C33" w14:textId="77777777" w:rsidR="00FB6C92" w:rsidRPr="00A12109" w:rsidRDefault="00000000">
      <w:pPr>
        <w:pStyle w:val="Titre2"/>
        <w:rPr>
          <w:color w:val="7030A0"/>
        </w:rPr>
      </w:pPr>
      <w:bookmarkStart w:id="1" w:name="résumé-exécutif"/>
      <w:r w:rsidRPr="00A12109">
        <w:rPr>
          <w:color w:val="7030A0"/>
        </w:rPr>
        <w:t>1. Résumé exécutif</w:t>
      </w:r>
    </w:p>
    <w:p w14:paraId="4FD37C34" w14:textId="6109AD7E" w:rsidR="00FB6C92" w:rsidRDefault="00000000">
      <w:pPr>
        <w:pStyle w:val="FirstParagraph"/>
      </w:pPr>
      <w:r>
        <w:t>Formation</w:t>
      </w:r>
      <w:r w:rsidR="0066772B">
        <w:t xml:space="preserve"> Empower</w:t>
      </w:r>
      <w:r>
        <w:t xml:space="preserve"> </w:t>
      </w:r>
      <w:proofErr w:type="spellStart"/>
      <w:r>
        <w:t>est</w:t>
      </w:r>
      <w:proofErr w:type="spellEnd"/>
      <w:r>
        <w:t xml:space="preserve"> </w:t>
      </w:r>
      <w:proofErr w:type="spellStart"/>
      <w:r>
        <w:t>une</w:t>
      </w:r>
      <w:proofErr w:type="spellEnd"/>
      <w:r>
        <w:t xml:space="preserve"> </w:t>
      </w:r>
      <w:proofErr w:type="spellStart"/>
      <w:r>
        <w:t>plateforme</w:t>
      </w:r>
      <w:proofErr w:type="spellEnd"/>
      <w:r>
        <w:t xml:space="preserve"> </w:t>
      </w:r>
      <w:r w:rsidR="002A5A50">
        <w:rPr>
          <w:b/>
          <w:bCs/>
        </w:rPr>
        <w:t>intermediaries</w:t>
      </w:r>
      <w:r>
        <w:rPr>
          <w:b/>
          <w:bCs/>
        </w:rPr>
        <w:t xml:space="preserve"> de vente </w:t>
      </w:r>
      <w:proofErr w:type="spellStart"/>
      <w:r>
        <w:rPr>
          <w:b/>
          <w:bCs/>
        </w:rPr>
        <w:t>d’accès</w:t>
      </w:r>
      <w:proofErr w:type="spellEnd"/>
      <w:r>
        <w:rPr>
          <w:b/>
          <w:bCs/>
        </w:rPr>
        <w:t xml:space="preserve"> à des formations</w:t>
      </w:r>
      <w:r>
        <w:t xml:space="preserve"> hébergées par des partenaires externes. Elle ne fournit pas de suivi pédagogique interne : sa mission est commerciale, administrative et technique (provision des accès, facturation, support, analytics). Ce cahier des charges décrit les fonctionnalités, contraintes, intégrations techniques et critères d’acceptation adaptés au contexte africain (Mobile Money, faible bande passante, SMS/WhatsApp, langues, paiements fractionnés, etc.).</w:t>
      </w:r>
    </w:p>
    <w:p w14:paraId="4FD37C35" w14:textId="2FA8FB60" w:rsidR="00FB6C92" w:rsidRDefault="00FB6C92"/>
    <w:p w14:paraId="4FD37C36" w14:textId="77777777" w:rsidR="00FB6C92" w:rsidRPr="00A12109" w:rsidRDefault="00000000">
      <w:pPr>
        <w:pStyle w:val="Titre2"/>
        <w:rPr>
          <w:color w:val="7030A0"/>
        </w:rPr>
      </w:pPr>
      <w:bookmarkStart w:id="2" w:name="objectifs-métier"/>
      <w:bookmarkEnd w:id="1"/>
      <w:r w:rsidRPr="00A12109">
        <w:rPr>
          <w:color w:val="7030A0"/>
        </w:rPr>
        <w:t>2. Objectifs métier</w:t>
      </w:r>
    </w:p>
    <w:p w14:paraId="4FD37C37" w14:textId="77777777" w:rsidR="00FB6C92" w:rsidRDefault="00000000">
      <w:pPr>
        <w:pStyle w:val="Compact"/>
        <w:numPr>
          <w:ilvl w:val="0"/>
          <w:numId w:val="2"/>
        </w:numPr>
      </w:pPr>
      <w:r>
        <w:t>Vendre des formations de partenaires et automatiser la délivrance d’accès après paiement.</w:t>
      </w:r>
    </w:p>
    <w:p w14:paraId="4FD37C38" w14:textId="77777777" w:rsidR="00FB6C92" w:rsidRDefault="00000000">
      <w:pPr>
        <w:pStyle w:val="Compact"/>
        <w:numPr>
          <w:ilvl w:val="0"/>
          <w:numId w:val="2"/>
        </w:numPr>
      </w:pPr>
      <w:r>
        <w:t>Offrir une expérience mobile-first, simple et rapide pour les utilisateurs africains.</w:t>
      </w:r>
    </w:p>
    <w:p w14:paraId="4FD37C39" w14:textId="77777777" w:rsidR="00FB6C92" w:rsidRDefault="00000000">
      <w:pPr>
        <w:pStyle w:val="Compact"/>
        <w:numPr>
          <w:ilvl w:val="0"/>
          <w:numId w:val="2"/>
        </w:numPr>
      </w:pPr>
      <w:r>
        <w:t>Assurer la traçabilité comptable et le reporting pour la DG et les partenaires.</w:t>
      </w:r>
    </w:p>
    <w:p w14:paraId="4FD37C3A" w14:textId="58B79196" w:rsidR="00FB6C92" w:rsidRDefault="00000000">
      <w:pPr>
        <w:pStyle w:val="Compact"/>
        <w:numPr>
          <w:ilvl w:val="0"/>
          <w:numId w:val="2"/>
        </w:numPr>
      </w:pPr>
      <w:r>
        <w:t xml:space="preserve">Permettre l’intégration progressive de nouveaux </w:t>
      </w:r>
      <w:proofErr w:type="spellStart"/>
      <w:r>
        <w:t>partenaires</w:t>
      </w:r>
      <w:proofErr w:type="spellEnd"/>
      <w:r>
        <w:t xml:space="preserve"> (API, SSO).</w:t>
      </w:r>
    </w:p>
    <w:p w14:paraId="4FD37C3B" w14:textId="79398B7C" w:rsidR="00FB6C92" w:rsidRDefault="00FB6C92"/>
    <w:p w14:paraId="4FD37C3C" w14:textId="77777777" w:rsidR="00FB6C92" w:rsidRPr="00A12109" w:rsidRDefault="00000000">
      <w:pPr>
        <w:pStyle w:val="Titre2"/>
        <w:rPr>
          <w:color w:val="7030A0"/>
        </w:rPr>
      </w:pPr>
      <w:bookmarkStart w:id="3" w:name="périmètre-fonctionnel"/>
      <w:bookmarkEnd w:id="2"/>
      <w:r w:rsidRPr="00A12109">
        <w:rPr>
          <w:color w:val="7030A0"/>
        </w:rPr>
        <w:t>3. Périmètre fonctionnel</w:t>
      </w:r>
    </w:p>
    <w:p w14:paraId="4FD37C3D" w14:textId="77777777" w:rsidR="00FB6C92" w:rsidRPr="00B17EA1" w:rsidRDefault="00000000">
      <w:pPr>
        <w:pStyle w:val="Titre3"/>
        <w:rPr>
          <w:color w:val="000000" w:themeColor="text1"/>
        </w:rPr>
      </w:pPr>
      <w:bookmarkStart w:id="4" w:name="utilisateurs-et-rôles"/>
      <w:r w:rsidRPr="00B17EA1">
        <w:rPr>
          <w:color w:val="000000" w:themeColor="text1"/>
        </w:rPr>
        <w:t>3.1 Utilisateurs et rôles</w:t>
      </w:r>
    </w:p>
    <w:p w14:paraId="4FD37C3E" w14:textId="77777777" w:rsidR="00FB6C92" w:rsidRDefault="00000000">
      <w:pPr>
        <w:pStyle w:val="Compact"/>
        <w:numPr>
          <w:ilvl w:val="0"/>
          <w:numId w:val="3"/>
        </w:numPr>
      </w:pPr>
      <w:proofErr w:type="gramStart"/>
      <w:r>
        <w:rPr>
          <w:b/>
          <w:bCs/>
        </w:rPr>
        <w:t>Visiteur</w:t>
      </w:r>
      <w:r>
        <w:t xml:space="preserve"> :</w:t>
      </w:r>
      <w:proofErr w:type="gramEnd"/>
      <w:r>
        <w:t xml:space="preserve"> consulte le catalogue, crée un compte, met des formations dans le panier.</w:t>
      </w:r>
    </w:p>
    <w:p w14:paraId="4FD37C3F" w14:textId="77777777" w:rsidR="00FB6C92" w:rsidRDefault="00000000">
      <w:pPr>
        <w:pStyle w:val="Compact"/>
        <w:numPr>
          <w:ilvl w:val="0"/>
          <w:numId w:val="3"/>
        </w:numPr>
      </w:pPr>
      <w:r>
        <w:rPr>
          <w:b/>
          <w:bCs/>
        </w:rPr>
        <w:t>Candidat / Étudiant</w:t>
      </w:r>
      <w:r>
        <w:t xml:space="preserve"> : achète une formation, reçoit identifiants et lien vers plateforme partenaire, accède à l’historique.</w:t>
      </w:r>
    </w:p>
    <w:p w14:paraId="4FD37C40" w14:textId="77777777" w:rsidR="00FB6C92" w:rsidRDefault="00000000">
      <w:pPr>
        <w:pStyle w:val="Compact"/>
        <w:numPr>
          <w:ilvl w:val="0"/>
          <w:numId w:val="3"/>
        </w:numPr>
      </w:pPr>
      <w:r>
        <w:rPr>
          <w:b/>
          <w:bCs/>
        </w:rPr>
        <w:t>Entreprise</w:t>
      </w:r>
      <w:r>
        <w:t xml:space="preserve"> : achète pour employés (workflow achat groupé / facturation entreprise).</w:t>
      </w:r>
    </w:p>
    <w:p w14:paraId="4FD37C41" w14:textId="77777777" w:rsidR="00FB6C92" w:rsidRDefault="00000000">
      <w:pPr>
        <w:pStyle w:val="Compact"/>
        <w:numPr>
          <w:ilvl w:val="0"/>
          <w:numId w:val="3"/>
        </w:numPr>
      </w:pPr>
      <w:r>
        <w:rPr>
          <w:b/>
          <w:bCs/>
        </w:rPr>
        <w:t>Admin</w:t>
      </w:r>
      <w:r>
        <w:t xml:space="preserve"> : gestion catalogue, utilisateurs, paiements, reporting.</w:t>
      </w:r>
    </w:p>
    <w:p w14:paraId="4FD37C42" w14:textId="77777777" w:rsidR="00FB6C92" w:rsidRDefault="00000000">
      <w:pPr>
        <w:pStyle w:val="Compact"/>
        <w:numPr>
          <w:ilvl w:val="0"/>
          <w:numId w:val="3"/>
        </w:numPr>
      </w:pPr>
      <w:r>
        <w:rPr>
          <w:b/>
          <w:bCs/>
        </w:rPr>
        <w:t>Partner Admin (optionnel)</w:t>
      </w:r>
      <w:r>
        <w:t xml:space="preserve"> : visualise ventes liées à son contenu, gère mapping des cours.</w:t>
      </w:r>
    </w:p>
    <w:p w14:paraId="4FD37C43" w14:textId="77777777" w:rsidR="00FB6C92" w:rsidRPr="00B17EA1" w:rsidRDefault="00000000">
      <w:pPr>
        <w:pStyle w:val="Titre3"/>
        <w:rPr>
          <w:color w:val="000000" w:themeColor="text1"/>
        </w:rPr>
      </w:pPr>
      <w:bookmarkStart w:id="5" w:name="fonctionnalités-principales"/>
      <w:bookmarkEnd w:id="4"/>
      <w:r w:rsidRPr="00B17EA1">
        <w:rPr>
          <w:color w:val="000000" w:themeColor="text1"/>
        </w:rPr>
        <w:lastRenderedPageBreak/>
        <w:t>3.2 Fonctionnalités principales</w:t>
      </w:r>
    </w:p>
    <w:p w14:paraId="4FD37C44" w14:textId="77777777" w:rsidR="00FB6C92" w:rsidRDefault="00000000">
      <w:pPr>
        <w:pStyle w:val="FirstParagraph"/>
      </w:pPr>
      <w:r>
        <w:rPr>
          <w:b/>
          <w:bCs/>
        </w:rPr>
        <w:t>Catalogue &amp; Recherche</w:t>
      </w:r>
      <w:r>
        <w:t xml:space="preserve"> - Listing, filtres multi-critères (catégorie, prix, durée, langue, popularité, partenaire). - Pages produits détaillées (description, objectifs, prérequis, badges de confiance, certificats délivrés par le partenaire). - Étiquettes marketing : “Formation certifiante”, “Formation en partenariat”, “Offre limitée”.</w:t>
      </w:r>
    </w:p>
    <w:p w14:paraId="4FD37C45" w14:textId="77777777" w:rsidR="00FB6C92" w:rsidRDefault="00000000">
      <w:pPr>
        <w:pStyle w:val="Corpsdetexte"/>
      </w:pPr>
      <w:r>
        <w:rPr>
          <w:b/>
          <w:bCs/>
        </w:rPr>
        <w:t>Parcours d’achat</w:t>
      </w:r>
      <w:r>
        <w:t xml:space="preserve"> - Panier, checkout simplifié mobile-first. - Modes de paiement : Mobile Money (Orange Money, MTN MoMo, Moov, etc.), cartes (via PSP africains), virement, paiement en plusieurs fois. - Captcha/OTP au checkout si suspicion de fraude.</w:t>
      </w:r>
    </w:p>
    <w:p w14:paraId="4FD37C46" w14:textId="77777777" w:rsidR="00FB6C92" w:rsidRDefault="00000000">
      <w:pPr>
        <w:pStyle w:val="Corpsdetexte"/>
      </w:pPr>
      <w:r>
        <w:rPr>
          <w:b/>
          <w:bCs/>
        </w:rPr>
        <w:t>Espace personnel (candidat)</w:t>
      </w:r>
      <w:r>
        <w:t xml:space="preserve"> - Dashboard minimaliste : formations achetées, statuts, reçus téléchargeables (PDF), support (chat/WhatsApp). - Bouton “Accéder à ma formation” qui ouvre la plateforme partenaire (via lien + identifiants ou SSO si disponible).</w:t>
      </w:r>
    </w:p>
    <w:p w14:paraId="4FD37C47" w14:textId="77777777" w:rsidR="00FB6C92" w:rsidRDefault="00000000">
      <w:pPr>
        <w:pStyle w:val="Corpsdetexte"/>
      </w:pPr>
      <w:r>
        <w:rPr>
          <w:b/>
          <w:bCs/>
        </w:rPr>
        <w:t>Delivery automatique des accès</w:t>
      </w:r>
      <w:r>
        <w:t xml:space="preserve"> - Après confirmation de paiement : génération ou mapping d’identifiants, envoi automatique par email + SMS/WhatsApp. - En cas d’intégration API/LTI : provision automatique d’un user sur la plateforme partenaire.</w:t>
      </w:r>
    </w:p>
    <w:p w14:paraId="4FD37C48" w14:textId="77777777" w:rsidR="00FB6C92" w:rsidRDefault="00000000">
      <w:pPr>
        <w:pStyle w:val="Corpsdetexte"/>
      </w:pPr>
      <w:r>
        <w:rPr>
          <w:b/>
          <w:bCs/>
        </w:rPr>
        <w:t>Notifications &amp; Support</w:t>
      </w:r>
      <w:r>
        <w:t xml:space="preserve"> - Email transactionnel (confirmation achat, reçu, identifiants). - SMS transactionnel pour confirmations critiques. - Intégration WhatsApp Business pour assistance humaine et notifications.</w:t>
      </w:r>
    </w:p>
    <w:p w14:paraId="4FD37C49" w14:textId="77777777" w:rsidR="00FB6C92" w:rsidRDefault="00000000">
      <w:pPr>
        <w:pStyle w:val="Corpsdetexte"/>
      </w:pPr>
      <w:r>
        <w:rPr>
          <w:b/>
          <w:bCs/>
        </w:rPr>
        <w:t>Admin &amp; Back-office</w:t>
      </w:r>
      <w:r>
        <w:t xml:space="preserve"> - CRUD formations. - Gestion promotions / codes promo. - Validation manuelle des paiements (optionnel pour virements). - Dashboard financier : ventes, remboursements, commissions partenaires. - Export comptable (CSV, Excel) et journaux pour audit.</w:t>
      </w:r>
    </w:p>
    <w:p w14:paraId="4FD37C4A" w14:textId="77777777" w:rsidR="00FB6C92" w:rsidRDefault="00000000">
      <w:pPr>
        <w:pStyle w:val="Corpsdetexte"/>
      </w:pPr>
      <w:r>
        <w:rPr>
          <w:b/>
          <w:bCs/>
        </w:rPr>
        <w:t>Reporting et KPI</w:t>
      </w:r>
      <w:r>
        <w:t xml:space="preserve"> - Revenus par formation, par partenaire et par canal de paiement. - Taux de conversion (visite → achat), abandon panier. - Métriques spécifiques Afrique : part Mobile Money, répartition par opérateur mobile.</w:t>
      </w:r>
    </w:p>
    <w:p w14:paraId="4FD37C4B" w14:textId="00C057F0" w:rsidR="00FB6C92" w:rsidRPr="005067D6" w:rsidRDefault="00FB6C92">
      <w:pPr>
        <w:rPr>
          <w:color w:val="7030A0"/>
        </w:rPr>
      </w:pPr>
    </w:p>
    <w:p w14:paraId="4FD37C4C" w14:textId="77777777" w:rsidR="00FB6C92" w:rsidRPr="005067D6" w:rsidRDefault="00000000">
      <w:pPr>
        <w:pStyle w:val="Titre2"/>
        <w:rPr>
          <w:color w:val="7030A0"/>
        </w:rPr>
      </w:pPr>
      <w:bookmarkStart w:id="6" w:name="exigences-techniques"/>
      <w:bookmarkEnd w:id="3"/>
      <w:bookmarkEnd w:id="5"/>
      <w:r w:rsidRPr="005067D6">
        <w:rPr>
          <w:color w:val="7030A0"/>
        </w:rPr>
        <w:t>4. Exigences techniques</w:t>
      </w:r>
    </w:p>
    <w:p w14:paraId="4FD37C4D" w14:textId="49126D1F" w:rsidR="00FB6C92" w:rsidRPr="00B17EA1" w:rsidRDefault="00000000">
      <w:pPr>
        <w:pStyle w:val="Titre3"/>
        <w:rPr>
          <w:color w:val="000000" w:themeColor="text1"/>
        </w:rPr>
      </w:pPr>
      <w:bookmarkStart w:id="7" w:name="architecture-recommandée-haut-niveau"/>
      <w:r w:rsidRPr="00B17EA1">
        <w:rPr>
          <w:color w:val="000000" w:themeColor="text1"/>
        </w:rPr>
        <w:t xml:space="preserve">4.1 Architecture recommandée </w:t>
      </w:r>
    </w:p>
    <w:p w14:paraId="4FD37C4E" w14:textId="77777777" w:rsidR="00FB6C92" w:rsidRDefault="00000000">
      <w:pPr>
        <w:pStyle w:val="Compact"/>
        <w:numPr>
          <w:ilvl w:val="0"/>
          <w:numId w:val="4"/>
        </w:numPr>
      </w:pPr>
      <w:proofErr w:type="gramStart"/>
      <w:r>
        <w:rPr>
          <w:b/>
          <w:bCs/>
        </w:rPr>
        <w:t>Frontend</w:t>
      </w:r>
      <w:r>
        <w:t xml:space="preserve"> :</w:t>
      </w:r>
      <w:proofErr w:type="gramEnd"/>
      <w:r>
        <w:t xml:space="preserve"> SPA React / Next.js (SSR si SEO </w:t>
      </w:r>
      <w:proofErr w:type="gramStart"/>
      <w:r>
        <w:t>important) —</w:t>
      </w:r>
      <w:proofErr w:type="gramEnd"/>
      <w:r>
        <w:t xml:space="preserve"> mobile-first.</w:t>
      </w:r>
    </w:p>
    <w:p w14:paraId="4FD37C4F" w14:textId="77777777" w:rsidR="00FB6C92" w:rsidRDefault="00000000">
      <w:pPr>
        <w:pStyle w:val="Compact"/>
        <w:numPr>
          <w:ilvl w:val="0"/>
          <w:numId w:val="4"/>
        </w:numPr>
      </w:pPr>
      <w:r>
        <w:rPr>
          <w:b/>
          <w:bCs/>
        </w:rPr>
        <w:t>Backend</w:t>
      </w:r>
      <w:r>
        <w:t xml:space="preserve"> : API REST / GraphQL (Laravel / Node.js / NestJS) selon compétence interne.</w:t>
      </w:r>
    </w:p>
    <w:p w14:paraId="4FD37C50" w14:textId="77777777" w:rsidR="00FB6C92" w:rsidRDefault="00000000">
      <w:pPr>
        <w:pStyle w:val="Compact"/>
        <w:numPr>
          <w:ilvl w:val="0"/>
          <w:numId w:val="4"/>
        </w:numPr>
      </w:pPr>
      <w:r>
        <w:rPr>
          <w:b/>
          <w:bCs/>
        </w:rPr>
        <w:t>Base de données</w:t>
      </w:r>
      <w:r>
        <w:t xml:space="preserve"> : PostgreSQL (transactions) + Redis (cache, sessions).</w:t>
      </w:r>
    </w:p>
    <w:p w14:paraId="4FD37C51" w14:textId="77777777" w:rsidR="00FB6C92" w:rsidRDefault="00000000">
      <w:pPr>
        <w:pStyle w:val="Compact"/>
        <w:numPr>
          <w:ilvl w:val="0"/>
          <w:numId w:val="4"/>
        </w:numPr>
      </w:pPr>
      <w:r>
        <w:rPr>
          <w:b/>
          <w:bCs/>
        </w:rPr>
        <w:t>Stockage</w:t>
      </w:r>
      <w:r>
        <w:t xml:space="preserve"> : S3-compatible pour assets (logos, PDFs, reçus).</w:t>
      </w:r>
    </w:p>
    <w:p w14:paraId="4FD37C52" w14:textId="77777777" w:rsidR="00FB6C92" w:rsidRDefault="00000000">
      <w:pPr>
        <w:pStyle w:val="Compact"/>
        <w:numPr>
          <w:ilvl w:val="0"/>
          <w:numId w:val="4"/>
        </w:numPr>
      </w:pPr>
      <w:r>
        <w:rPr>
          <w:b/>
          <w:bCs/>
        </w:rPr>
        <w:t>Queue</w:t>
      </w:r>
      <w:r>
        <w:t xml:space="preserve"> : RabbitMQ ou Redis-streams pour traitement asynchrone (emails, génération identifiants).</w:t>
      </w:r>
    </w:p>
    <w:p w14:paraId="4FD37C53" w14:textId="77777777" w:rsidR="00FB6C92" w:rsidRDefault="00000000">
      <w:pPr>
        <w:pStyle w:val="Compact"/>
        <w:numPr>
          <w:ilvl w:val="0"/>
          <w:numId w:val="4"/>
        </w:numPr>
      </w:pPr>
      <w:r>
        <w:rPr>
          <w:b/>
          <w:bCs/>
        </w:rPr>
        <w:t>Hébergement</w:t>
      </w:r>
      <w:r>
        <w:t xml:space="preserve"> : cloud (AWS/GCP/Azure) ou fournisseur local selon contrainte de résidence des données.</w:t>
      </w:r>
    </w:p>
    <w:p w14:paraId="4FD37C54" w14:textId="77777777" w:rsidR="00FB6C92" w:rsidRPr="00B17EA1" w:rsidRDefault="00000000">
      <w:pPr>
        <w:pStyle w:val="Titre3"/>
        <w:rPr>
          <w:color w:val="000000" w:themeColor="text1"/>
        </w:rPr>
      </w:pPr>
      <w:bookmarkStart w:id="8" w:name="intégrations-clés"/>
      <w:bookmarkEnd w:id="7"/>
      <w:r w:rsidRPr="00B17EA1">
        <w:rPr>
          <w:color w:val="000000" w:themeColor="text1"/>
        </w:rPr>
        <w:lastRenderedPageBreak/>
        <w:t>4.2 Intégrations clés</w:t>
      </w:r>
    </w:p>
    <w:p w14:paraId="4FD37C55" w14:textId="77777777" w:rsidR="00FB6C92" w:rsidRDefault="00000000">
      <w:pPr>
        <w:pStyle w:val="Compact"/>
        <w:numPr>
          <w:ilvl w:val="0"/>
          <w:numId w:val="5"/>
        </w:numPr>
      </w:pPr>
      <w:r>
        <w:rPr>
          <w:b/>
          <w:bCs/>
        </w:rPr>
        <w:t>Payment Service Provider (PSP</w:t>
      </w:r>
      <w:proofErr w:type="gramStart"/>
      <w:r>
        <w:rPr>
          <w:b/>
          <w:bCs/>
        </w:rPr>
        <w:t>)</w:t>
      </w:r>
      <w:r>
        <w:t xml:space="preserve"> :</w:t>
      </w:r>
      <w:proofErr w:type="gramEnd"/>
      <w:r>
        <w:t xml:space="preserve"> intégration via API + webhooks (reconnaissance paiement, statut, remboursement).</w:t>
      </w:r>
    </w:p>
    <w:p w14:paraId="4FD37C56" w14:textId="77777777" w:rsidR="00FB6C92" w:rsidRDefault="00000000">
      <w:pPr>
        <w:pStyle w:val="Compact"/>
        <w:numPr>
          <w:ilvl w:val="0"/>
          <w:numId w:val="5"/>
        </w:numPr>
      </w:pPr>
      <w:r>
        <w:rPr>
          <w:b/>
          <w:bCs/>
        </w:rPr>
        <w:t>Mobile Money</w:t>
      </w:r>
      <w:r>
        <w:t xml:space="preserve"> : utiliser PSPs qui supportent Mobile Money local (ou intégrateur) pour Orange Money / MTN MoMo / Moov.</w:t>
      </w:r>
    </w:p>
    <w:p w14:paraId="4FD37C57" w14:textId="77777777" w:rsidR="00FB6C92" w:rsidRDefault="00000000">
      <w:pPr>
        <w:pStyle w:val="Compact"/>
        <w:numPr>
          <w:ilvl w:val="0"/>
          <w:numId w:val="5"/>
        </w:numPr>
      </w:pPr>
      <w:r>
        <w:rPr>
          <w:b/>
          <w:bCs/>
        </w:rPr>
        <w:t>Email transactionnel</w:t>
      </w:r>
      <w:r>
        <w:t xml:space="preserve"> : SendGrid / Mailgun / Postmark (provider avec bon deliverability).</w:t>
      </w:r>
    </w:p>
    <w:p w14:paraId="4FD37C58" w14:textId="77777777" w:rsidR="00FB6C92" w:rsidRDefault="00000000">
      <w:pPr>
        <w:pStyle w:val="Compact"/>
        <w:numPr>
          <w:ilvl w:val="0"/>
          <w:numId w:val="5"/>
        </w:numPr>
      </w:pPr>
      <w:r>
        <w:rPr>
          <w:b/>
          <w:bCs/>
        </w:rPr>
        <w:t>SMS / WhatsApp</w:t>
      </w:r>
      <w:r>
        <w:t xml:space="preserve"> : Africa’s Talking / Infobip / Twilio / Meta WhatsApp Business API.</w:t>
      </w:r>
    </w:p>
    <w:p w14:paraId="4FD37C59" w14:textId="77777777" w:rsidR="00FB6C92" w:rsidRDefault="00000000">
      <w:pPr>
        <w:pStyle w:val="Compact"/>
        <w:numPr>
          <w:ilvl w:val="0"/>
          <w:numId w:val="5"/>
        </w:numPr>
      </w:pPr>
      <w:r>
        <w:rPr>
          <w:b/>
          <w:bCs/>
        </w:rPr>
        <w:t>LMS / Plateforme partenaire</w:t>
      </w:r>
      <w:r>
        <w:t xml:space="preserve"> : standard LTI (ou provision via API / SSO / création manuelle d’identifiants).</w:t>
      </w:r>
    </w:p>
    <w:p w14:paraId="4FD37C5A" w14:textId="77777777" w:rsidR="00FB6C92" w:rsidRDefault="00000000">
      <w:pPr>
        <w:pStyle w:val="Normalcentr"/>
      </w:pPr>
      <w:r>
        <w:t>Note technique : prévoir un module “Partner Connector” (middleware) pour normaliser les méthodes de provisioning selon le type de partenaire (API, LTI, CSV batch, e-mail automatique).</w:t>
      </w:r>
    </w:p>
    <w:p w14:paraId="4FD37C5B" w14:textId="77777777" w:rsidR="00FB6C92" w:rsidRPr="00887B86" w:rsidRDefault="00000000">
      <w:pPr>
        <w:pStyle w:val="Titre3"/>
        <w:rPr>
          <w:color w:val="000000" w:themeColor="text1"/>
        </w:rPr>
      </w:pPr>
      <w:bookmarkStart w:id="9" w:name="normalisation-standards-pédagogiques"/>
      <w:bookmarkEnd w:id="8"/>
      <w:r w:rsidRPr="00887B86">
        <w:rPr>
          <w:color w:val="000000" w:themeColor="text1"/>
        </w:rPr>
        <w:t xml:space="preserve">4.3 </w:t>
      </w:r>
      <w:proofErr w:type="spellStart"/>
      <w:r w:rsidRPr="00887B86">
        <w:rPr>
          <w:color w:val="000000" w:themeColor="text1"/>
        </w:rPr>
        <w:t>Normalisation</w:t>
      </w:r>
      <w:proofErr w:type="spellEnd"/>
      <w:r w:rsidRPr="00887B86">
        <w:rPr>
          <w:color w:val="000000" w:themeColor="text1"/>
        </w:rPr>
        <w:t xml:space="preserve"> &amp; standards pédagogiques</w:t>
      </w:r>
    </w:p>
    <w:p w14:paraId="4FD37C5C" w14:textId="77777777" w:rsidR="00FB6C92" w:rsidRDefault="00000000">
      <w:pPr>
        <w:pStyle w:val="Compact"/>
        <w:numPr>
          <w:ilvl w:val="0"/>
          <w:numId w:val="6"/>
        </w:numPr>
      </w:pPr>
      <w:r>
        <w:rPr>
          <w:b/>
          <w:bCs/>
        </w:rPr>
        <w:t>LTI 1.3 / LTI Advantage</w:t>
      </w:r>
      <w:r>
        <w:t xml:space="preserve"> pour les intégrations LMS quand possible (SSO, </w:t>
      </w:r>
      <w:proofErr w:type="gramStart"/>
      <w:r>
        <w:t>deep-linking</w:t>
      </w:r>
      <w:proofErr w:type="gramEnd"/>
      <w:r>
        <w:t>, retour de notes si nécessaire). citeturn0search5</w:t>
      </w:r>
    </w:p>
    <w:p w14:paraId="4FD37C5D" w14:textId="77777777" w:rsidR="00FB6C92" w:rsidRDefault="00000000">
      <w:pPr>
        <w:pStyle w:val="Compact"/>
        <w:numPr>
          <w:ilvl w:val="0"/>
          <w:numId w:val="6"/>
        </w:numPr>
      </w:pPr>
      <w:r>
        <w:t>SCORM / xAPI seulement si la plateforme partenaire expose ces interfaces — FormationPro n’héberge pas le contenu.</w:t>
      </w:r>
    </w:p>
    <w:p w14:paraId="4FD37C5E" w14:textId="6DFA3F4B" w:rsidR="00FB6C92" w:rsidRDefault="00FB6C92"/>
    <w:p w14:paraId="4FD37C5F" w14:textId="77777777" w:rsidR="00FB6C92" w:rsidRPr="00B17EA1" w:rsidRDefault="00000000">
      <w:pPr>
        <w:pStyle w:val="Titre2"/>
        <w:rPr>
          <w:color w:val="7030A0"/>
        </w:rPr>
      </w:pPr>
      <w:bookmarkStart w:id="10" w:name="paiements-spécifications-recommandations"/>
      <w:bookmarkEnd w:id="6"/>
      <w:bookmarkEnd w:id="9"/>
      <w:r w:rsidRPr="00B17EA1">
        <w:rPr>
          <w:color w:val="7030A0"/>
        </w:rPr>
        <w:t>5. Paiements — spécifications &amp; recommandations</w:t>
      </w:r>
    </w:p>
    <w:p w14:paraId="4FD37C60" w14:textId="526CB8AC" w:rsidR="00FB6C92" w:rsidRDefault="00000000">
      <w:pPr>
        <w:pStyle w:val="Compact"/>
        <w:numPr>
          <w:ilvl w:val="0"/>
          <w:numId w:val="7"/>
        </w:numPr>
      </w:pPr>
      <w:r>
        <w:rPr>
          <w:b/>
          <w:bCs/>
        </w:rPr>
        <w:t>Priorité Mobile Money</w:t>
      </w:r>
      <w:r>
        <w:t xml:space="preserve"> (statut dominant en Côte d’Ivoire et dans plusieurs pays africains). Intégrer Orange Money, MTN MoMo, Moov et autres via PSPs/agrégateurs ou via partenariats bancaires locaux (liste officielle des EMI / opérateurs à consulter selon pays). </w:t>
      </w:r>
    </w:p>
    <w:p w14:paraId="4FD37C61" w14:textId="2FF573AE" w:rsidR="00FB6C92" w:rsidRDefault="00000000">
      <w:pPr>
        <w:pStyle w:val="Compact"/>
        <w:numPr>
          <w:ilvl w:val="0"/>
          <w:numId w:val="7"/>
        </w:numPr>
      </w:pPr>
      <w:r>
        <w:rPr>
          <w:b/>
          <w:bCs/>
        </w:rPr>
        <w:t xml:space="preserve">PSP </w:t>
      </w:r>
      <w:proofErr w:type="gramStart"/>
      <w:r>
        <w:rPr>
          <w:b/>
          <w:bCs/>
        </w:rPr>
        <w:t>recommandés</w:t>
      </w:r>
      <w:r>
        <w:t xml:space="preserve"> :</w:t>
      </w:r>
      <w:proofErr w:type="gramEnd"/>
      <w:r>
        <w:t xml:space="preserve"> privilégier partenaires qui offrent SDKs/webhooks et couvrent à la fois cartes et Mobile Money (ex. Flutterwave, Paystack, DPO et autres). Ces PSP facilitent l’acceptation multi-pays et la réconciliation. </w:t>
      </w:r>
    </w:p>
    <w:p w14:paraId="4FD37C62" w14:textId="77777777" w:rsidR="00FB6C92" w:rsidRDefault="00000000">
      <w:pPr>
        <w:pStyle w:val="Compact"/>
        <w:numPr>
          <w:ilvl w:val="0"/>
          <w:numId w:val="7"/>
        </w:numPr>
      </w:pPr>
      <w:r>
        <w:rPr>
          <w:b/>
          <w:bCs/>
        </w:rPr>
        <w:t xml:space="preserve">Reconciliations &amp; </w:t>
      </w:r>
      <w:proofErr w:type="gramStart"/>
      <w:r>
        <w:rPr>
          <w:b/>
          <w:bCs/>
        </w:rPr>
        <w:t>reporting</w:t>
      </w:r>
      <w:r>
        <w:t xml:space="preserve"> :</w:t>
      </w:r>
      <w:proofErr w:type="gramEnd"/>
      <w:r>
        <w:t xml:space="preserve"> import automatique des rapports de règlement du PSP, matching par référence de transaction.</w:t>
      </w:r>
    </w:p>
    <w:p w14:paraId="4FD37C63" w14:textId="77777777" w:rsidR="00FB6C92" w:rsidRDefault="00000000">
      <w:pPr>
        <w:pStyle w:val="Compact"/>
        <w:numPr>
          <w:ilvl w:val="0"/>
          <w:numId w:val="7"/>
        </w:numPr>
      </w:pPr>
      <w:r>
        <w:rPr>
          <w:b/>
          <w:bCs/>
        </w:rPr>
        <w:t>Sécurité &amp; conformité</w:t>
      </w:r>
      <w:r>
        <w:t xml:space="preserve"> : ne collecter jamais les données de carte en clair ; utiliser tokenisation fournie par le PSP ; respecter PCI-DSS pour le flux de paiement. Prévoir procédures anti-fraude et KYC pour certains montants.</w:t>
      </w:r>
    </w:p>
    <w:p w14:paraId="4FD37C64" w14:textId="345B076D" w:rsidR="00FB6C92" w:rsidRDefault="00FB6C92"/>
    <w:p w14:paraId="4FD37C65" w14:textId="77777777" w:rsidR="00FB6C92" w:rsidRPr="00B17EA1" w:rsidRDefault="00000000">
      <w:pPr>
        <w:pStyle w:val="Titre2"/>
        <w:rPr>
          <w:color w:val="7030A0"/>
        </w:rPr>
      </w:pPr>
      <w:bookmarkStart w:id="11" w:name="communication-notifications"/>
      <w:bookmarkEnd w:id="10"/>
      <w:r w:rsidRPr="00B17EA1">
        <w:rPr>
          <w:color w:val="7030A0"/>
        </w:rPr>
        <w:t>6. Communication &amp; notifications</w:t>
      </w:r>
    </w:p>
    <w:p w14:paraId="4FD37C66" w14:textId="77777777" w:rsidR="00FB6C92" w:rsidRDefault="00000000">
      <w:pPr>
        <w:pStyle w:val="Compact"/>
        <w:numPr>
          <w:ilvl w:val="0"/>
          <w:numId w:val="8"/>
        </w:numPr>
      </w:pPr>
      <w:proofErr w:type="gramStart"/>
      <w:r>
        <w:rPr>
          <w:b/>
          <w:bCs/>
        </w:rPr>
        <w:t>Emails</w:t>
      </w:r>
      <w:r>
        <w:t xml:space="preserve"> :</w:t>
      </w:r>
      <w:proofErr w:type="gramEnd"/>
      <w:r>
        <w:t xml:space="preserve"> templates transactionnels (confirmation, reçu, identifiants), en-têtes clairs, pièces jointes PDF.</w:t>
      </w:r>
    </w:p>
    <w:p w14:paraId="4FD37C67" w14:textId="77777777" w:rsidR="00FB6C92" w:rsidRDefault="00000000">
      <w:pPr>
        <w:pStyle w:val="Compact"/>
        <w:numPr>
          <w:ilvl w:val="0"/>
          <w:numId w:val="8"/>
        </w:numPr>
      </w:pPr>
      <w:r>
        <w:rPr>
          <w:b/>
          <w:bCs/>
        </w:rPr>
        <w:lastRenderedPageBreak/>
        <w:t>SMS</w:t>
      </w:r>
      <w:r>
        <w:t xml:space="preserve"> : notifications courtes (paiement reçu, identifiants envoyés) via fournisseur local/API.</w:t>
      </w:r>
    </w:p>
    <w:p w14:paraId="4FD37C68" w14:textId="77777777" w:rsidR="00FB6C92" w:rsidRDefault="00000000">
      <w:pPr>
        <w:pStyle w:val="Compact"/>
        <w:numPr>
          <w:ilvl w:val="0"/>
          <w:numId w:val="8"/>
        </w:numPr>
      </w:pPr>
      <w:r>
        <w:rPr>
          <w:b/>
          <w:bCs/>
        </w:rPr>
        <w:t>WhatsApp</w:t>
      </w:r>
      <w:r>
        <w:t xml:space="preserve"> : channel de support et notifications enrichies.</w:t>
      </w:r>
    </w:p>
    <w:p w14:paraId="4FD37C69" w14:textId="7663A1D7" w:rsidR="00FB6C92" w:rsidRDefault="00000000">
      <w:pPr>
        <w:pStyle w:val="Normalcentr"/>
      </w:pPr>
      <w:r>
        <w:t xml:space="preserve">Fournisseurs souvent recommandés pour SMS/WhatsApp et API en Afrique : Africa’s Talking (dev-friendly, SMS), Infobip (multi-channel). Ces canaux augmentent la delivery par rapport au seul email. </w:t>
      </w:r>
    </w:p>
    <w:p w14:paraId="4FD37C6A" w14:textId="2338A443" w:rsidR="00FB6C92" w:rsidRDefault="00FB6C92"/>
    <w:p w14:paraId="4FD37C6B" w14:textId="77777777" w:rsidR="00FB6C92" w:rsidRPr="00B17EA1" w:rsidRDefault="00000000">
      <w:pPr>
        <w:pStyle w:val="Titre2"/>
        <w:rPr>
          <w:color w:val="7030A0"/>
        </w:rPr>
      </w:pPr>
      <w:bookmarkStart w:id="12" w:name="modèle-de-données-extrait"/>
      <w:bookmarkEnd w:id="11"/>
      <w:r w:rsidRPr="00B17EA1">
        <w:rPr>
          <w:color w:val="7030A0"/>
        </w:rPr>
        <w:t>7. Modèle de données (extrait)</w:t>
      </w:r>
    </w:p>
    <w:p w14:paraId="4FD37C6C" w14:textId="77777777" w:rsidR="00FB6C92" w:rsidRDefault="00000000">
      <w:pPr>
        <w:pStyle w:val="FirstParagraph"/>
      </w:pPr>
      <w:r>
        <w:rPr>
          <w:b/>
          <w:bCs/>
        </w:rPr>
        <w:t>Tables clés (extrait)</w:t>
      </w:r>
      <w:r>
        <w:t xml:space="preserve"> - users (id, nom, email, phone, country, role, status, created_at) - partners (id, name, contact_email, api_type, api_config) - courses (id, partner_id, external_id, title, description, price_cents, currency, duration) - purchases (id, user_id, course_id, partner_id, amount_cents, currency, status, payment_ref, created_at) - access_tokens (id, purchase_id, partner_user_id, external_login, external_password_encrypted, provisioned_at) - transactions (id, purchase_id, provider, provider_ref, status, raw_payload)</w:t>
      </w:r>
    </w:p>
    <w:p w14:paraId="4FD37C6D" w14:textId="4F0252A4" w:rsidR="00FB6C92" w:rsidRPr="00B17EA1" w:rsidRDefault="00FB6C92">
      <w:pPr>
        <w:rPr>
          <w:color w:val="7030A0"/>
        </w:rPr>
      </w:pPr>
    </w:p>
    <w:p w14:paraId="4FD37C6E" w14:textId="77777777" w:rsidR="00FB6C92" w:rsidRPr="00B17EA1" w:rsidRDefault="00000000">
      <w:pPr>
        <w:pStyle w:val="Titre2"/>
        <w:rPr>
          <w:color w:val="7030A0"/>
        </w:rPr>
      </w:pPr>
      <w:bookmarkStart w:id="13" w:name="sécurité-conformité"/>
      <w:bookmarkEnd w:id="12"/>
      <w:r w:rsidRPr="00B17EA1">
        <w:rPr>
          <w:color w:val="7030A0"/>
        </w:rPr>
        <w:t>8. Sécurité &amp; conformité</w:t>
      </w:r>
    </w:p>
    <w:p w14:paraId="4FD37C6F" w14:textId="77777777" w:rsidR="00FB6C92" w:rsidRDefault="00000000">
      <w:pPr>
        <w:pStyle w:val="Compact"/>
        <w:numPr>
          <w:ilvl w:val="0"/>
          <w:numId w:val="9"/>
        </w:numPr>
      </w:pPr>
      <w:r>
        <w:rPr>
          <w:b/>
          <w:bCs/>
        </w:rPr>
        <w:t>HTTPS obligatoire</w:t>
      </w:r>
      <w:r>
        <w:t xml:space="preserve"> partout (TLS 1.2+).</w:t>
      </w:r>
    </w:p>
    <w:p w14:paraId="4FD37C70" w14:textId="77777777" w:rsidR="00FB6C92" w:rsidRDefault="00000000">
      <w:pPr>
        <w:pStyle w:val="Compact"/>
        <w:numPr>
          <w:ilvl w:val="0"/>
          <w:numId w:val="9"/>
        </w:numPr>
      </w:pPr>
      <w:r>
        <w:rPr>
          <w:b/>
          <w:bCs/>
        </w:rPr>
        <w:t>PCI-DSS</w:t>
      </w:r>
      <w:r>
        <w:t xml:space="preserve"> : ne pas stocker de numéros de carte ; s’appuyer sur la tokenisation PSP.</w:t>
      </w:r>
    </w:p>
    <w:p w14:paraId="4FD37C71" w14:textId="77777777" w:rsidR="00FB6C92" w:rsidRDefault="00000000">
      <w:pPr>
        <w:pStyle w:val="Compact"/>
        <w:numPr>
          <w:ilvl w:val="0"/>
          <w:numId w:val="9"/>
        </w:numPr>
      </w:pPr>
      <w:r>
        <w:rPr>
          <w:b/>
          <w:bCs/>
        </w:rPr>
        <w:t>Protection contre la fraude</w:t>
      </w:r>
      <w:r>
        <w:t xml:space="preserve"> : règles heuristiques + score, blocage/OTP pour tentatives suspectes.</w:t>
      </w:r>
    </w:p>
    <w:p w14:paraId="4FD37C72" w14:textId="77777777" w:rsidR="00FB6C92" w:rsidRDefault="00000000">
      <w:pPr>
        <w:pStyle w:val="Compact"/>
        <w:numPr>
          <w:ilvl w:val="0"/>
          <w:numId w:val="9"/>
        </w:numPr>
      </w:pPr>
      <w:r>
        <w:rPr>
          <w:b/>
          <w:bCs/>
        </w:rPr>
        <w:t>Backups chiffrés</w:t>
      </w:r>
      <w:r>
        <w:t xml:space="preserve"> et plan de restauration.</w:t>
      </w:r>
    </w:p>
    <w:p w14:paraId="4FD37C73" w14:textId="77777777" w:rsidR="00FB6C92" w:rsidRDefault="00000000">
      <w:pPr>
        <w:pStyle w:val="Compact"/>
        <w:numPr>
          <w:ilvl w:val="0"/>
          <w:numId w:val="9"/>
        </w:numPr>
      </w:pPr>
      <w:r>
        <w:rPr>
          <w:b/>
          <w:bCs/>
        </w:rPr>
        <w:t>RGPD / protection des données</w:t>
      </w:r>
      <w:r>
        <w:t xml:space="preserve"> : consentement, possibilité de suppression, logs d’accès. Adapter aux contraintes locales de résidence des données si demandées.</w:t>
      </w:r>
    </w:p>
    <w:p w14:paraId="4FD37C74" w14:textId="06FC1CE0" w:rsidR="00FB6C92" w:rsidRDefault="00FB6C92"/>
    <w:p w14:paraId="4FD37C75" w14:textId="77777777" w:rsidR="00FB6C92" w:rsidRPr="00B17EA1" w:rsidRDefault="00000000">
      <w:pPr>
        <w:pStyle w:val="Titre2"/>
        <w:rPr>
          <w:color w:val="7030A0"/>
        </w:rPr>
      </w:pPr>
      <w:bookmarkStart w:id="14" w:name="non-fonctionnel-nfr"/>
      <w:bookmarkEnd w:id="13"/>
      <w:r w:rsidRPr="00B17EA1">
        <w:rPr>
          <w:color w:val="7030A0"/>
        </w:rPr>
        <w:t>9. Non-fonctionnel (NFR)</w:t>
      </w:r>
    </w:p>
    <w:p w14:paraId="4FD37C76" w14:textId="77777777" w:rsidR="00FB6C92" w:rsidRDefault="00000000">
      <w:pPr>
        <w:pStyle w:val="Compact"/>
        <w:numPr>
          <w:ilvl w:val="0"/>
          <w:numId w:val="10"/>
        </w:numPr>
      </w:pPr>
      <w:proofErr w:type="gramStart"/>
      <w:r>
        <w:rPr>
          <w:b/>
          <w:bCs/>
        </w:rPr>
        <w:t>Disponibilité</w:t>
      </w:r>
      <w:r>
        <w:t xml:space="preserve"> :</w:t>
      </w:r>
      <w:proofErr w:type="gramEnd"/>
      <w:r>
        <w:t xml:space="preserve"> architecture redondante (multi-AZ) pour les composants critiques.</w:t>
      </w:r>
    </w:p>
    <w:p w14:paraId="4FD37C77" w14:textId="77777777" w:rsidR="00FB6C92" w:rsidRDefault="00000000">
      <w:pPr>
        <w:pStyle w:val="Compact"/>
        <w:numPr>
          <w:ilvl w:val="0"/>
          <w:numId w:val="10"/>
        </w:numPr>
      </w:pPr>
      <w:r>
        <w:rPr>
          <w:b/>
          <w:bCs/>
        </w:rPr>
        <w:t>Performance</w:t>
      </w:r>
      <w:r>
        <w:t xml:space="preserve"> : pages catalogue et checkout optimisées pour 3G, assets compressés, lazy-loading.</w:t>
      </w:r>
    </w:p>
    <w:p w14:paraId="4FD37C78" w14:textId="77777777" w:rsidR="00FB6C92" w:rsidRDefault="00000000">
      <w:pPr>
        <w:pStyle w:val="Compact"/>
        <w:numPr>
          <w:ilvl w:val="0"/>
          <w:numId w:val="10"/>
        </w:numPr>
      </w:pPr>
      <w:r>
        <w:rPr>
          <w:b/>
          <w:bCs/>
        </w:rPr>
        <w:t>Sécurité</w:t>
      </w:r>
      <w:r>
        <w:t xml:space="preserve"> : scans réguliers, tests d’intrusion pour la v1 critique.</w:t>
      </w:r>
    </w:p>
    <w:p w14:paraId="4FD37C79" w14:textId="77777777" w:rsidR="00FB6C92" w:rsidRDefault="00000000">
      <w:pPr>
        <w:pStyle w:val="Compact"/>
        <w:numPr>
          <w:ilvl w:val="0"/>
          <w:numId w:val="10"/>
        </w:numPr>
      </w:pPr>
      <w:r>
        <w:rPr>
          <w:b/>
          <w:bCs/>
        </w:rPr>
        <w:t>Accessibilité</w:t>
      </w:r>
      <w:r>
        <w:t xml:space="preserve"> : conformité minimale WCAG AA (au moins pour les pages clés).</w:t>
      </w:r>
    </w:p>
    <w:p w14:paraId="4FD37C7A" w14:textId="4D8A272A" w:rsidR="00FB6C92" w:rsidRDefault="00FB6C92"/>
    <w:p w14:paraId="4FD37C7B" w14:textId="77777777" w:rsidR="00FB6C92" w:rsidRPr="00283CC8" w:rsidRDefault="00000000">
      <w:pPr>
        <w:pStyle w:val="Titre2"/>
        <w:rPr>
          <w:color w:val="7030A0"/>
        </w:rPr>
      </w:pPr>
      <w:bookmarkStart w:id="15" w:name="tests-recette"/>
      <w:bookmarkEnd w:id="14"/>
      <w:r w:rsidRPr="00283CC8">
        <w:rPr>
          <w:color w:val="7030A0"/>
        </w:rPr>
        <w:t>10. Tests &amp; recette</w:t>
      </w:r>
    </w:p>
    <w:p w14:paraId="4FD37C7C" w14:textId="77777777" w:rsidR="00FB6C92" w:rsidRDefault="00000000">
      <w:pPr>
        <w:pStyle w:val="Compact"/>
        <w:numPr>
          <w:ilvl w:val="0"/>
          <w:numId w:val="11"/>
        </w:numPr>
      </w:pPr>
      <w:r>
        <w:t>Tests unitaires, tests d’intégration (webhooks PSP), tests end-to-end sur parcours achat (incluant erreur paiement, remboursement).</w:t>
      </w:r>
    </w:p>
    <w:p w14:paraId="4FD37C7D" w14:textId="77777777" w:rsidR="00FB6C92" w:rsidRDefault="00000000">
      <w:pPr>
        <w:pStyle w:val="Compact"/>
        <w:numPr>
          <w:ilvl w:val="0"/>
          <w:numId w:val="11"/>
        </w:numPr>
      </w:pPr>
      <w:r>
        <w:lastRenderedPageBreak/>
        <w:t>Recette fonctionnelle par la DG sur: catalogue, parcours achat, génération d’accès, export comptable.</w:t>
      </w:r>
    </w:p>
    <w:p w14:paraId="4FD37C7E" w14:textId="77777777" w:rsidR="00FB6C92" w:rsidRDefault="00000000">
      <w:pPr>
        <w:pStyle w:val="Compact"/>
        <w:numPr>
          <w:ilvl w:val="0"/>
          <w:numId w:val="11"/>
        </w:numPr>
      </w:pPr>
      <w:r>
        <w:t>Tests de charge (estimer nombre d’utilisateurs concurrents lors du lancement régional).</w:t>
      </w:r>
    </w:p>
    <w:p w14:paraId="4FD37C7F" w14:textId="480D6334" w:rsidR="00FB6C92" w:rsidRDefault="00FB6C92"/>
    <w:p w14:paraId="4FD37C80" w14:textId="77777777" w:rsidR="00FB6C92" w:rsidRPr="00283CC8" w:rsidRDefault="00000000">
      <w:pPr>
        <w:pStyle w:val="Titre2"/>
        <w:rPr>
          <w:color w:val="7030A0"/>
        </w:rPr>
      </w:pPr>
      <w:bookmarkStart w:id="16" w:name="livrables"/>
      <w:bookmarkEnd w:id="15"/>
      <w:r w:rsidRPr="00283CC8">
        <w:rPr>
          <w:color w:val="7030A0"/>
        </w:rPr>
        <w:t>11. Livrables</w:t>
      </w:r>
    </w:p>
    <w:p w14:paraId="4FD37C81" w14:textId="77777777" w:rsidR="00FB6C92" w:rsidRDefault="00000000">
      <w:pPr>
        <w:pStyle w:val="Compact"/>
        <w:numPr>
          <w:ilvl w:val="0"/>
          <w:numId w:val="12"/>
        </w:numPr>
      </w:pPr>
      <w:r>
        <w:t>Spécification fonctionnelle détaillée (FSD).</w:t>
      </w:r>
    </w:p>
    <w:p w14:paraId="4FD37C82" w14:textId="77777777" w:rsidR="00FB6C92" w:rsidRDefault="00000000">
      <w:pPr>
        <w:pStyle w:val="Compact"/>
        <w:numPr>
          <w:ilvl w:val="0"/>
          <w:numId w:val="12"/>
        </w:numPr>
      </w:pPr>
      <w:r>
        <w:t>Maquettes (mobile + desktop) des pages clés (catalogue, produit, checkout, espace étudiant, admin).</w:t>
      </w:r>
    </w:p>
    <w:p w14:paraId="4FD37C83" w14:textId="77777777" w:rsidR="00FB6C92" w:rsidRDefault="00000000">
      <w:pPr>
        <w:pStyle w:val="Compact"/>
        <w:numPr>
          <w:ilvl w:val="0"/>
          <w:numId w:val="12"/>
        </w:numPr>
      </w:pPr>
      <w:r>
        <w:t>API spec (OpenAPI) + Playground.</w:t>
      </w:r>
    </w:p>
    <w:p w14:paraId="4FD37C84" w14:textId="77777777" w:rsidR="00FB6C92" w:rsidRDefault="00000000">
      <w:pPr>
        <w:pStyle w:val="Compact"/>
        <w:numPr>
          <w:ilvl w:val="0"/>
          <w:numId w:val="12"/>
        </w:numPr>
      </w:pPr>
      <w:r>
        <w:t>Plateforme déployée (staging + production).</w:t>
      </w:r>
    </w:p>
    <w:p w14:paraId="4FD37C85" w14:textId="77777777" w:rsidR="00FB6C92" w:rsidRDefault="00000000">
      <w:pPr>
        <w:pStyle w:val="Compact"/>
        <w:numPr>
          <w:ilvl w:val="0"/>
          <w:numId w:val="12"/>
        </w:numPr>
      </w:pPr>
      <w:r>
        <w:t>Documentation admin et manuel technique.</w:t>
      </w:r>
    </w:p>
    <w:p w14:paraId="4FD37C86" w14:textId="77777777" w:rsidR="00FB6C92" w:rsidRDefault="00000000">
      <w:pPr>
        <w:pStyle w:val="Compact"/>
        <w:numPr>
          <w:ilvl w:val="0"/>
          <w:numId w:val="12"/>
        </w:numPr>
      </w:pPr>
      <w:r>
        <w:t>Plan de maintenance et SLA (niveaux proposés).</w:t>
      </w:r>
    </w:p>
    <w:p w14:paraId="4FD37C87" w14:textId="44A39FC7" w:rsidR="00FB6C92" w:rsidRDefault="00FB6C92"/>
    <w:p w14:paraId="4FD37C88" w14:textId="066C6E59" w:rsidR="00FB6C92" w:rsidRPr="00283CC8" w:rsidRDefault="00000000">
      <w:pPr>
        <w:pStyle w:val="Titre2"/>
        <w:rPr>
          <w:color w:val="7030A0"/>
        </w:rPr>
      </w:pPr>
      <w:bookmarkStart w:id="17" w:name="critères-dacceptation-exemples"/>
      <w:bookmarkEnd w:id="16"/>
      <w:r w:rsidRPr="00283CC8">
        <w:rPr>
          <w:color w:val="7030A0"/>
        </w:rPr>
        <w:t xml:space="preserve">12. Critères d’acceptation </w:t>
      </w:r>
    </w:p>
    <w:p w14:paraId="4FD37C89" w14:textId="77777777" w:rsidR="00FB6C92" w:rsidRDefault="00000000">
      <w:pPr>
        <w:pStyle w:val="Compact"/>
        <w:numPr>
          <w:ilvl w:val="0"/>
          <w:numId w:val="13"/>
        </w:numPr>
      </w:pPr>
      <w:proofErr w:type="gramStart"/>
      <w:r>
        <w:t>Achat :</w:t>
      </w:r>
      <w:proofErr w:type="gramEnd"/>
      <w:r>
        <w:t xml:space="preserve"> lorsque le paiement est validé par le PSP, l’étudiant reçoit automatiquement par email et SMS les identifiants ou le lien de la plateforme partenaire.</w:t>
      </w:r>
    </w:p>
    <w:p w14:paraId="4FD37C8A" w14:textId="77777777" w:rsidR="00FB6C92" w:rsidRDefault="00000000">
      <w:pPr>
        <w:pStyle w:val="Compact"/>
        <w:numPr>
          <w:ilvl w:val="0"/>
          <w:numId w:val="13"/>
        </w:numPr>
      </w:pPr>
      <w:r>
        <w:t>Reconciliation : toutes les transactions PSP doivent s’importer et matcher au moins 95% automatiquement (exceptions documentées).</w:t>
      </w:r>
    </w:p>
    <w:p w14:paraId="4FD37C8B" w14:textId="77777777" w:rsidR="00FB6C92" w:rsidRDefault="00000000">
      <w:pPr>
        <w:pStyle w:val="Compact"/>
        <w:numPr>
          <w:ilvl w:val="0"/>
          <w:numId w:val="13"/>
        </w:numPr>
      </w:pPr>
      <w:r>
        <w:t>Back-office : l’admin peut rechercher une transaction par référence, email, ou date et exporter un rapport.</w:t>
      </w:r>
    </w:p>
    <w:p w14:paraId="4FD37C8C" w14:textId="54355F9F" w:rsidR="00FB6C92" w:rsidRDefault="00FB6C92"/>
    <w:p w14:paraId="4FD37C8D" w14:textId="77777777" w:rsidR="00FB6C92" w:rsidRPr="000A79F7" w:rsidRDefault="00000000">
      <w:pPr>
        <w:pStyle w:val="Titre2"/>
        <w:rPr>
          <w:color w:val="7030A0"/>
        </w:rPr>
      </w:pPr>
      <w:bookmarkStart w:id="18" w:name="X47d2989e923f7feebf4ead4433df8ec4b41c5ec"/>
      <w:bookmarkEnd w:id="17"/>
      <w:r w:rsidRPr="000A79F7">
        <w:rPr>
          <w:color w:val="7030A0"/>
        </w:rPr>
        <w:t>13. Évolutions futures (roadmap fonctionnelle non datée)</w:t>
      </w:r>
    </w:p>
    <w:p w14:paraId="4FD37C8E" w14:textId="77777777" w:rsidR="00FB6C92" w:rsidRDefault="00000000">
      <w:pPr>
        <w:pStyle w:val="Compact"/>
        <w:numPr>
          <w:ilvl w:val="0"/>
          <w:numId w:val="14"/>
        </w:numPr>
      </w:pPr>
      <w:r>
        <w:t>Intégration SSO/LTI complète pour partenaires certifiés.</w:t>
      </w:r>
    </w:p>
    <w:p w14:paraId="4FD37C8F" w14:textId="77777777" w:rsidR="00FB6C92" w:rsidRDefault="00000000">
      <w:pPr>
        <w:pStyle w:val="Compact"/>
        <w:numPr>
          <w:ilvl w:val="0"/>
          <w:numId w:val="14"/>
        </w:numPr>
      </w:pPr>
      <w:r>
        <w:t>Module entreprise (bulk purchase &amp; facturation centralisée).</w:t>
      </w:r>
    </w:p>
    <w:p w14:paraId="4FD37C90" w14:textId="77777777" w:rsidR="00FB6C92" w:rsidRDefault="00000000">
      <w:pPr>
        <w:pStyle w:val="Compact"/>
        <w:numPr>
          <w:ilvl w:val="0"/>
          <w:numId w:val="14"/>
        </w:numPr>
      </w:pPr>
      <w:r>
        <w:t>Marketplace pour formateurs locaux.</w:t>
      </w:r>
    </w:p>
    <w:p w14:paraId="4FD37C91" w14:textId="77777777" w:rsidR="00FB6C92" w:rsidRDefault="00000000">
      <w:pPr>
        <w:pStyle w:val="Compact"/>
        <w:numPr>
          <w:ilvl w:val="0"/>
          <w:numId w:val="14"/>
        </w:numPr>
      </w:pPr>
      <w:r>
        <w:t>Outils d’analyse learning (si un jour on héberge du contenu).</w:t>
      </w:r>
    </w:p>
    <w:p w14:paraId="4FD37C92" w14:textId="1EA237CC" w:rsidR="00FB6C92" w:rsidRDefault="00FB6C92"/>
    <w:p w14:paraId="4FD37C93" w14:textId="77777777" w:rsidR="00FB6C92" w:rsidRPr="00283CC8" w:rsidRDefault="00000000">
      <w:pPr>
        <w:pStyle w:val="Titre2"/>
        <w:rPr>
          <w:color w:val="7030A0"/>
        </w:rPr>
      </w:pPr>
      <w:bookmarkStart w:id="19" w:name="annexes"/>
      <w:bookmarkEnd w:id="18"/>
      <w:r w:rsidRPr="00283CC8">
        <w:rPr>
          <w:color w:val="7030A0"/>
        </w:rPr>
        <w:t>14. Annexes</w:t>
      </w:r>
    </w:p>
    <w:p w14:paraId="4FD37C94" w14:textId="77777777" w:rsidR="00FB6C92" w:rsidRDefault="00000000">
      <w:pPr>
        <w:pStyle w:val="Compact"/>
        <w:numPr>
          <w:ilvl w:val="0"/>
          <w:numId w:val="15"/>
        </w:numPr>
      </w:pPr>
      <w:r>
        <w:t>Exemples de webhooks PSP (pseudocode).</w:t>
      </w:r>
    </w:p>
    <w:p w14:paraId="4FD37C95" w14:textId="77777777" w:rsidR="00FB6C92" w:rsidRDefault="00000000">
      <w:pPr>
        <w:pStyle w:val="Compact"/>
        <w:numPr>
          <w:ilvl w:val="0"/>
          <w:numId w:val="15"/>
        </w:numPr>
      </w:pPr>
      <w:r>
        <w:t>Template d’email transactionnel (HTML + texte).</w:t>
      </w:r>
    </w:p>
    <w:p w14:paraId="4FD37C96" w14:textId="77777777" w:rsidR="00FB6C92" w:rsidRDefault="00000000">
      <w:pPr>
        <w:pStyle w:val="Compact"/>
        <w:numPr>
          <w:ilvl w:val="0"/>
          <w:numId w:val="15"/>
        </w:numPr>
      </w:pPr>
      <w:r>
        <w:t>Liste de contrôle pour la mise en production.</w:t>
      </w:r>
    </w:p>
    <w:p w14:paraId="4FD37C97" w14:textId="0E3134BB" w:rsidR="00FB6C92" w:rsidRDefault="00FB6C92"/>
    <w:p w14:paraId="4FD37C9A" w14:textId="097F71B3" w:rsidR="00FB6C92" w:rsidRDefault="00FB6C92">
      <w:pPr>
        <w:pStyle w:val="Corpsdetexte"/>
      </w:pPr>
      <w:bookmarkStart w:id="20" w:name="fin-du-document"/>
      <w:bookmarkEnd w:id="0"/>
      <w:bookmarkEnd w:id="19"/>
      <w:bookmarkEnd w:id="20"/>
    </w:p>
    <w:sectPr w:rsidR="00FB6C92">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CCAD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22B2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63736991">
    <w:abstractNumId w:val="0"/>
  </w:num>
  <w:num w:numId="2" w16cid:durableId="1972440426">
    <w:abstractNumId w:val="1"/>
  </w:num>
  <w:num w:numId="3" w16cid:durableId="211189207">
    <w:abstractNumId w:val="1"/>
  </w:num>
  <w:num w:numId="4" w16cid:durableId="1936477006">
    <w:abstractNumId w:val="1"/>
  </w:num>
  <w:num w:numId="5" w16cid:durableId="1798446688">
    <w:abstractNumId w:val="1"/>
  </w:num>
  <w:num w:numId="6" w16cid:durableId="1583948500">
    <w:abstractNumId w:val="1"/>
  </w:num>
  <w:num w:numId="7" w16cid:durableId="1694113616">
    <w:abstractNumId w:val="1"/>
  </w:num>
  <w:num w:numId="8" w16cid:durableId="716858258">
    <w:abstractNumId w:val="1"/>
  </w:num>
  <w:num w:numId="9" w16cid:durableId="57899253">
    <w:abstractNumId w:val="1"/>
  </w:num>
  <w:num w:numId="10" w16cid:durableId="1171412333">
    <w:abstractNumId w:val="1"/>
  </w:num>
  <w:num w:numId="11" w16cid:durableId="148715858">
    <w:abstractNumId w:val="1"/>
  </w:num>
  <w:num w:numId="12" w16cid:durableId="2131708305">
    <w:abstractNumId w:val="1"/>
  </w:num>
  <w:num w:numId="13" w16cid:durableId="1659193759">
    <w:abstractNumId w:val="1"/>
  </w:num>
  <w:num w:numId="14" w16cid:durableId="1065371747">
    <w:abstractNumId w:val="1"/>
  </w:num>
  <w:num w:numId="15" w16cid:durableId="1741635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B6C92"/>
    <w:rsid w:val="0004636E"/>
    <w:rsid w:val="000A79F7"/>
    <w:rsid w:val="001F5B2D"/>
    <w:rsid w:val="00283CC8"/>
    <w:rsid w:val="002A5A50"/>
    <w:rsid w:val="003D2CB9"/>
    <w:rsid w:val="004B4E6E"/>
    <w:rsid w:val="004D2556"/>
    <w:rsid w:val="005067D6"/>
    <w:rsid w:val="006561A7"/>
    <w:rsid w:val="0066772B"/>
    <w:rsid w:val="006A177C"/>
    <w:rsid w:val="00887B86"/>
    <w:rsid w:val="00903B5B"/>
    <w:rsid w:val="00A12109"/>
    <w:rsid w:val="00B031E4"/>
    <w:rsid w:val="00B17EA1"/>
    <w:rsid w:val="00CD501B"/>
    <w:rsid w:val="00E67A82"/>
    <w:rsid w:val="00FB6C92"/>
    <w:rsid w:val="00FE2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37C30"/>
  <w15:docId w15:val="{DD9F841C-91CF-4A02-810F-09F28447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1398</Words>
  <Characters>7691</Characters>
  <Application>Microsoft Office Word</Application>
  <DocSecurity>0</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Victoire KOFFI</cp:lastModifiedBy>
  <cp:revision>19</cp:revision>
  <dcterms:created xsi:type="dcterms:W3CDTF">2025-09-15T09:25:00Z</dcterms:created>
  <dcterms:modified xsi:type="dcterms:W3CDTF">2025-09-15T11:28:00Z</dcterms:modified>
</cp:coreProperties>
</file>