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Default Extension="jpeg" ContentType="image/jpeg"/>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120"/>
        <w:rPr>
          <w:sz w:val="20"/>
        </w:rPr>
      </w:pPr>
      <w:r>
        <w:rPr>
          <w:sz w:val="20"/>
        </w:rPr>
        <w:drawing>
          <wp:inline distT="0" distB="0" distL="0" distR="0">
            <wp:extent cx="758951" cy="758951"/>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758951" cy="758951"/>
                    </a:xfrm>
                    <a:prstGeom prst="rect">
                      <a:avLst/>
                    </a:prstGeom>
                  </pic:spPr>
                </pic:pic>
              </a:graphicData>
            </a:graphic>
          </wp:inline>
        </w:drawing>
      </w:r>
      <w:r>
        <w:rPr>
          <w:sz w:val="20"/>
        </w:rPr>
      </w:r>
    </w:p>
    <w:p>
      <w:pPr>
        <w:pStyle w:val="BodyText"/>
        <w:rPr>
          <w:sz w:val="20"/>
        </w:rPr>
      </w:pPr>
    </w:p>
    <w:p>
      <w:pPr>
        <w:pStyle w:val="BodyText"/>
        <w:spacing w:before="1"/>
        <w:rPr>
          <w:sz w:val="21"/>
        </w:rPr>
      </w:pPr>
      <w:r>
        <w:rPr/>
        <w:drawing>
          <wp:anchor distT="0" distB="0" distL="0" distR="0" allowOverlap="1" layoutInCell="1" locked="0" behindDoc="0" simplePos="0" relativeHeight="0">
            <wp:simplePos x="0" y="0"/>
            <wp:positionH relativeFrom="page">
              <wp:posOffset>914400</wp:posOffset>
            </wp:positionH>
            <wp:positionV relativeFrom="paragraph">
              <wp:posOffset>169544</wp:posOffset>
            </wp:positionV>
            <wp:extent cx="5829754" cy="3771900"/>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5829754" cy="3771900"/>
                    </a:xfrm>
                    <a:prstGeom prst="rect">
                      <a:avLst/>
                    </a:prstGeom>
                  </pic:spPr>
                </pic:pic>
              </a:graphicData>
            </a:graphic>
          </wp:anchor>
        </w:drawing>
      </w:r>
    </w:p>
    <w:p>
      <w:pPr>
        <w:pStyle w:val="BodyText"/>
        <w:rPr>
          <w:sz w:val="20"/>
        </w:rPr>
      </w:pPr>
    </w:p>
    <w:p>
      <w:pPr>
        <w:pStyle w:val="Title"/>
        <w:spacing w:line="117" w:lineRule="auto"/>
      </w:pPr>
      <w:r>
        <w:rPr>
          <w:color w:val="005287"/>
        </w:rPr>
        <w:t>Trusted Internet</w:t>
      </w:r>
      <w:r>
        <w:rPr>
          <w:color w:val="005287"/>
          <w:spacing w:val="-237"/>
        </w:rPr>
        <w:t> </w:t>
      </w:r>
      <w:r>
        <w:rPr>
          <w:color w:val="005287"/>
        </w:rPr>
        <w:t>Connections</w:t>
      </w:r>
      <w:r>
        <w:rPr>
          <w:color w:val="005287"/>
          <w:spacing w:val="-1"/>
        </w:rPr>
        <w:t> </w:t>
      </w:r>
      <w:r>
        <w:rPr>
          <w:color w:val="005287"/>
        </w:rPr>
        <w:t>3.0</w:t>
      </w:r>
    </w:p>
    <w:p>
      <w:pPr>
        <w:pStyle w:val="BodyText"/>
        <w:spacing w:before="11"/>
        <w:rPr>
          <w:rFonts w:ascii="Franklin Gothic Demi"/>
          <w:sz w:val="23"/>
        </w:rPr>
      </w:pPr>
      <w:r>
        <w:rPr/>
        <w:pict>
          <v:shape style="position:absolute;margin-left:72pt;margin-top:28.497097pt;width:465.85pt;height:.1pt;mso-position-horizontal-relative:page;mso-position-vertical-relative:paragraph;z-index:-15728128;mso-wrap-distance-left:0;mso-wrap-distance-right:0" id="docshape1" coordorigin="1440,570" coordsize="9317,0" path="m1440,570l10757,570e" filled="false" stroked="true" strokeweight="1pt" strokecolor="#5b9bd4">
            <v:path arrowok="t"/>
            <v:stroke dashstyle="solid"/>
            <w10:wrap type="topAndBottom"/>
          </v:shape>
        </w:pict>
      </w:r>
    </w:p>
    <w:p>
      <w:pPr>
        <w:spacing w:before="158"/>
        <w:ind w:left="120" w:right="0" w:firstLine="0"/>
        <w:jc w:val="left"/>
        <w:rPr>
          <w:rFonts w:ascii="Franklin Gothic Medium"/>
          <w:sz w:val="48"/>
        </w:rPr>
      </w:pPr>
      <w:r>
        <w:rPr>
          <w:rFonts w:ascii="Franklin Gothic Medium"/>
          <w:color w:val="005287"/>
          <w:sz w:val="48"/>
        </w:rPr>
        <w:t>TIC</w:t>
      </w:r>
      <w:r>
        <w:rPr>
          <w:rFonts w:ascii="Franklin Gothic Medium"/>
          <w:color w:val="005287"/>
          <w:spacing w:val="-2"/>
          <w:sz w:val="48"/>
        </w:rPr>
        <w:t> </w:t>
      </w:r>
      <w:r>
        <w:rPr>
          <w:rFonts w:ascii="Franklin Gothic Medium"/>
          <w:color w:val="005287"/>
          <w:sz w:val="48"/>
        </w:rPr>
        <w:t>Core</w:t>
      </w:r>
      <w:r>
        <w:rPr>
          <w:rFonts w:ascii="Franklin Gothic Medium"/>
          <w:color w:val="005287"/>
          <w:spacing w:val="-1"/>
          <w:sz w:val="48"/>
        </w:rPr>
        <w:t> </w:t>
      </w:r>
      <w:r>
        <w:rPr>
          <w:rFonts w:ascii="Franklin Gothic Medium"/>
          <w:color w:val="005287"/>
          <w:sz w:val="48"/>
        </w:rPr>
        <w:t>Guidance</w:t>
      </w:r>
      <w:r>
        <w:rPr>
          <w:rFonts w:ascii="Franklin Gothic Medium"/>
          <w:color w:val="005287"/>
          <w:spacing w:val="-2"/>
          <w:sz w:val="48"/>
        </w:rPr>
        <w:t> </w:t>
      </w:r>
      <w:r>
        <w:rPr>
          <w:rFonts w:ascii="Franklin Gothic Medium"/>
          <w:color w:val="005287"/>
          <w:sz w:val="48"/>
        </w:rPr>
        <w:t>Volume</w:t>
      </w:r>
      <w:r>
        <w:rPr>
          <w:rFonts w:ascii="Franklin Gothic Medium"/>
          <w:color w:val="005287"/>
          <w:spacing w:val="-2"/>
          <w:sz w:val="48"/>
        </w:rPr>
        <w:t> </w:t>
      </w:r>
      <w:r>
        <w:rPr>
          <w:rFonts w:ascii="Franklin Gothic Medium"/>
          <w:color w:val="005287"/>
          <w:sz w:val="48"/>
        </w:rPr>
        <w:t>3:</w:t>
      </w:r>
    </w:p>
    <w:p>
      <w:pPr>
        <w:spacing w:before="3"/>
        <w:ind w:left="120" w:right="0" w:firstLine="0"/>
        <w:jc w:val="left"/>
        <w:rPr>
          <w:rFonts w:ascii="Franklin Gothic Medium"/>
          <w:sz w:val="68"/>
        </w:rPr>
      </w:pPr>
      <w:r>
        <w:rPr>
          <w:rFonts w:ascii="Franklin Gothic Medium"/>
          <w:color w:val="005287"/>
          <w:sz w:val="68"/>
        </w:rPr>
        <w:t>Security</w:t>
      </w:r>
      <w:r>
        <w:rPr>
          <w:rFonts w:ascii="Franklin Gothic Medium"/>
          <w:color w:val="005287"/>
          <w:spacing w:val="-7"/>
          <w:sz w:val="68"/>
        </w:rPr>
        <w:t> </w:t>
      </w:r>
      <w:r>
        <w:rPr>
          <w:rFonts w:ascii="Franklin Gothic Medium"/>
          <w:color w:val="005287"/>
          <w:sz w:val="68"/>
        </w:rPr>
        <w:t>Capabilities</w:t>
      </w:r>
      <w:r>
        <w:rPr>
          <w:rFonts w:ascii="Franklin Gothic Medium"/>
          <w:color w:val="005287"/>
          <w:spacing w:val="-8"/>
          <w:sz w:val="68"/>
        </w:rPr>
        <w:t> </w:t>
      </w:r>
      <w:r>
        <w:rPr>
          <w:rFonts w:ascii="Franklin Gothic Medium"/>
          <w:color w:val="005287"/>
          <w:sz w:val="68"/>
        </w:rPr>
        <w:t>Catalog</w:t>
      </w:r>
    </w:p>
    <w:p>
      <w:pPr>
        <w:pStyle w:val="BodyText"/>
        <w:spacing w:before="489"/>
        <w:ind w:left="120"/>
        <w:rPr>
          <w:rFonts w:ascii="Franklin Gothic Medium"/>
        </w:rPr>
      </w:pPr>
      <w:r>
        <w:rPr>
          <w:rFonts w:ascii="Franklin Gothic Medium"/>
          <w:color w:val="005287"/>
        </w:rPr>
        <w:t>October</w:t>
      </w:r>
      <w:r>
        <w:rPr>
          <w:rFonts w:ascii="Franklin Gothic Medium"/>
          <w:color w:val="005287"/>
          <w:spacing w:val="-3"/>
        </w:rPr>
        <w:t> </w:t>
      </w:r>
      <w:r>
        <w:rPr>
          <w:rFonts w:ascii="Franklin Gothic Medium"/>
          <w:color w:val="005287"/>
        </w:rPr>
        <w:t>2021</w:t>
      </w:r>
    </w:p>
    <w:p>
      <w:pPr>
        <w:pStyle w:val="BodyText"/>
        <w:spacing w:before="120"/>
        <w:ind w:left="120"/>
        <w:rPr>
          <w:rFonts w:ascii="Franklin Gothic Medium"/>
        </w:rPr>
      </w:pPr>
      <w:r>
        <w:rPr>
          <w:rFonts w:ascii="Franklin Gothic Medium"/>
          <w:color w:val="005287"/>
        </w:rPr>
        <w:t>Version</w:t>
      </w:r>
      <w:r>
        <w:rPr>
          <w:rFonts w:ascii="Franklin Gothic Medium"/>
          <w:color w:val="005287"/>
          <w:spacing w:val="-3"/>
        </w:rPr>
        <w:t> </w:t>
      </w:r>
      <w:r>
        <w:rPr>
          <w:rFonts w:ascii="Franklin Gothic Medium"/>
          <w:color w:val="005287"/>
        </w:rPr>
        <w:t>2.0</w:t>
      </w:r>
    </w:p>
    <w:p>
      <w:pPr>
        <w:pStyle w:val="BodyText"/>
        <w:spacing w:line="237" w:lineRule="auto" w:before="122"/>
        <w:ind w:left="120" w:right="5160"/>
        <w:rPr>
          <w:rFonts w:ascii="Franklin Gothic Medium"/>
        </w:rPr>
      </w:pPr>
      <w:r>
        <w:rPr>
          <w:rFonts w:ascii="Franklin Gothic Medium"/>
          <w:color w:val="005287"/>
        </w:rPr>
        <w:t>Cybersecurity</w:t>
      </w:r>
      <w:r>
        <w:rPr>
          <w:rFonts w:ascii="Franklin Gothic Medium"/>
          <w:color w:val="005287"/>
          <w:spacing w:val="-5"/>
        </w:rPr>
        <w:t> </w:t>
      </w:r>
      <w:r>
        <w:rPr>
          <w:rFonts w:ascii="Franklin Gothic Medium"/>
          <w:color w:val="005287"/>
        </w:rPr>
        <w:t>and</w:t>
      </w:r>
      <w:r>
        <w:rPr>
          <w:rFonts w:ascii="Franklin Gothic Medium"/>
          <w:color w:val="005287"/>
          <w:spacing w:val="-5"/>
        </w:rPr>
        <w:t> </w:t>
      </w:r>
      <w:r>
        <w:rPr>
          <w:rFonts w:ascii="Franklin Gothic Medium"/>
          <w:color w:val="005287"/>
        </w:rPr>
        <w:t>Infrastructure</w:t>
      </w:r>
      <w:r>
        <w:rPr>
          <w:rFonts w:ascii="Franklin Gothic Medium"/>
          <w:color w:val="005287"/>
          <w:spacing w:val="-5"/>
        </w:rPr>
        <w:t> </w:t>
      </w:r>
      <w:r>
        <w:rPr>
          <w:rFonts w:ascii="Franklin Gothic Medium"/>
          <w:color w:val="005287"/>
        </w:rPr>
        <w:t>Security</w:t>
      </w:r>
      <w:r>
        <w:rPr>
          <w:rFonts w:ascii="Franklin Gothic Medium"/>
          <w:color w:val="005287"/>
          <w:spacing w:val="-5"/>
        </w:rPr>
        <w:t> </w:t>
      </w:r>
      <w:r>
        <w:rPr>
          <w:rFonts w:ascii="Franklin Gothic Medium"/>
          <w:color w:val="005287"/>
        </w:rPr>
        <w:t>Agency</w:t>
      </w:r>
      <w:r>
        <w:rPr>
          <w:rFonts w:ascii="Franklin Gothic Medium"/>
          <w:color w:val="005287"/>
          <w:spacing w:val="-52"/>
        </w:rPr>
        <w:t> </w:t>
      </w:r>
      <w:r>
        <w:rPr>
          <w:rFonts w:ascii="Franklin Gothic Medium"/>
          <w:color w:val="005287"/>
        </w:rPr>
        <w:t>Cybersecurity</w:t>
      </w:r>
      <w:r>
        <w:rPr>
          <w:rFonts w:ascii="Franklin Gothic Medium"/>
          <w:color w:val="005287"/>
          <w:spacing w:val="-1"/>
        </w:rPr>
        <w:t> </w:t>
      </w:r>
      <w:r>
        <w:rPr>
          <w:rFonts w:ascii="Franklin Gothic Medium"/>
          <w:color w:val="005287"/>
        </w:rPr>
        <w:t>Division</w:t>
      </w:r>
    </w:p>
    <w:p>
      <w:pPr>
        <w:spacing w:after="0" w:line="237" w:lineRule="auto"/>
        <w:rPr>
          <w:rFonts w:ascii="Franklin Gothic Medium"/>
        </w:rPr>
        <w:sectPr>
          <w:type w:val="continuous"/>
          <w:pgSz w:w="12240" w:h="15840"/>
          <w:pgMar w:top="720" w:bottom="280" w:left="1320" w:right="1080"/>
        </w:sectPr>
      </w:pPr>
    </w:p>
    <w:p>
      <w:pPr>
        <w:pStyle w:val="BodyText"/>
        <w:rPr>
          <w:rFonts w:ascii="Franklin Gothic Medium"/>
          <w:sz w:val="20"/>
        </w:rPr>
      </w:pPr>
    </w:p>
    <w:p>
      <w:pPr>
        <w:pStyle w:val="Heading1"/>
        <w:spacing w:before="240"/>
        <w:ind w:left="120" w:firstLine="0"/>
      </w:pPr>
      <w:r>
        <w:rPr/>
        <w:t>Revision</w:t>
      </w:r>
      <w:r>
        <w:rPr>
          <w:spacing w:val="-4"/>
        </w:rPr>
        <w:t> </w:t>
      </w:r>
      <w:r>
        <w:rPr/>
        <w:t>History</w:t>
      </w:r>
    </w:p>
    <w:p>
      <w:pPr>
        <w:pStyle w:val="BodyText"/>
        <w:spacing w:before="280"/>
        <w:ind w:left="120" w:right="383"/>
      </w:pPr>
      <w:r>
        <w:rPr/>
        <w:t>The</w:t>
      </w:r>
      <w:r>
        <w:rPr>
          <w:spacing w:val="-4"/>
        </w:rPr>
        <w:t> </w:t>
      </w:r>
      <w:r>
        <w:rPr/>
        <w:t>version</w:t>
      </w:r>
      <w:r>
        <w:rPr>
          <w:spacing w:val="-2"/>
        </w:rPr>
        <w:t> </w:t>
      </w:r>
      <w:r>
        <w:rPr/>
        <w:t>number</w:t>
      </w:r>
      <w:r>
        <w:rPr>
          <w:spacing w:val="-3"/>
        </w:rPr>
        <w:t> </w:t>
      </w:r>
      <w:r>
        <w:rPr/>
        <w:t>will</w:t>
      </w:r>
      <w:r>
        <w:rPr>
          <w:spacing w:val="-2"/>
        </w:rPr>
        <w:t> </w:t>
      </w:r>
      <w:r>
        <w:rPr/>
        <w:t>be</w:t>
      </w:r>
      <w:r>
        <w:rPr>
          <w:spacing w:val="-3"/>
        </w:rPr>
        <w:t> </w:t>
      </w:r>
      <w:r>
        <w:rPr/>
        <w:t>updated</w:t>
      </w:r>
      <w:r>
        <w:rPr>
          <w:spacing w:val="-3"/>
        </w:rPr>
        <w:t> </w:t>
      </w:r>
      <w:r>
        <w:rPr/>
        <w:t>as</w:t>
      </w:r>
      <w:r>
        <w:rPr>
          <w:spacing w:val="-3"/>
        </w:rPr>
        <w:t> </w:t>
      </w:r>
      <w:r>
        <w:rPr/>
        <w:t>the</w:t>
      </w:r>
      <w:r>
        <w:rPr>
          <w:spacing w:val="-3"/>
        </w:rPr>
        <w:t> </w:t>
      </w:r>
      <w:r>
        <w:rPr/>
        <w:t>document</w:t>
      </w:r>
      <w:r>
        <w:rPr>
          <w:spacing w:val="-3"/>
        </w:rPr>
        <w:t> </w:t>
      </w:r>
      <w:r>
        <w:rPr/>
        <w:t>is</w:t>
      </w:r>
      <w:r>
        <w:rPr>
          <w:spacing w:val="-3"/>
        </w:rPr>
        <w:t> </w:t>
      </w:r>
      <w:r>
        <w:rPr/>
        <w:t>modified.</w:t>
      </w:r>
      <w:r>
        <w:rPr>
          <w:spacing w:val="-2"/>
        </w:rPr>
        <w:t> </w:t>
      </w:r>
      <w:r>
        <w:rPr/>
        <w:t>This</w:t>
      </w:r>
      <w:r>
        <w:rPr>
          <w:spacing w:val="-4"/>
        </w:rPr>
        <w:t> </w:t>
      </w:r>
      <w:r>
        <w:rPr/>
        <w:t>document</w:t>
      </w:r>
      <w:r>
        <w:rPr>
          <w:spacing w:val="-2"/>
        </w:rPr>
        <w:t> </w:t>
      </w:r>
      <w:r>
        <w:rPr/>
        <w:t>will</w:t>
      </w:r>
      <w:r>
        <w:rPr>
          <w:spacing w:val="-2"/>
        </w:rPr>
        <w:t> </w:t>
      </w:r>
      <w:r>
        <w:rPr/>
        <w:t>be</w:t>
      </w:r>
      <w:r>
        <w:rPr>
          <w:spacing w:val="-4"/>
        </w:rPr>
        <w:t> </w:t>
      </w:r>
      <w:r>
        <w:rPr/>
        <w:t>updated</w:t>
      </w:r>
      <w:r>
        <w:rPr>
          <w:spacing w:val="-2"/>
        </w:rPr>
        <w:t> </w:t>
      </w:r>
      <w:r>
        <w:rPr/>
        <w:t>as</w:t>
      </w:r>
      <w:r>
        <w:rPr>
          <w:spacing w:val="-52"/>
        </w:rPr>
        <w:t> </w:t>
      </w:r>
      <w:r>
        <w:rPr/>
        <w:t>needed</w:t>
      </w:r>
      <w:r>
        <w:rPr>
          <w:spacing w:val="-1"/>
        </w:rPr>
        <w:t> </w:t>
      </w:r>
      <w:r>
        <w:rPr/>
        <w:t>to reflect</w:t>
      </w:r>
      <w:r>
        <w:rPr>
          <w:spacing w:val="-1"/>
        </w:rPr>
        <w:t> </w:t>
      </w:r>
      <w:r>
        <w:rPr/>
        <w:t>modern security</w:t>
      </w:r>
      <w:r>
        <w:rPr>
          <w:spacing w:val="-1"/>
        </w:rPr>
        <w:t> </w:t>
      </w:r>
      <w:r>
        <w:rPr/>
        <w:t>practices</w:t>
      </w:r>
      <w:r>
        <w:rPr>
          <w:spacing w:val="-1"/>
        </w:rPr>
        <w:t> </w:t>
      </w:r>
      <w:r>
        <w:rPr/>
        <w:t>and technologies.</w:t>
      </w:r>
    </w:p>
    <w:p>
      <w:pPr>
        <w:pStyle w:val="BodyText"/>
        <w:spacing w:before="4"/>
        <w:rPr>
          <w:sz w:val="24"/>
        </w:rPr>
      </w:pPr>
    </w:p>
    <w:p>
      <w:pPr>
        <w:spacing w:before="0"/>
        <w:ind w:left="120" w:right="0" w:firstLine="0"/>
        <w:jc w:val="left"/>
        <w:rPr>
          <w:i/>
          <w:sz w:val="18"/>
        </w:rPr>
      </w:pPr>
      <w:bookmarkStart w:name="_bookmark0" w:id="1"/>
      <w:bookmarkEnd w:id="1"/>
      <w:r>
        <w:rPr/>
      </w:r>
      <w:r>
        <w:rPr>
          <w:i/>
          <w:sz w:val="18"/>
        </w:rPr>
        <w:t>Table</w:t>
      </w:r>
      <w:r>
        <w:rPr>
          <w:i/>
          <w:spacing w:val="-3"/>
          <w:sz w:val="18"/>
        </w:rPr>
        <w:t> </w:t>
      </w:r>
      <w:r>
        <w:rPr>
          <w:i/>
          <w:sz w:val="18"/>
        </w:rPr>
        <w:t>1:</w:t>
      </w:r>
      <w:r>
        <w:rPr>
          <w:i/>
          <w:spacing w:val="-3"/>
          <w:sz w:val="18"/>
        </w:rPr>
        <w:t> </w:t>
      </w:r>
      <w:r>
        <w:rPr>
          <w:i/>
          <w:sz w:val="18"/>
        </w:rPr>
        <w:t>Revision</w:t>
      </w:r>
      <w:r>
        <w:rPr>
          <w:i/>
          <w:spacing w:val="-3"/>
          <w:sz w:val="18"/>
        </w:rPr>
        <w:t> </w:t>
      </w:r>
      <w:r>
        <w:rPr>
          <w:i/>
          <w:sz w:val="18"/>
        </w:rPr>
        <w:t>History</w:t>
      </w:r>
    </w:p>
    <w:p>
      <w:pPr>
        <w:pStyle w:val="BodyText"/>
        <w:spacing w:before="4" w:after="1"/>
        <w:rPr>
          <w:i/>
          <w:sz w:val="17"/>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59"/>
        <w:gridCol w:w="2134"/>
        <w:gridCol w:w="3116"/>
        <w:gridCol w:w="2853"/>
      </w:tblGrid>
      <w:tr>
        <w:trPr>
          <w:trHeight w:val="663" w:hRule="atLeast"/>
        </w:trPr>
        <w:tc>
          <w:tcPr>
            <w:tcW w:w="1259" w:type="dxa"/>
            <w:tcBorders>
              <w:top w:val="single" w:sz="4" w:space="0" w:color="0057BB"/>
              <w:bottom w:val="single" w:sz="4" w:space="0" w:color="0057BB"/>
            </w:tcBorders>
          </w:tcPr>
          <w:p>
            <w:pPr>
              <w:pStyle w:val="TableParagraph"/>
              <w:rPr>
                <w:b/>
                <w:sz w:val="22"/>
              </w:rPr>
            </w:pPr>
            <w:r>
              <w:rPr>
                <w:b/>
                <w:sz w:val="22"/>
              </w:rPr>
              <w:t>Version</w:t>
            </w:r>
          </w:p>
        </w:tc>
        <w:tc>
          <w:tcPr>
            <w:tcW w:w="2134" w:type="dxa"/>
            <w:tcBorders>
              <w:top w:val="single" w:sz="4" w:space="0" w:color="0057BB"/>
              <w:bottom w:val="single" w:sz="4" w:space="0" w:color="0057BB"/>
            </w:tcBorders>
          </w:tcPr>
          <w:p>
            <w:pPr>
              <w:pStyle w:val="TableParagraph"/>
              <w:ind w:left="396"/>
              <w:rPr>
                <w:b/>
                <w:sz w:val="22"/>
              </w:rPr>
            </w:pPr>
            <w:r>
              <w:rPr>
                <w:b/>
                <w:sz w:val="22"/>
              </w:rPr>
              <w:t>Date</w:t>
            </w:r>
          </w:p>
        </w:tc>
        <w:tc>
          <w:tcPr>
            <w:tcW w:w="3116" w:type="dxa"/>
            <w:tcBorders>
              <w:top w:val="single" w:sz="4" w:space="0" w:color="0057BB"/>
              <w:bottom w:val="single" w:sz="4" w:space="0" w:color="0057BB"/>
            </w:tcBorders>
          </w:tcPr>
          <w:p>
            <w:pPr>
              <w:pStyle w:val="TableParagraph"/>
              <w:ind w:left="336"/>
              <w:rPr>
                <w:b/>
                <w:sz w:val="22"/>
              </w:rPr>
            </w:pPr>
            <w:r>
              <w:rPr>
                <w:b/>
                <w:sz w:val="22"/>
              </w:rPr>
              <w:t>Revision</w:t>
            </w:r>
            <w:r>
              <w:rPr>
                <w:b/>
                <w:spacing w:val="-5"/>
                <w:sz w:val="22"/>
              </w:rPr>
              <w:t> </w:t>
            </w:r>
            <w:r>
              <w:rPr>
                <w:b/>
                <w:sz w:val="22"/>
              </w:rPr>
              <w:t>Description</w:t>
            </w:r>
          </w:p>
        </w:tc>
        <w:tc>
          <w:tcPr>
            <w:tcW w:w="2853" w:type="dxa"/>
            <w:tcBorders>
              <w:top w:val="single" w:sz="4" w:space="0" w:color="0057BB"/>
              <w:bottom w:val="single" w:sz="4" w:space="0" w:color="0057BB"/>
            </w:tcBorders>
          </w:tcPr>
          <w:p>
            <w:pPr>
              <w:pStyle w:val="TableParagraph"/>
              <w:ind w:left="186"/>
              <w:rPr>
                <w:b/>
                <w:sz w:val="22"/>
              </w:rPr>
            </w:pPr>
            <w:r>
              <w:rPr>
                <w:b/>
                <w:sz w:val="22"/>
              </w:rPr>
              <w:t>Sections/Pages</w:t>
            </w:r>
            <w:r>
              <w:rPr>
                <w:b/>
                <w:spacing w:val="-7"/>
                <w:sz w:val="22"/>
              </w:rPr>
              <w:t> </w:t>
            </w:r>
            <w:r>
              <w:rPr>
                <w:b/>
                <w:sz w:val="22"/>
              </w:rPr>
              <w:t>Affected</w:t>
            </w:r>
          </w:p>
        </w:tc>
      </w:tr>
      <w:tr>
        <w:trPr>
          <w:trHeight w:val="653" w:hRule="atLeast"/>
        </w:trPr>
        <w:tc>
          <w:tcPr>
            <w:tcW w:w="1259" w:type="dxa"/>
            <w:tcBorders>
              <w:top w:val="single" w:sz="4" w:space="0" w:color="0057BB"/>
            </w:tcBorders>
            <w:shd w:val="clear" w:color="auto" w:fill="E7EAF3"/>
          </w:tcPr>
          <w:p>
            <w:pPr>
              <w:pStyle w:val="TableParagraph"/>
              <w:spacing w:before="105"/>
              <w:rPr>
                <w:b/>
                <w:sz w:val="22"/>
              </w:rPr>
            </w:pPr>
            <w:r>
              <w:rPr>
                <w:b/>
                <w:sz w:val="22"/>
              </w:rPr>
              <w:t>Draft</w:t>
            </w:r>
          </w:p>
        </w:tc>
        <w:tc>
          <w:tcPr>
            <w:tcW w:w="2134" w:type="dxa"/>
            <w:tcBorders>
              <w:top w:val="single" w:sz="4" w:space="0" w:color="0057BB"/>
            </w:tcBorders>
            <w:shd w:val="clear" w:color="auto" w:fill="E7EAF3"/>
          </w:tcPr>
          <w:p>
            <w:pPr>
              <w:pStyle w:val="TableParagraph"/>
              <w:spacing w:before="105"/>
              <w:ind w:left="396"/>
              <w:rPr>
                <w:sz w:val="22"/>
              </w:rPr>
            </w:pPr>
            <w:r>
              <w:rPr>
                <w:sz w:val="22"/>
              </w:rPr>
              <w:t>December</w:t>
            </w:r>
            <w:r>
              <w:rPr>
                <w:spacing w:val="-4"/>
                <w:sz w:val="22"/>
              </w:rPr>
              <w:t> </w:t>
            </w:r>
            <w:r>
              <w:rPr>
                <w:sz w:val="22"/>
              </w:rPr>
              <w:t>2019</w:t>
            </w:r>
          </w:p>
        </w:tc>
        <w:tc>
          <w:tcPr>
            <w:tcW w:w="3116" w:type="dxa"/>
            <w:tcBorders>
              <w:top w:val="single" w:sz="4" w:space="0" w:color="0057BB"/>
            </w:tcBorders>
            <w:shd w:val="clear" w:color="auto" w:fill="E7EAF3"/>
          </w:tcPr>
          <w:p>
            <w:pPr>
              <w:pStyle w:val="TableParagraph"/>
              <w:spacing w:before="105"/>
              <w:ind w:left="336"/>
              <w:rPr>
                <w:sz w:val="22"/>
              </w:rPr>
            </w:pPr>
            <w:r>
              <w:rPr>
                <w:sz w:val="22"/>
              </w:rPr>
              <w:t>Initial</w:t>
            </w:r>
            <w:r>
              <w:rPr>
                <w:spacing w:val="-4"/>
                <w:sz w:val="22"/>
              </w:rPr>
              <w:t> </w:t>
            </w:r>
            <w:r>
              <w:rPr>
                <w:sz w:val="22"/>
              </w:rPr>
              <w:t>Release</w:t>
            </w:r>
          </w:p>
        </w:tc>
        <w:tc>
          <w:tcPr>
            <w:tcW w:w="2853" w:type="dxa"/>
            <w:tcBorders>
              <w:top w:val="single" w:sz="4" w:space="0" w:color="0057BB"/>
            </w:tcBorders>
            <w:shd w:val="clear" w:color="auto" w:fill="E7EAF3"/>
          </w:tcPr>
          <w:p>
            <w:pPr>
              <w:pStyle w:val="TableParagraph"/>
              <w:spacing w:before="105"/>
              <w:ind w:left="186"/>
              <w:rPr>
                <w:sz w:val="22"/>
              </w:rPr>
            </w:pPr>
            <w:r>
              <w:rPr>
                <w:sz w:val="22"/>
              </w:rPr>
              <w:t>All</w:t>
            </w:r>
          </w:p>
        </w:tc>
      </w:tr>
      <w:tr>
        <w:trPr>
          <w:trHeight w:val="662" w:hRule="atLeast"/>
        </w:trPr>
        <w:tc>
          <w:tcPr>
            <w:tcW w:w="1259" w:type="dxa"/>
          </w:tcPr>
          <w:p>
            <w:pPr>
              <w:pStyle w:val="TableParagraph"/>
              <w:spacing w:before="114"/>
              <w:rPr>
                <w:b/>
                <w:sz w:val="22"/>
              </w:rPr>
            </w:pPr>
            <w:r>
              <w:rPr>
                <w:b/>
                <w:sz w:val="22"/>
              </w:rPr>
              <w:t>1.0</w:t>
            </w:r>
          </w:p>
        </w:tc>
        <w:tc>
          <w:tcPr>
            <w:tcW w:w="2134" w:type="dxa"/>
          </w:tcPr>
          <w:p>
            <w:pPr>
              <w:pStyle w:val="TableParagraph"/>
              <w:spacing w:before="114"/>
              <w:ind w:left="396"/>
              <w:rPr>
                <w:sz w:val="22"/>
              </w:rPr>
            </w:pPr>
            <w:r>
              <w:rPr>
                <w:sz w:val="22"/>
              </w:rPr>
              <w:t>July</w:t>
            </w:r>
            <w:r>
              <w:rPr>
                <w:spacing w:val="-2"/>
                <w:sz w:val="22"/>
              </w:rPr>
              <w:t> </w:t>
            </w:r>
            <w:r>
              <w:rPr>
                <w:sz w:val="22"/>
              </w:rPr>
              <w:t>2020</w:t>
            </w:r>
          </w:p>
        </w:tc>
        <w:tc>
          <w:tcPr>
            <w:tcW w:w="3116" w:type="dxa"/>
          </w:tcPr>
          <w:p>
            <w:pPr>
              <w:pStyle w:val="TableParagraph"/>
              <w:spacing w:before="114"/>
              <w:ind w:left="336"/>
              <w:rPr>
                <w:sz w:val="22"/>
              </w:rPr>
            </w:pPr>
            <w:r>
              <w:rPr>
                <w:sz w:val="22"/>
              </w:rPr>
              <w:t>Response</w:t>
            </w:r>
            <w:r>
              <w:rPr>
                <w:spacing w:val="-4"/>
                <w:sz w:val="22"/>
              </w:rPr>
              <w:t> </w:t>
            </w:r>
            <w:r>
              <w:rPr>
                <w:sz w:val="22"/>
              </w:rPr>
              <w:t>to</w:t>
            </w:r>
            <w:r>
              <w:rPr>
                <w:spacing w:val="-3"/>
                <w:sz w:val="22"/>
              </w:rPr>
              <w:t> </w:t>
            </w:r>
            <w:r>
              <w:rPr>
                <w:sz w:val="22"/>
              </w:rPr>
              <w:t>RFC</w:t>
            </w:r>
            <w:r>
              <w:rPr>
                <w:spacing w:val="-3"/>
                <w:sz w:val="22"/>
              </w:rPr>
              <w:t> </w:t>
            </w:r>
            <w:r>
              <w:rPr>
                <w:sz w:val="22"/>
              </w:rPr>
              <w:t>Feedback</w:t>
            </w:r>
          </w:p>
        </w:tc>
        <w:tc>
          <w:tcPr>
            <w:tcW w:w="2853" w:type="dxa"/>
          </w:tcPr>
          <w:p>
            <w:pPr>
              <w:pStyle w:val="TableParagraph"/>
              <w:spacing w:before="114"/>
              <w:ind w:left="186"/>
              <w:rPr>
                <w:sz w:val="22"/>
              </w:rPr>
            </w:pPr>
            <w:r>
              <w:rPr>
                <w:sz w:val="22"/>
              </w:rPr>
              <w:t>All</w:t>
            </w:r>
          </w:p>
        </w:tc>
      </w:tr>
      <w:tr>
        <w:trPr>
          <w:trHeight w:val="2620" w:hRule="atLeast"/>
        </w:trPr>
        <w:tc>
          <w:tcPr>
            <w:tcW w:w="1259" w:type="dxa"/>
            <w:shd w:val="clear" w:color="auto" w:fill="E7EAF3"/>
          </w:tcPr>
          <w:p>
            <w:pPr>
              <w:pStyle w:val="TableParagraph"/>
              <w:rPr>
                <w:b/>
                <w:sz w:val="22"/>
              </w:rPr>
            </w:pPr>
            <w:r>
              <w:rPr>
                <w:b/>
                <w:sz w:val="22"/>
              </w:rPr>
              <w:t>1.1</w:t>
            </w:r>
          </w:p>
        </w:tc>
        <w:tc>
          <w:tcPr>
            <w:tcW w:w="2134" w:type="dxa"/>
            <w:shd w:val="clear" w:color="auto" w:fill="E7EAF3"/>
          </w:tcPr>
          <w:p>
            <w:pPr>
              <w:pStyle w:val="TableParagraph"/>
              <w:ind w:left="396"/>
              <w:rPr>
                <w:sz w:val="22"/>
              </w:rPr>
            </w:pPr>
            <w:r>
              <w:rPr>
                <w:sz w:val="22"/>
              </w:rPr>
              <w:t>April</w:t>
            </w:r>
            <w:r>
              <w:rPr>
                <w:spacing w:val="-2"/>
                <w:sz w:val="22"/>
              </w:rPr>
              <w:t> </w:t>
            </w:r>
            <w:r>
              <w:rPr>
                <w:sz w:val="22"/>
              </w:rPr>
              <w:t>2021</w:t>
            </w:r>
          </w:p>
        </w:tc>
        <w:tc>
          <w:tcPr>
            <w:tcW w:w="3116" w:type="dxa"/>
            <w:shd w:val="clear" w:color="auto" w:fill="E7EAF3"/>
          </w:tcPr>
          <w:p>
            <w:pPr>
              <w:pStyle w:val="TableParagraph"/>
              <w:ind w:left="336"/>
              <w:rPr>
                <w:sz w:val="22"/>
              </w:rPr>
            </w:pPr>
            <w:r>
              <w:rPr>
                <w:sz w:val="22"/>
              </w:rPr>
              <w:t>Updated</w:t>
            </w:r>
            <w:r>
              <w:rPr>
                <w:spacing w:val="-2"/>
                <w:sz w:val="22"/>
              </w:rPr>
              <w:t> </w:t>
            </w:r>
            <w:r>
              <w:rPr>
                <w:sz w:val="22"/>
              </w:rPr>
              <w:t>Figure</w:t>
            </w:r>
            <w:r>
              <w:rPr>
                <w:spacing w:val="-3"/>
                <w:sz w:val="22"/>
              </w:rPr>
              <w:t> </w:t>
            </w:r>
            <w:r>
              <w:rPr>
                <w:sz w:val="22"/>
              </w:rPr>
              <w:t>2</w:t>
            </w:r>
            <w:r>
              <w:rPr>
                <w:spacing w:val="-2"/>
                <w:sz w:val="22"/>
              </w:rPr>
              <w:t> </w:t>
            </w:r>
            <w:r>
              <w:rPr>
                <w:sz w:val="22"/>
              </w:rPr>
              <w:t>for</w:t>
            </w:r>
            <w:r>
              <w:rPr>
                <w:spacing w:val="-2"/>
                <w:sz w:val="22"/>
              </w:rPr>
              <w:t> </w:t>
            </w:r>
            <w:r>
              <w:rPr>
                <w:sz w:val="22"/>
              </w:rPr>
              <w:t>clarity.</w:t>
            </w:r>
          </w:p>
          <w:p>
            <w:pPr>
              <w:pStyle w:val="TableParagraph"/>
              <w:spacing w:line="259" w:lineRule="auto" w:before="180"/>
              <w:ind w:left="336" w:right="737"/>
              <w:rPr>
                <w:sz w:val="22"/>
              </w:rPr>
            </w:pPr>
            <w:r>
              <w:rPr>
                <w:sz w:val="22"/>
              </w:rPr>
              <w:t>Modified the format of</w:t>
            </w:r>
            <w:r>
              <w:rPr>
                <w:spacing w:val="-52"/>
                <w:sz w:val="22"/>
              </w:rPr>
              <w:t> </w:t>
            </w:r>
            <w:r>
              <w:rPr>
                <w:sz w:val="22"/>
              </w:rPr>
              <w:t>universal capability</w:t>
            </w:r>
            <w:r>
              <w:rPr>
                <w:spacing w:val="1"/>
                <w:sz w:val="22"/>
              </w:rPr>
              <w:t> </w:t>
            </w:r>
            <w:r>
              <w:rPr>
                <w:sz w:val="22"/>
              </w:rPr>
              <w:t>descriptions.</w:t>
            </w:r>
          </w:p>
          <w:p>
            <w:pPr>
              <w:pStyle w:val="TableParagraph"/>
              <w:spacing w:line="259" w:lineRule="auto" w:before="158"/>
              <w:ind w:left="336" w:right="169"/>
              <w:rPr>
                <w:sz w:val="22"/>
              </w:rPr>
            </w:pPr>
            <w:r>
              <w:rPr>
                <w:sz w:val="22"/>
              </w:rPr>
              <w:t>Altered the names of security</w:t>
            </w:r>
            <w:r>
              <w:rPr>
                <w:spacing w:val="-53"/>
                <w:sz w:val="22"/>
              </w:rPr>
              <w:t> </w:t>
            </w:r>
            <w:r>
              <w:rPr>
                <w:sz w:val="22"/>
              </w:rPr>
              <w:t>capabilities to remove</w:t>
            </w:r>
            <w:r>
              <w:rPr>
                <w:spacing w:val="1"/>
                <w:sz w:val="22"/>
              </w:rPr>
              <w:t> </w:t>
            </w:r>
            <w:r>
              <w:rPr>
                <w:sz w:val="22"/>
              </w:rPr>
              <w:t>acronyms.</w:t>
            </w:r>
          </w:p>
        </w:tc>
        <w:tc>
          <w:tcPr>
            <w:tcW w:w="2853" w:type="dxa"/>
            <w:shd w:val="clear" w:color="auto" w:fill="E7EAF3"/>
          </w:tcPr>
          <w:p>
            <w:pPr>
              <w:pStyle w:val="TableParagraph"/>
              <w:ind w:left="186"/>
              <w:rPr>
                <w:sz w:val="22"/>
              </w:rPr>
            </w:pPr>
            <w:r>
              <w:rPr>
                <w:sz w:val="22"/>
              </w:rPr>
              <w:t>Pg.</w:t>
            </w:r>
            <w:r>
              <w:rPr>
                <w:spacing w:val="-1"/>
                <w:sz w:val="22"/>
              </w:rPr>
              <w:t> </w:t>
            </w:r>
            <w:r>
              <w:rPr>
                <w:sz w:val="22"/>
              </w:rPr>
              <w:t>4</w:t>
            </w:r>
          </w:p>
          <w:p>
            <w:pPr>
              <w:pStyle w:val="TableParagraph"/>
              <w:spacing w:before="180"/>
              <w:ind w:left="186"/>
              <w:rPr>
                <w:sz w:val="22"/>
              </w:rPr>
            </w:pPr>
            <w:r>
              <w:rPr>
                <w:sz w:val="22"/>
              </w:rPr>
              <w:t>Pg.</w:t>
            </w:r>
            <w:r>
              <w:rPr>
                <w:spacing w:val="-1"/>
                <w:sz w:val="22"/>
              </w:rPr>
              <w:t> </w:t>
            </w:r>
            <w:r>
              <w:rPr>
                <w:sz w:val="22"/>
              </w:rPr>
              <w:t>6-8</w:t>
            </w:r>
          </w:p>
          <w:p>
            <w:pPr>
              <w:pStyle w:val="TableParagraph"/>
              <w:spacing w:before="0"/>
              <w:ind w:left="0"/>
              <w:rPr>
                <w:i/>
                <w:sz w:val="24"/>
              </w:rPr>
            </w:pPr>
          </w:p>
          <w:p>
            <w:pPr>
              <w:pStyle w:val="TableParagraph"/>
              <w:spacing w:before="0"/>
              <w:ind w:left="0"/>
              <w:rPr>
                <w:i/>
                <w:sz w:val="24"/>
              </w:rPr>
            </w:pPr>
          </w:p>
          <w:p>
            <w:pPr>
              <w:pStyle w:val="TableParagraph"/>
              <w:spacing w:before="160"/>
              <w:ind w:left="186"/>
              <w:rPr>
                <w:sz w:val="22"/>
              </w:rPr>
            </w:pPr>
            <w:r>
              <w:rPr>
                <w:sz w:val="22"/>
              </w:rPr>
              <w:t>Pg.</w:t>
            </w:r>
            <w:r>
              <w:rPr>
                <w:spacing w:val="-2"/>
                <w:sz w:val="22"/>
              </w:rPr>
              <w:t> </w:t>
            </w:r>
            <w:r>
              <w:rPr>
                <w:sz w:val="22"/>
              </w:rPr>
              <w:t>9-17</w:t>
            </w:r>
          </w:p>
        </w:tc>
      </w:tr>
      <w:tr>
        <w:trPr>
          <w:trHeight w:val="3007" w:hRule="atLeast"/>
        </w:trPr>
        <w:tc>
          <w:tcPr>
            <w:tcW w:w="1259" w:type="dxa"/>
            <w:tcBorders>
              <w:bottom w:val="single" w:sz="4" w:space="0" w:color="0057BB"/>
            </w:tcBorders>
          </w:tcPr>
          <w:p>
            <w:pPr>
              <w:pStyle w:val="TableParagraph"/>
              <w:rPr>
                <w:b/>
                <w:sz w:val="22"/>
              </w:rPr>
            </w:pPr>
            <w:r>
              <w:rPr>
                <w:b/>
                <w:sz w:val="22"/>
              </w:rPr>
              <w:t>2.0</w:t>
            </w:r>
          </w:p>
        </w:tc>
        <w:tc>
          <w:tcPr>
            <w:tcW w:w="2134" w:type="dxa"/>
            <w:tcBorders>
              <w:bottom w:val="single" w:sz="4" w:space="0" w:color="0057BB"/>
            </w:tcBorders>
          </w:tcPr>
          <w:p>
            <w:pPr>
              <w:pStyle w:val="TableParagraph"/>
              <w:ind w:left="396"/>
              <w:rPr>
                <w:sz w:val="22"/>
              </w:rPr>
            </w:pPr>
            <w:r>
              <w:rPr>
                <w:sz w:val="22"/>
              </w:rPr>
              <w:t>October</w:t>
            </w:r>
            <w:r>
              <w:rPr>
                <w:spacing w:val="-1"/>
                <w:sz w:val="22"/>
              </w:rPr>
              <w:t> </w:t>
            </w:r>
            <w:r>
              <w:rPr>
                <w:sz w:val="22"/>
              </w:rPr>
              <w:t>2021</w:t>
            </w:r>
          </w:p>
        </w:tc>
        <w:tc>
          <w:tcPr>
            <w:tcW w:w="3116" w:type="dxa"/>
            <w:tcBorders>
              <w:bottom w:val="single" w:sz="4" w:space="0" w:color="0057BB"/>
            </w:tcBorders>
          </w:tcPr>
          <w:p>
            <w:pPr>
              <w:pStyle w:val="TableParagraph"/>
              <w:spacing w:line="259" w:lineRule="auto"/>
              <w:ind w:left="336" w:right="451"/>
              <w:rPr>
                <w:sz w:val="22"/>
              </w:rPr>
            </w:pPr>
            <w:r>
              <w:rPr>
                <w:sz w:val="22"/>
              </w:rPr>
              <w:t>Added a “capability</w:t>
            </w:r>
            <w:r>
              <w:rPr>
                <w:spacing w:val="1"/>
                <w:sz w:val="22"/>
              </w:rPr>
              <w:t> </w:t>
            </w:r>
            <w:r>
              <w:rPr>
                <w:sz w:val="22"/>
              </w:rPr>
              <w:t>identifiers” column to the</w:t>
            </w:r>
            <w:r>
              <w:rPr>
                <w:spacing w:val="1"/>
                <w:sz w:val="22"/>
              </w:rPr>
              <w:t> </w:t>
            </w:r>
            <w:r>
              <w:rPr>
                <w:sz w:val="22"/>
              </w:rPr>
              <w:t>security</w:t>
            </w:r>
            <w:r>
              <w:rPr>
                <w:spacing w:val="-6"/>
                <w:sz w:val="22"/>
              </w:rPr>
              <w:t> </w:t>
            </w:r>
            <w:r>
              <w:rPr>
                <w:sz w:val="22"/>
              </w:rPr>
              <w:t>capabilities</w:t>
            </w:r>
            <w:r>
              <w:rPr>
                <w:spacing w:val="-7"/>
                <w:sz w:val="22"/>
              </w:rPr>
              <w:t> </w:t>
            </w:r>
            <w:r>
              <w:rPr>
                <w:sz w:val="22"/>
              </w:rPr>
              <w:t>tables</w:t>
            </w:r>
          </w:p>
          <w:p>
            <w:pPr>
              <w:pStyle w:val="TableParagraph"/>
              <w:spacing w:line="259" w:lineRule="auto" w:before="159"/>
              <w:ind w:left="336" w:right="187"/>
              <w:rPr>
                <w:sz w:val="22"/>
              </w:rPr>
            </w:pPr>
            <w:r>
              <w:rPr>
                <w:sz w:val="22"/>
              </w:rPr>
              <w:t>Added the following security</w:t>
            </w:r>
            <w:r>
              <w:rPr>
                <w:spacing w:val="-53"/>
                <w:sz w:val="22"/>
              </w:rPr>
              <w:t> </w:t>
            </w:r>
            <w:r>
              <w:rPr>
                <w:sz w:val="22"/>
              </w:rPr>
              <w:t>capabilities: User Awareness</w:t>
            </w:r>
            <w:r>
              <w:rPr>
                <w:spacing w:val="-52"/>
                <w:sz w:val="22"/>
              </w:rPr>
              <w:t> </w:t>
            </w:r>
            <w:r>
              <w:rPr>
                <w:sz w:val="22"/>
              </w:rPr>
              <w:t>and Training, Domain Name</w:t>
            </w:r>
            <w:r>
              <w:rPr>
                <w:spacing w:val="-52"/>
                <w:sz w:val="22"/>
              </w:rPr>
              <w:t> </w:t>
            </w:r>
            <w:r>
              <w:rPr>
                <w:sz w:val="22"/>
              </w:rPr>
              <w:t>Monitoring, Application</w:t>
            </w:r>
            <w:r>
              <w:rPr>
                <w:spacing w:val="1"/>
                <w:sz w:val="22"/>
              </w:rPr>
              <w:t> </w:t>
            </w:r>
            <w:r>
              <w:rPr>
                <w:sz w:val="22"/>
              </w:rPr>
              <w:t>Container, Remote Desktop</w:t>
            </w:r>
            <w:r>
              <w:rPr>
                <w:spacing w:val="1"/>
                <w:sz w:val="22"/>
              </w:rPr>
              <w:t> </w:t>
            </w:r>
            <w:r>
              <w:rPr>
                <w:sz w:val="22"/>
              </w:rPr>
              <w:t>Access</w:t>
            </w:r>
          </w:p>
        </w:tc>
        <w:tc>
          <w:tcPr>
            <w:tcW w:w="2853" w:type="dxa"/>
            <w:tcBorders>
              <w:bottom w:val="single" w:sz="4" w:space="0" w:color="0057BB"/>
            </w:tcBorders>
          </w:tcPr>
          <w:p>
            <w:pPr>
              <w:pStyle w:val="TableParagraph"/>
              <w:ind w:left="186"/>
              <w:rPr>
                <w:sz w:val="22"/>
              </w:rPr>
            </w:pPr>
            <w:r>
              <w:rPr>
                <w:sz w:val="22"/>
              </w:rPr>
              <w:t>Pg.</w:t>
            </w:r>
            <w:r>
              <w:rPr>
                <w:spacing w:val="-1"/>
                <w:sz w:val="22"/>
              </w:rPr>
              <w:t> </w:t>
            </w:r>
            <w:r>
              <w:rPr>
                <w:sz w:val="22"/>
              </w:rPr>
              <w:t>6-17</w:t>
            </w:r>
          </w:p>
          <w:p>
            <w:pPr>
              <w:pStyle w:val="TableParagraph"/>
              <w:spacing w:before="0"/>
              <w:ind w:left="0"/>
              <w:rPr>
                <w:i/>
                <w:sz w:val="24"/>
              </w:rPr>
            </w:pPr>
          </w:p>
          <w:p>
            <w:pPr>
              <w:pStyle w:val="TableParagraph"/>
              <w:spacing w:before="0"/>
              <w:ind w:left="0"/>
              <w:rPr>
                <w:i/>
                <w:sz w:val="24"/>
              </w:rPr>
            </w:pPr>
          </w:p>
          <w:p>
            <w:pPr>
              <w:pStyle w:val="TableParagraph"/>
              <w:spacing w:before="142"/>
              <w:ind w:left="186"/>
              <w:rPr>
                <w:sz w:val="22"/>
              </w:rPr>
            </w:pPr>
            <w:r>
              <w:rPr>
                <w:sz w:val="22"/>
              </w:rPr>
              <w:t>Pg.</w:t>
            </w:r>
            <w:r>
              <w:rPr>
                <w:spacing w:val="-1"/>
                <w:sz w:val="22"/>
              </w:rPr>
              <w:t> </w:t>
            </w:r>
            <w:r>
              <w:rPr>
                <w:sz w:val="22"/>
              </w:rPr>
              <w:t>8,</w:t>
            </w:r>
            <w:r>
              <w:rPr>
                <w:spacing w:val="-1"/>
                <w:sz w:val="22"/>
              </w:rPr>
              <w:t> </w:t>
            </w:r>
            <w:r>
              <w:rPr>
                <w:sz w:val="22"/>
              </w:rPr>
              <w:t>14,</w:t>
            </w:r>
            <w:r>
              <w:rPr>
                <w:spacing w:val="-2"/>
                <w:sz w:val="22"/>
              </w:rPr>
              <w:t> </w:t>
            </w:r>
            <w:r>
              <w:rPr>
                <w:sz w:val="22"/>
              </w:rPr>
              <w:t>16</w:t>
            </w:r>
          </w:p>
        </w:tc>
      </w:tr>
    </w:tbl>
    <w:p>
      <w:pPr>
        <w:spacing w:after="0"/>
        <w:rPr>
          <w:sz w:val="22"/>
        </w:rPr>
        <w:sectPr>
          <w:headerReference w:type="default" r:id="rId7"/>
          <w:footerReference w:type="default" r:id="rId8"/>
          <w:pgSz w:w="12240" w:h="15840"/>
          <w:pgMar w:header="730" w:footer="476" w:top="960" w:bottom="660" w:left="1320" w:right="1080"/>
          <w:pgNumType w:start="2"/>
        </w:sectPr>
      </w:pPr>
    </w:p>
    <w:p>
      <w:pPr>
        <w:pStyle w:val="BodyText"/>
        <w:rPr>
          <w:i/>
          <w:sz w:val="20"/>
        </w:rPr>
      </w:pPr>
    </w:p>
    <w:p>
      <w:pPr>
        <w:pStyle w:val="Heading1"/>
        <w:ind w:left="120" w:firstLine="0"/>
      </w:pPr>
      <w:r>
        <w:rPr/>
        <w:t>Reader’s</w:t>
      </w:r>
      <w:r>
        <w:rPr>
          <w:spacing w:val="-4"/>
        </w:rPr>
        <w:t> </w:t>
      </w:r>
      <w:r>
        <w:rPr/>
        <w:t>Guide</w:t>
      </w:r>
    </w:p>
    <w:p>
      <w:pPr>
        <w:pStyle w:val="BodyText"/>
        <w:spacing w:before="119"/>
        <w:ind w:left="120" w:right="365"/>
      </w:pPr>
      <w:r>
        <w:rPr/>
        <w:t>The Trusted Internet Connections (TIC) initiative is defined through key documents that describe the</w:t>
      </w:r>
      <w:r>
        <w:rPr>
          <w:spacing w:val="1"/>
        </w:rPr>
        <w:t> </w:t>
      </w:r>
      <w:r>
        <w:rPr/>
        <w:t>directive, the program, the capabilities, the implementation guidance, and capability mappings. Each</w:t>
      </w:r>
      <w:r>
        <w:rPr>
          <w:spacing w:val="1"/>
        </w:rPr>
        <w:t> </w:t>
      </w:r>
      <w:r>
        <w:rPr/>
        <w:t>document has an essential role in describing TIC and its implementation. The documents provide an</w:t>
      </w:r>
      <w:r>
        <w:rPr>
          <w:spacing w:val="1"/>
        </w:rPr>
        <w:t> </w:t>
      </w:r>
      <w:r>
        <w:rPr/>
        <w:t>understanding of how changes have led to the latest version of TIC and why those changes have occurred.</w:t>
      </w:r>
      <w:r>
        <w:rPr>
          <w:spacing w:val="-52"/>
        </w:rPr>
        <w:t> </w:t>
      </w:r>
      <w:r>
        <w:rPr/>
        <w:t>The</w:t>
      </w:r>
      <w:r>
        <w:rPr>
          <w:spacing w:val="-3"/>
        </w:rPr>
        <w:t> </w:t>
      </w:r>
      <w:r>
        <w:rPr/>
        <w:t>documents</w:t>
      </w:r>
      <w:r>
        <w:rPr>
          <w:spacing w:val="-3"/>
        </w:rPr>
        <w:t> </w:t>
      </w:r>
      <w:r>
        <w:rPr/>
        <w:t>go</w:t>
      </w:r>
      <w:r>
        <w:rPr>
          <w:spacing w:val="-2"/>
        </w:rPr>
        <w:t> </w:t>
      </w:r>
      <w:r>
        <w:rPr/>
        <w:t>into</w:t>
      </w:r>
      <w:r>
        <w:rPr>
          <w:spacing w:val="-2"/>
        </w:rPr>
        <w:t> </w:t>
      </w:r>
      <w:r>
        <w:rPr/>
        <w:t>high-level</w:t>
      </w:r>
      <w:r>
        <w:rPr>
          <w:spacing w:val="-2"/>
        </w:rPr>
        <w:t> </w:t>
      </w:r>
      <w:r>
        <w:rPr/>
        <w:t>technical</w:t>
      </w:r>
      <w:r>
        <w:rPr>
          <w:spacing w:val="-2"/>
        </w:rPr>
        <w:t> </w:t>
      </w:r>
      <w:r>
        <w:rPr/>
        <w:t>detail</w:t>
      </w:r>
      <w:r>
        <w:rPr>
          <w:spacing w:val="-1"/>
        </w:rPr>
        <w:t> </w:t>
      </w:r>
      <w:r>
        <w:rPr/>
        <w:t>to</w:t>
      </w:r>
      <w:r>
        <w:rPr>
          <w:spacing w:val="-2"/>
        </w:rPr>
        <w:t> </w:t>
      </w:r>
      <w:r>
        <w:rPr/>
        <w:t>describe</w:t>
      </w:r>
      <w:r>
        <w:rPr>
          <w:spacing w:val="-3"/>
        </w:rPr>
        <w:t> </w:t>
      </w:r>
      <w:r>
        <w:rPr/>
        <w:t>the</w:t>
      </w:r>
      <w:r>
        <w:rPr>
          <w:spacing w:val="-3"/>
        </w:rPr>
        <w:t> </w:t>
      </w:r>
      <w:r>
        <w:rPr/>
        <w:t>exact</w:t>
      </w:r>
      <w:r>
        <w:rPr>
          <w:spacing w:val="-2"/>
        </w:rPr>
        <w:t> </w:t>
      </w:r>
      <w:r>
        <w:rPr/>
        <w:t>changes</w:t>
      </w:r>
      <w:r>
        <w:rPr>
          <w:spacing w:val="-3"/>
        </w:rPr>
        <w:t> </w:t>
      </w:r>
      <w:r>
        <w:rPr/>
        <w:t>in</w:t>
      </w:r>
      <w:r>
        <w:rPr>
          <w:spacing w:val="-2"/>
        </w:rPr>
        <w:t> </w:t>
      </w:r>
      <w:r>
        <w:rPr/>
        <w:t>architecture for</w:t>
      </w:r>
      <w:r>
        <w:rPr>
          <w:spacing w:val="-2"/>
        </w:rPr>
        <w:t> </w:t>
      </w:r>
      <w:r>
        <w:rPr/>
        <w:t>TIC</w:t>
      </w:r>
    </w:p>
    <w:p>
      <w:pPr>
        <w:pStyle w:val="BodyText"/>
        <w:spacing w:before="1"/>
        <w:ind w:left="120" w:right="383"/>
      </w:pPr>
      <w:r>
        <w:rPr/>
        <w:t>3.0. The documents are additive; each builds on the other like chapters in a book. As depicted in Figure 1,</w:t>
      </w:r>
      <w:r>
        <w:rPr>
          <w:spacing w:val="-52"/>
        </w:rPr>
        <w:t> </w:t>
      </w:r>
      <w:r>
        <w:rPr/>
        <w:t>the documents should be referenced in order and to completion to gain a full understanding of the</w:t>
      </w:r>
      <w:r>
        <w:rPr>
          <w:spacing w:val="1"/>
        </w:rPr>
        <w:t> </w:t>
      </w:r>
      <w:r>
        <w:rPr/>
        <w:t>modernized</w:t>
      </w:r>
      <w:r>
        <w:rPr>
          <w:spacing w:val="-1"/>
        </w:rPr>
        <w:t> </w:t>
      </w:r>
      <w:r>
        <w:rPr/>
        <w:t>initiative.</w:t>
      </w:r>
    </w:p>
    <w:p>
      <w:pPr>
        <w:pStyle w:val="BodyText"/>
        <w:spacing w:before="5"/>
      </w:pPr>
      <w:r>
        <w:rPr/>
        <w:drawing>
          <wp:anchor distT="0" distB="0" distL="0" distR="0" allowOverlap="1" layoutInCell="1" locked="0" behindDoc="0" simplePos="0" relativeHeight="2">
            <wp:simplePos x="0" y="0"/>
            <wp:positionH relativeFrom="page">
              <wp:posOffset>970004</wp:posOffset>
            </wp:positionH>
            <wp:positionV relativeFrom="paragraph">
              <wp:posOffset>179275</wp:posOffset>
            </wp:positionV>
            <wp:extent cx="5832818" cy="2743200"/>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9" cstate="print"/>
                    <a:stretch>
                      <a:fillRect/>
                    </a:stretch>
                  </pic:blipFill>
                  <pic:spPr>
                    <a:xfrm>
                      <a:off x="0" y="0"/>
                      <a:ext cx="5832818" cy="2743200"/>
                    </a:xfrm>
                    <a:prstGeom prst="rect">
                      <a:avLst/>
                    </a:prstGeom>
                  </pic:spPr>
                </pic:pic>
              </a:graphicData>
            </a:graphic>
          </wp:anchor>
        </w:drawing>
      </w:r>
    </w:p>
    <w:p>
      <w:pPr>
        <w:pStyle w:val="BodyText"/>
        <w:spacing w:before="6"/>
        <w:rPr>
          <w:sz w:val="24"/>
        </w:rPr>
      </w:pPr>
    </w:p>
    <w:p>
      <w:pPr>
        <w:spacing w:before="1"/>
        <w:ind w:left="3419" w:right="3658" w:firstLine="0"/>
        <w:jc w:val="center"/>
        <w:rPr>
          <w:i/>
          <w:sz w:val="18"/>
        </w:rPr>
      </w:pPr>
      <w:bookmarkStart w:name="_bookmark1" w:id="2"/>
      <w:bookmarkEnd w:id="2"/>
      <w:r>
        <w:rPr/>
      </w:r>
      <w:r>
        <w:rPr>
          <w:i/>
          <w:sz w:val="18"/>
        </w:rPr>
        <w:t>Figure</w:t>
      </w:r>
      <w:r>
        <w:rPr>
          <w:i/>
          <w:spacing w:val="-1"/>
          <w:sz w:val="18"/>
        </w:rPr>
        <w:t> </w:t>
      </w:r>
      <w:r>
        <w:rPr>
          <w:i/>
          <w:sz w:val="18"/>
        </w:rPr>
        <w:t>1:</w:t>
      </w:r>
      <w:r>
        <w:rPr>
          <w:i/>
          <w:spacing w:val="-2"/>
          <w:sz w:val="18"/>
        </w:rPr>
        <w:t> </w:t>
      </w:r>
      <w:r>
        <w:rPr>
          <w:i/>
          <w:sz w:val="18"/>
        </w:rPr>
        <w:t>TIC</w:t>
      </w:r>
      <w:r>
        <w:rPr>
          <w:i/>
          <w:spacing w:val="-2"/>
          <w:sz w:val="18"/>
        </w:rPr>
        <w:t> </w:t>
      </w:r>
      <w:r>
        <w:rPr>
          <w:i/>
          <w:sz w:val="18"/>
        </w:rPr>
        <w:t>3.0</w:t>
      </w:r>
      <w:r>
        <w:rPr>
          <w:i/>
          <w:spacing w:val="-1"/>
          <w:sz w:val="18"/>
        </w:rPr>
        <w:t> </w:t>
      </w:r>
      <w:r>
        <w:rPr>
          <w:i/>
          <w:sz w:val="18"/>
        </w:rPr>
        <w:t>Guidance</w:t>
      </w:r>
      <w:r>
        <w:rPr>
          <w:i/>
          <w:spacing w:val="-2"/>
          <w:sz w:val="18"/>
        </w:rPr>
        <w:t> </w:t>
      </w:r>
      <w:r>
        <w:rPr>
          <w:i/>
          <w:sz w:val="18"/>
        </w:rPr>
        <w:t>Snapshot</w:t>
      </w:r>
    </w:p>
    <w:p>
      <w:pPr>
        <w:spacing w:after="0"/>
        <w:jc w:val="center"/>
        <w:rPr>
          <w:sz w:val="18"/>
        </w:rPr>
        <w:sectPr>
          <w:pgSz w:w="12240" w:h="15840"/>
          <w:pgMar w:header="730" w:footer="476" w:top="960" w:bottom="660" w:left="1320" w:right="1080"/>
        </w:sectPr>
      </w:pPr>
    </w:p>
    <w:p>
      <w:pPr>
        <w:pStyle w:val="BodyText"/>
        <w:rPr>
          <w:i/>
          <w:sz w:val="20"/>
        </w:rPr>
      </w:pPr>
    </w:p>
    <w:p>
      <w:pPr>
        <w:spacing w:before="237"/>
        <w:ind w:left="1772" w:right="2009" w:firstLine="0"/>
        <w:jc w:val="center"/>
        <w:rPr>
          <w:sz w:val="40"/>
        </w:rPr>
      </w:pPr>
      <w:r>
        <w:rPr>
          <w:sz w:val="40"/>
        </w:rPr>
        <w:t>TIC</w:t>
      </w:r>
      <w:r>
        <w:rPr>
          <w:spacing w:val="-4"/>
          <w:sz w:val="40"/>
        </w:rPr>
        <w:t> </w:t>
      </w:r>
      <w:r>
        <w:rPr>
          <w:sz w:val="40"/>
        </w:rPr>
        <w:t>3.0</w:t>
      </w:r>
      <w:r>
        <w:rPr>
          <w:spacing w:val="-4"/>
          <w:sz w:val="40"/>
        </w:rPr>
        <w:t> </w:t>
      </w:r>
      <w:r>
        <w:rPr>
          <w:sz w:val="40"/>
        </w:rPr>
        <w:t>Security</w:t>
      </w:r>
      <w:r>
        <w:rPr>
          <w:spacing w:val="-2"/>
          <w:sz w:val="40"/>
        </w:rPr>
        <w:t> </w:t>
      </w:r>
      <w:r>
        <w:rPr>
          <w:sz w:val="40"/>
        </w:rPr>
        <w:t>Capabilities</w:t>
      </w:r>
      <w:r>
        <w:rPr>
          <w:spacing w:val="-4"/>
          <w:sz w:val="40"/>
        </w:rPr>
        <w:t> </w:t>
      </w:r>
      <w:r>
        <w:rPr>
          <w:sz w:val="40"/>
        </w:rPr>
        <w:t>Catalog</w:t>
      </w:r>
    </w:p>
    <w:p>
      <w:pPr>
        <w:pStyle w:val="Heading1"/>
        <w:spacing w:before="240"/>
        <w:ind w:left="120" w:firstLine="0"/>
      </w:pPr>
      <w:r>
        <w:rPr/>
        <w:t>Table</w:t>
      </w:r>
      <w:r>
        <w:rPr>
          <w:spacing w:val="-3"/>
        </w:rPr>
        <w:t> </w:t>
      </w:r>
      <w:r>
        <w:rPr/>
        <w:t>of</w:t>
      </w:r>
      <w:r>
        <w:rPr>
          <w:spacing w:val="-4"/>
        </w:rPr>
        <w:t> </w:t>
      </w:r>
      <w:r>
        <w:rPr/>
        <w:t>Contents</w:t>
      </w:r>
    </w:p>
    <w:sdt>
      <w:sdtPr>
        <w:docPartObj>
          <w:docPartGallery w:val="Table of Contents"/>
          <w:docPartUnique/>
        </w:docPartObj>
      </w:sdtPr>
      <w:sdtEndPr/>
      <w:sdtContent>
        <w:p>
          <w:pPr>
            <w:pStyle w:val="TOC2"/>
            <w:numPr>
              <w:ilvl w:val="0"/>
              <w:numId w:val="1"/>
            </w:numPr>
            <w:tabs>
              <w:tab w:pos="599" w:val="left" w:leader="none"/>
              <w:tab w:pos="601" w:val="left" w:leader="none"/>
              <w:tab w:pos="9469" w:val="right" w:leader="dot"/>
            </w:tabs>
            <w:spacing w:line="240" w:lineRule="auto" w:before="29" w:after="0"/>
            <w:ind w:left="600" w:right="0" w:hanging="481"/>
            <w:jc w:val="left"/>
          </w:pPr>
          <w:hyperlink w:history="true" w:anchor="_bookmark2">
            <w:r>
              <w:rPr/>
              <w:t>Introduction</w:t>
              <w:tab/>
              <w:t>1</w:t>
            </w:r>
          </w:hyperlink>
        </w:p>
        <w:p>
          <w:pPr>
            <w:pStyle w:val="TOC3"/>
            <w:numPr>
              <w:ilvl w:val="1"/>
              <w:numId w:val="1"/>
            </w:numPr>
            <w:tabs>
              <w:tab w:pos="1110" w:val="left" w:leader="none"/>
              <w:tab w:pos="1111" w:val="left" w:leader="none"/>
              <w:tab w:pos="9469" w:val="right" w:leader="dot"/>
            </w:tabs>
            <w:spacing w:line="240" w:lineRule="auto" w:before="0" w:after="0"/>
            <w:ind w:left="1110" w:right="0" w:hanging="751"/>
            <w:jc w:val="left"/>
          </w:pPr>
          <w:hyperlink w:history="true" w:anchor="_bookmark3">
            <w:r>
              <w:rPr/>
              <w:t>Key</w:t>
            </w:r>
            <w:r>
              <w:rPr>
                <w:spacing w:val="-1"/>
              </w:rPr>
              <w:t> </w:t>
            </w:r>
            <w:r>
              <w:rPr/>
              <w:t>Terms</w:t>
              <w:tab/>
              <w:t>1</w:t>
            </w:r>
          </w:hyperlink>
        </w:p>
        <w:p>
          <w:pPr>
            <w:pStyle w:val="TOC2"/>
            <w:numPr>
              <w:ilvl w:val="0"/>
              <w:numId w:val="1"/>
            </w:numPr>
            <w:tabs>
              <w:tab w:pos="600" w:val="left" w:leader="none"/>
              <w:tab w:pos="601" w:val="left" w:leader="none"/>
              <w:tab w:pos="9469" w:val="right" w:leader="dot"/>
            </w:tabs>
            <w:spacing w:line="253" w:lineRule="exact" w:before="0" w:after="0"/>
            <w:ind w:left="600" w:right="0" w:hanging="481"/>
            <w:jc w:val="left"/>
          </w:pPr>
          <w:hyperlink w:history="true" w:anchor="_bookmark6">
            <w:r>
              <w:rPr/>
              <w:t>Purpose</w:t>
            </w:r>
            <w:r>
              <w:rPr>
                <w:spacing w:val="-2"/>
              </w:rPr>
              <w:t> </w:t>
            </w:r>
            <w:r>
              <w:rPr/>
              <w:t>of the</w:t>
            </w:r>
            <w:r>
              <w:rPr>
                <w:spacing w:val="-1"/>
              </w:rPr>
              <w:t> </w:t>
            </w:r>
            <w:r>
              <w:rPr/>
              <w:t>Security Capabilities</w:t>
            </w:r>
            <w:r>
              <w:rPr>
                <w:spacing w:val="-1"/>
              </w:rPr>
              <w:t> </w:t>
            </w:r>
            <w:r>
              <w:rPr/>
              <w:t>Catalog</w:t>
              <w:tab/>
              <w:t>2</w:t>
            </w:r>
          </w:hyperlink>
        </w:p>
        <w:p>
          <w:pPr>
            <w:pStyle w:val="TOC2"/>
            <w:numPr>
              <w:ilvl w:val="0"/>
              <w:numId w:val="1"/>
            </w:numPr>
            <w:tabs>
              <w:tab w:pos="600" w:val="left" w:leader="none"/>
              <w:tab w:pos="601" w:val="left" w:leader="none"/>
              <w:tab w:pos="9469" w:val="right" w:leader="dot"/>
            </w:tabs>
            <w:spacing w:line="253" w:lineRule="exact" w:before="0" w:after="0"/>
            <w:ind w:left="600" w:right="0" w:hanging="481"/>
            <w:jc w:val="left"/>
          </w:pPr>
          <w:hyperlink w:history="true" w:anchor="_bookmark7">
            <w:r>
              <w:rPr/>
              <w:t>Security</w:t>
            </w:r>
            <w:r>
              <w:rPr>
                <w:spacing w:val="-1"/>
              </w:rPr>
              <w:t> </w:t>
            </w:r>
            <w:r>
              <w:rPr/>
              <w:t>Objectives</w:t>
            </w:r>
            <w:r>
              <w:rPr>
                <w:spacing w:val="-1"/>
              </w:rPr>
              <w:t> </w:t>
            </w:r>
            <w:r>
              <w:rPr/>
              <w:t>of TIC 3.0</w:t>
              <w:tab/>
              <w:t>3</w:t>
            </w:r>
          </w:hyperlink>
        </w:p>
        <w:p>
          <w:pPr>
            <w:pStyle w:val="TOC2"/>
            <w:numPr>
              <w:ilvl w:val="0"/>
              <w:numId w:val="1"/>
            </w:numPr>
            <w:tabs>
              <w:tab w:pos="600" w:val="left" w:leader="none"/>
              <w:tab w:pos="601" w:val="left" w:leader="none"/>
              <w:tab w:pos="9469" w:val="right" w:leader="dot"/>
            </w:tabs>
            <w:spacing w:line="240" w:lineRule="auto" w:before="0" w:after="0"/>
            <w:ind w:left="600" w:right="0" w:hanging="481"/>
            <w:jc w:val="left"/>
          </w:pPr>
          <w:hyperlink w:history="true" w:anchor="_bookmark12">
            <w:r>
              <w:rPr/>
              <w:t>Security</w:t>
            </w:r>
            <w:r>
              <w:rPr>
                <w:spacing w:val="-1"/>
              </w:rPr>
              <w:t> </w:t>
            </w:r>
            <w:r>
              <w:rPr/>
              <w:t>Capabilities</w:t>
            </w:r>
            <w:r>
              <w:rPr>
                <w:spacing w:val="-1"/>
              </w:rPr>
              <w:t> </w:t>
            </w:r>
            <w:r>
              <w:rPr/>
              <w:t>List</w:t>
              <w:tab/>
              <w:t>5</w:t>
            </w:r>
          </w:hyperlink>
        </w:p>
        <w:p>
          <w:pPr>
            <w:pStyle w:val="TOC3"/>
            <w:numPr>
              <w:ilvl w:val="1"/>
              <w:numId w:val="1"/>
            </w:numPr>
            <w:tabs>
              <w:tab w:pos="1110" w:val="left" w:leader="none"/>
              <w:tab w:pos="1111" w:val="left" w:leader="none"/>
              <w:tab w:pos="9469" w:val="right" w:leader="dot"/>
            </w:tabs>
            <w:spacing w:line="240" w:lineRule="auto" w:before="1" w:after="0"/>
            <w:ind w:left="1110" w:right="0" w:hanging="751"/>
            <w:jc w:val="left"/>
          </w:pPr>
          <w:hyperlink w:history="true" w:anchor="_bookmark13">
            <w:r>
              <w:rPr/>
              <w:t>Universal</w:t>
            </w:r>
            <w:r>
              <w:rPr>
                <w:spacing w:val="-1"/>
              </w:rPr>
              <w:t> </w:t>
            </w:r>
            <w:r>
              <w:rPr/>
              <w:t>Security Capabilities</w:t>
              <w:tab/>
              <w:t>5</w:t>
            </w:r>
          </w:hyperlink>
        </w:p>
        <w:p>
          <w:pPr>
            <w:pStyle w:val="TOC3"/>
            <w:numPr>
              <w:ilvl w:val="1"/>
              <w:numId w:val="1"/>
            </w:numPr>
            <w:tabs>
              <w:tab w:pos="1110" w:val="left" w:leader="none"/>
              <w:tab w:pos="1111" w:val="left" w:leader="none"/>
              <w:tab w:pos="9469" w:val="right" w:leader="dot"/>
            </w:tabs>
            <w:spacing w:line="240" w:lineRule="auto" w:before="0" w:after="0"/>
            <w:ind w:left="1110" w:right="0" w:hanging="751"/>
            <w:jc w:val="left"/>
          </w:pPr>
          <w:hyperlink w:history="true" w:anchor="_bookmark15">
            <w:r>
              <w:rPr/>
              <w:t>Policy</w:t>
            </w:r>
            <w:r>
              <w:rPr>
                <w:spacing w:val="-1"/>
              </w:rPr>
              <w:t> </w:t>
            </w:r>
            <w:r>
              <w:rPr/>
              <w:t>Enforcement Point Capabilities</w:t>
              <w:tab/>
              <w:t>8</w:t>
            </w:r>
          </w:hyperlink>
        </w:p>
        <w:p>
          <w:pPr>
            <w:pStyle w:val="TOC2"/>
            <w:numPr>
              <w:ilvl w:val="0"/>
              <w:numId w:val="1"/>
            </w:numPr>
            <w:tabs>
              <w:tab w:pos="600" w:val="left" w:leader="none"/>
              <w:tab w:pos="601" w:val="left" w:leader="none"/>
              <w:tab w:pos="9472" w:val="right" w:leader="dot"/>
            </w:tabs>
            <w:spacing w:line="240" w:lineRule="auto" w:before="0" w:after="0"/>
            <w:ind w:left="600" w:right="0" w:hanging="481"/>
            <w:jc w:val="left"/>
          </w:pPr>
          <w:hyperlink w:history="true" w:anchor="_bookmark29">
            <w:r>
              <w:rPr/>
              <w:t>Conclusion</w:t>
              <w:tab/>
              <w:t>18</w:t>
            </w:r>
          </w:hyperlink>
        </w:p>
        <w:p>
          <w:pPr>
            <w:pStyle w:val="TOC2"/>
            <w:tabs>
              <w:tab w:pos="9472" w:val="right" w:leader="dot"/>
            </w:tabs>
          </w:pPr>
          <w:hyperlink w:history="true" w:anchor="_bookmark30">
            <w:r>
              <w:rPr/>
              <w:t>Appendix</w:t>
            </w:r>
            <w:r>
              <w:rPr>
                <w:spacing w:val="-1"/>
              </w:rPr>
              <w:t> </w:t>
            </w:r>
            <w:r>
              <w:rPr/>
              <w:t>A</w:t>
            </w:r>
            <w:r>
              <w:rPr>
                <w:spacing w:val="-2"/>
              </w:rPr>
              <w:t> </w:t>
            </w:r>
            <w:r>
              <w:rPr/>
              <w:t>– Glossary and Definitions</w:t>
              <w:tab/>
              <w:t>19</w:t>
            </w:r>
          </w:hyperlink>
        </w:p>
        <w:p>
          <w:pPr>
            <w:pStyle w:val="TOC1"/>
          </w:pPr>
          <w:r>
            <w:rPr/>
            <w:t>List</w:t>
          </w:r>
          <w:r>
            <w:rPr>
              <w:spacing w:val="-2"/>
            </w:rPr>
            <w:t> </w:t>
          </w:r>
          <w:r>
            <w:rPr/>
            <w:t>of</w:t>
          </w:r>
          <w:r>
            <w:rPr>
              <w:spacing w:val="-2"/>
            </w:rPr>
            <w:t> </w:t>
          </w:r>
          <w:r>
            <w:rPr/>
            <w:t>Figures</w:t>
          </w:r>
        </w:p>
        <w:p>
          <w:pPr>
            <w:pStyle w:val="TOC2"/>
            <w:tabs>
              <w:tab w:pos="9471" w:val="right" w:leader="dot"/>
            </w:tabs>
            <w:spacing w:before="120"/>
          </w:pPr>
          <w:hyperlink w:history="true" w:anchor="_bookmark1">
            <w:r>
              <w:rPr/>
              <w:t>Figure</w:t>
            </w:r>
            <w:r>
              <w:rPr>
                <w:spacing w:val="-2"/>
              </w:rPr>
              <w:t> </w:t>
            </w:r>
            <w:r>
              <w:rPr/>
              <w:t>1: TIC</w:t>
            </w:r>
            <w:r>
              <w:rPr>
                <w:spacing w:val="-2"/>
              </w:rPr>
              <w:t> </w:t>
            </w:r>
            <w:r>
              <w:rPr/>
              <w:t>3.0 Guidance</w:t>
            </w:r>
            <w:r>
              <w:rPr>
                <w:spacing w:val="-1"/>
              </w:rPr>
              <w:t> </w:t>
            </w:r>
            <w:r>
              <w:rPr/>
              <w:t>Snapshot</w:t>
              <w:tab/>
              <w:t>iii</w:t>
            </w:r>
          </w:hyperlink>
        </w:p>
        <w:p>
          <w:pPr>
            <w:pStyle w:val="TOC2"/>
            <w:tabs>
              <w:tab w:pos="9470" w:val="right" w:leader="dot"/>
            </w:tabs>
          </w:pPr>
          <w:hyperlink w:history="true" w:anchor="_bookmark10">
            <w:r>
              <w:rPr/>
              <w:t>Figure</w:t>
            </w:r>
            <w:r>
              <w:rPr>
                <w:spacing w:val="-2"/>
              </w:rPr>
              <w:t> </w:t>
            </w:r>
            <w:r>
              <w:rPr/>
              <w:t>2: TIC</w:t>
            </w:r>
            <w:r>
              <w:rPr>
                <w:spacing w:val="-2"/>
              </w:rPr>
              <w:t> </w:t>
            </w:r>
            <w:r>
              <w:rPr/>
              <w:t>Lens</w:t>
            </w:r>
            <w:r>
              <w:rPr>
                <w:spacing w:val="-2"/>
              </w:rPr>
              <w:t> </w:t>
            </w:r>
            <w:r>
              <w:rPr/>
              <w:t>on the</w:t>
            </w:r>
            <w:r>
              <w:rPr>
                <w:spacing w:val="-2"/>
              </w:rPr>
              <w:t> </w:t>
            </w:r>
            <w:r>
              <w:rPr/>
              <w:t>Cybersecurity Framework Functions</w:t>
              <w:tab/>
              <w:t>4</w:t>
            </w:r>
          </w:hyperlink>
        </w:p>
        <w:p>
          <w:pPr>
            <w:pStyle w:val="TOC1"/>
          </w:pPr>
          <w:r>
            <w:rPr/>
            <w:t>List</w:t>
          </w:r>
          <w:r>
            <w:rPr>
              <w:spacing w:val="-2"/>
            </w:rPr>
            <w:t> </w:t>
          </w:r>
          <w:r>
            <w:rPr/>
            <w:t>of</w:t>
          </w:r>
          <w:r>
            <w:rPr>
              <w:spacing w:val="-1"/>
            </w:rPr>
            <w:t> </w:t>
          </w:r>
          <w:r>
            <w:rPr/>
            <w:t>Tables</w:t>
          </w:r>
        </w:p>
        <w:p>
          <w:pPr>
            <w:pStyle w:val="TOC2"/>
            <w:tabs>
              <w:tab w:pos="9470" w:val="right" w:leader="dot"/>
            </w:tabs>
            <w:spacing w:line="253" w:lineRule="exact" w:before="120"/>
          </w:pPr>
          <w:hyperlink w:history="true" w:anchor="_bookmark0">
            <w:r>
              <w:rPr/>
              <w:t>Table</w:t>
            </w:r>
            <w:r>
              <w:rPr>
                <w:spacing w:val="-2"/>
              </w:rPr>
              <w:t> </w:t>
            </w:r>
            <w:r>
              <w:rPr/>
              <w:t>1: Revision History</w:t>
              <w:tab/>
              <w:t>ii</w:t>
            </w:r>
          </w:hyperlink>
        </w:p>
        <w:p>
          <w:pPr>
            <w:pStyle w:val="TOC2"/>
            <w:tabs>
              <w:tab w:pos="9469" w:val="right" w:leader="dot"/>
            </w:tabs>
            <w:spacing w:line="253" w:lineRule="exact"/>
          </w:pPr>
          <w:hyperlink w:history="true" w:anchor="_bookmark8">
            <w:r>
              <w:rPr/>
              <w:t>Table</w:t>
            </w:r>
            <w:r>
              <w:rPr>
                <w:spacing w:val="-2"/>
              </w:rPr>
              <w:t> </w:t>
            </w:r>
            <w:r>
              <w:rPr/>
              <w:t>2: TIC 3.0 Security</w:t>
            </w:r>
            <w:r>
              <w:rPr>
                <w:spacing w:val="-1"/>
              </w:rPr>
              <w:t> </w:t>
            </w:r>
            <w:r>
              <w:rPr/>
              <w:t>Objectives</w:t>
              <w:tab/>
              <w:t>3</w:t>
            </w:r>
          </w:hyperlink>
        </w:p>
        <w:p>
          <w:pPr>
            <w:pStyle w:val="TOC2"/>
            <w:tabs>
              <w:tab w:pos="9470" w:val="right" w:leader="dot"/>
            </w:tabs>
          </w:pPr>
          <w:hyperlink w:history="true" w:anchor="_bookmark14">
            <w:r>
              <w:rPr/>
              <w:t>Table</w:t>
            </w:r>
            <w:r>
              <w:rPr>
                <w:spacing w:val="-2"/>
              </w:rPr>
              <w:t> </w:t>
            </w:r>
            <w:r>
              <w:rPr/>
              <w:t>3: Universal Security Capabilities</w:t>
              <w:tab/>
              <w:t>6</w:t>
            </w:r>
          </w:hyperlink>
        </w:p>
        <w:p>
          <w:pPr>
            <w:pStyle w:val="TOC2"/>
            <w:tabs>
              <w:tab w:pos="9470" w:val="right" w:leader="dot"/>
            </w:tabs>
            <w:spacing w:before="1"/>
          </w:pPr>
          <w:hyperlink w:history="true" w:anchor="_bookmark16">
            <w:r>
              <w:rPr/>
              <w:t>Table</w:t>
            </w:r>
            <w:r>
              <w:rPr>
                <w:spacing w:val="-2"/>
              </w:rPr>
              <w:t> </w:t>
            </w:r>
            <w:r>
              <w:rPr/>
              <w:t>4: Files</w:t>
            </w:r>
            <w:r>
              <w:rPr>
                <w:spacing w:val="-1"/>
              </w:rPr>
              <w:t> </w:t>
            </w:r>
            <w:r>
              <w:rPr/>
              <w:t>PEP Security</w:t>
            </w:r>
            <w:r>
              <w:rPr>
                <w:spacing w:val="-1"/>
              </w:rPr>
              <w:t> </w:t>
            </w:r>
            <w:r>
              <w:rPr/>
              <w:t>Capabilities</w:t>
              <w:tab/>
              <w:t>8</w:t>
            </w:r>
          </w:hyperlink>
        </w:p>
        <w:p>
          <w:pPr>
            <w:pStyle w:val="TOC2"/>
            <w:tabs>
              <w:tab w:pos="9472" w:val="right" w:leader="dot"/>
            </w:tabs>
          </w:pPr>
          <w:hyperlink w:history="true" w:anchor="_bookmark17">
            <w:r>
              <w:rPr/>
              <w:t>Table</w:t>
            </w:r>
            <w:r>
              <w:rPr>
                <w:spacing w:val="-2"/>
              </w:rPr>
              <w:t> </w:t>
            </w:r>
            <w:r>
              <w:rPr/>
              <w:t>5: Email PEP Security Capabilities</w:t>
              <w:tab/>
              <w:t>10</w:t>
            </w:r>
          </w:hyperlink>
        </w:p>
        <w:p>
          <w:pPr>
            <w:pStyle w:val="TOC2"/>
            <w:tabs>
              <w:tab w:pos="9472" w:val="right" w:leader="dot"/>
            </w:tabs>
          </w:pPr>
          <w:hyperlink w:history="true" w:anchor="_bookmark19">
            <w:r>
              <w:rPr/>
              <w:t>Table</w:t>
            </w:r>
            <w:r>
              <w:rPr>
                <w:spacing w:val="-2"/>
              </w:rPr>
              <w:t> </w:t>
            </w:r>
            <w:r>
              <w:rPr/>
              <w:t>6: Web PEP Security</w:t>
            </w:r>
            <w:r>
              <w:rPr>
                <w:spacing w:val="-1"/>
              </w:rPr>
              <w:t> </w:t>
            </w:r>
            <w:r>
              <w:rPr/>
              <w:t>Capabilities</w:t>
              <w:tab/>
              <w:t>11</w:t>
            </w:r>
          </w:hyperlink>
        </w:p>
        <w:p>
          <w:pPr>
            <w:pStyle w:val="TOC2"/>
            <w:tabs>
              <w:tab w:pos="9472" w:val="right" w:leader="dot"/>
            </w:tabs>
            <w:spacing w:line="253" w:lineRule="exact"/>
            <w:ind w:left="121"/>
          </w:pPr>
          <w:hyperlink w:history="true" w:anchor="_bookmark22">
            <w:r>
              <w:rPr/>
              <w:t>Table</w:t>
            </w:r>
            <w:r>
              <w:rPr>
                <w:spacing w:val="-2"/>
              </w:rPr>
              <w:t> </w:t>
            </w:r>
            <w:r>
              <w:rPr/>
              <w:t>7: Networking PEP</w:t>
            </w:r>
            <w:r>
              <w:rPr>
                <w:spacing w:val="-1"/>
              </w:rPr>
              <w:t> </w:t>
            </w:r>
            <w:r>
              <w:rPr/>
              <w:t>Security Capabilities</w:t>
              <w:tab/>
              <w:t>13</w:t>
            </w:r>
          </w:hyperlink>
        </w:p>
        <w:p>
          <w:pPr>
            <w:pStyle w:val="TOC2"/>
            <w:tabs>
              <w:tab w:pos="9472" w:val="right" w:leader="dot"/>
            </w:tabs>
            <w:spacing w:line="253" w:lineRule="exact"/>
            <w:ind w:left="121"/>
          </w:pPr>
          <w:hyperlink w:history="true" w:anchor="_bookmark23">
            <w:r>
              <w:rPr/>
              <w:t>Table</w:t>
            </w:r>
            <w:r>
              <w:rPr>
                <w:spacing w:val="-2"/>
              </w:rPr>
              <w:t> </w:t>
            </w:r>
            <w:r>
              <w:rPr/>
              <w:t>8: Resiliency PEP Security Capabilities</w:t>
              <w:tab/>
              <w:t>14</w:t>
            </w:r>
          </w:hyperlink>
        </w:p>
        <w:p>
          <w:pPr>
            <w:pStyle w:val="TOC2"/>
            <w:tabs>
              <w:tab w:pos="9472" w:val="right" w:leader="dot"/>
            </w:tabs>
            <w:ind w:left="121"/>
          </w:pPr>
          <w:hyperlink w:history="true" w:anchor="_bookmark24">
            <w:r>
              <w:rPr/>
              <w:t>Table</w:t>
            </w:r>
            <w:r>
              <w:rPr>
                <w:spacing w:val="-2"/>
              </w:rPr>
              <w:t> </w:t>
            </w:r>
            <w:r>
              <w:rPr/>
              <w:t>9: Domain Name</w:t>
            </w:r>
            <w:r>
              <w:rPr>
                <w:spacing w:val="-2"/>
              </w:rPr>
              <w:t> </w:t>
            </w:r>
            <w:r>
              <w:rPr/>
              <w:t>System</w:t>
            </w:r>
            <w:r>
              <w:rPr>
                <w:spacing w:val="-1"/>
              </w:rPr>
              <w:t> </w:t>
            </w:r>
            <w:r>
              <w:rPr/>
              <w:t>PEP Security</w:t>
            </w:r>
            <w:r>
              <w:rPr>
                <w:spacing w:val="-1"/>
              </w:rPr>
              <w:t> </w:t>
            </w:r>
            <w:r>
              <w:rPr/>
              <w:t>Capabilities</w:t>
              <w:tab/>
              <w:t>14</w:t>
            </w:r>
          </w:hyperlink>
        </w:p>
        <w:p>
          <w:pPr>
            <w:pStyle w:val="TOC2"/>
            <w:tabs>
              <w:tab w:pos="9472" w:val="right" w:leader="dot"/>
            </w:tabs>
            <w:spacing w:before="1"/>
            <w:ind w:left="121"/>
          </w:pPr>
          <w:hyperlink w:history="true" w:anchor="_bookmark25">
            <w:r>
              <w:rPr/>
              <w:t>Table</w:t>
            </w:r>
            <w:r>
              <w:rPr>
                <w:spacing w:val="-2"/>
              </w:rPr>
              <w:t> </w:t>
            </w:r>
            <w:r>
              <w:rPr/>
              <w:t>10: Intrusion Detection</w:t>
            </w:r>
            <w:r>
              <w:rPr>
                <w:spacing w:val="-1"/>
              </w:rPr>
              <w:t> </w:t>
            </w:r>
            <w:r>
              <w:rPr/>
              <w:t>PEP Security Capabilities</w:t>
              <w:tab/>
              <w:t>15</w:t>
            </w:r>
          </w:hyperlink>
        </w:p>
        <w:p>
          <w:pPr>
            <w:pStyle w:val="TOC2"/>
            <w:tabs>
              <w:tab w:pos="9473" w:val="right" w:leader="dot"/>
            </w:tabs>
            <w:ind w:left="121"/>
          </w:pPr>
          <w:hyperlink w:history="true" w:anchor="_bookmark26">
            <w:r>
              <w:rPr/>
              <w:t>Table</w:t>
            </w:r>
            <w:r>
              <w:rPr>
                <w:spacing w:val="-2"/>
              </w:rPr>
              <w:t> </w:t>
            </w:r>
            <w:r>
              <w:rPr/>
              <w:t>11: Enterprise</w:t>
            </w:r>
            <w:r>
              <w:rPr>
                <w:spacing w:val="-1"/>
              </w:rPr>
              <w:t> </w:t>
            </w:r>
            <w:r>
              <w:rPr/>
              <w:t>PEP Security Capabilities</w:t>
              <w:tab/>
              <w:t>16</w:t>
            </w:r>
          </w:hyperlink>
        </w:p>
        <w:p>
          <w:pPr>
            <w:pStyle w:val="TOC2"/>
            <w:tabs>
              <w:tab w:pos="9473" w:val="right" w:leader="dot"/>
            </w:tabs>
            <w:spacing w:line="253" w:lineRule="exact"/>
            <w:ind w:left="121"/>
          </w:pPr>
          <w:hyperlink w:history="true" w:anchor="_bookmark27">
            <w:r>
              <w:rPr/>
              <w:t>Table</w:t>
            </w:r>
            <w:r>
              <w:rPr>
                <w:spacing w:val="-2"/>
              </w:rPr>
              <w:t> </w:t>
            </w:r>
            <w:r>
              <w:rPr/>
              <w:t>12:</w:t>
            </w:r>
            <w:r>
              <w:rPr>
                <w:spacing w:val="-1"/>
              </w:rPr>
              <w:t> </w:t>
            </w:r>
            <w:r>
              <w:rPr/>
              <w:t>Unified</w:t>
            </w:r>
            <w:r>
              <w:rPr>
                <w:spacing w:val="-1"/>
              </w:rPr>
              <w:t> </w:t>
            </w:r>
            <w:r>
              <w:rPr/>
              <w:t>Communications</w:t>
            </w:r>
            <w:r>
              <w:rPr>
                <w:spacing w:val="-1"/>
              </w:rPr>
              <w:t> </w:t>
            </w:r>
            <w:r>
              <w:rPr/>
              <w:t>and</w:t>
            </w:r>
            <w:r>
              <w:rPr>
                <w:spacing w:val="-1"/>
              </w:rPr>
              <w:t> </w:t>
            </w:r>
            <w:r>
              <w:rPr/>
              <w:t>Collaboration</w:t>
            </w:r>
            <w:r>
              <w:rPr>
                <w:spacing w:val="-2"/>
              </w:rPr>
              <w:t> </w:t>
            </w:r>
            <w:r>
              <w:rPr/>
              <w:t>PEP Security</w:t>
            </w:r>
            <w:r>
              <w:rPr>
                <w:spacing w:val="-2"/>
              </w:rPr>
              <w:t> </w:t>
            </w:r>
            <w:r>
              <w:rPr/>
              <w:t>Capabilities</w:t>
              <w:tab/>
              <w:t>16</w:t>
            </w:r>
          </w:hyperlink>
        </w:p>
        <w:p>
          <w:pPr>
            <w:pStyle w:val="TOC2"/>
            <w:tabs>
              <w:tab w:pos="9472" w:val="right" w:leader="dot"/>
            </w:tabs>
            <w:spacing w:line="253" w:lineRule="exact"/>
            <w:ind w:left="121"/>
          </w:pPr>
          <w:hyperlink w:history="true" w:anchor="_bookmark28">
            <w:r>
              <w:rPr/>
              <w:t>Table</w:t>
            </w:r>
            <w:r>
              <w:rPr>
                <w:spacing w:val="-2"/>
              </w:rPr>
              <w:t> </w:t>
            </w:r>
            <w:r>
              <w:rPr/>
              <w:t>13: Data</w:t>
            </w:r>
            <w:r>
              <w:rPr>
                <w:spacing w:val="-1"/>
              </w:rPr>
              <w:t> </w:t>
            </w:r>
            <w:r>
              <w:rPr/>
              <w:t>Protection PEP</w:t>
            </w:r>
            <w:r>
              <w:rPr>
                <w:spacing w:val="-1"/>
              </w:rPr>
              <w:t> </w:t>
            </w:r>
            <w:r>
              <w:rPr/>
              <w:t>Security</w:t>
            </w:r>
            <w:r>
              <w:rPr>
                <w:spacing w:val="-1"/>
              </w:rPr>
              <w:t> </w:t>
            </w:r>
            <w:r>
              <w:rPr/>
              <w:t>Capabilities</w:t>
              <w:tab/>
              <w:t>17</w:t>
            </w:r>
          </w:hyperlink>
        </w:p>
      </w:sdtContent>
    </w:sdt>
    <w:p>
      <w:pPr>
        <w:spacing w:after="0" w:line="253" w:lineRule="exact"/>
        <w:sectPr>
          <w:pgSz w:w="12240" w:h="15840"/>
          <w:pgMar w:header="730" w:footer="476" w:top="960" w:bottom="660" w:left="1320" w:right="1080"/>
        </w:sectPr>
      </w:pPr>
    </w:p>
    <w:p>
      <w:pPr>
        <w:pStyle w:val="BodyText"/>
        <w:rPr>
          <w:sz w:val="34"/>
        </w:rPr>
      </w:pPr>
    </w:p>
    <w:p>
      <w:pPr>
        <w:pStyle w:val="Heading1"/>
        <w:numPr>
          <w:ilvl w:val="0"/>
          <w:numId w:val="2"/>
        </w:numPr>
        <w:tabs>
          <w:tab w:pos="552" w:val="left" w:leader="none"/>
        </w:tabs>
        <w:spacing w:line="240" w:lineRule="auto" w:before="196" w:after="0"/>
        <w:ind w:left="551" w:right="0" w:hanging="432"/>
        <w:jc w:val="left"/>
      </w:pPr>
      <w:bookmarkStart w:name="1. Introduction" w:id="3"/>
      <w:bookmarkEnd w:id="3"/>
      <w:r>
        <w:rPr/>
      </w:r>
      <w:bookmarkStart w:name="_bookmark2" w:id="4"/>
      <w:bookmarkEnd w:id="4"/>
      <w:r>
        <w:rPr/>
      </w:r>
      <w:bookmarkStart w:name="_bookmark2" w:id="5"/>
      <w:bookmarkEnd w:id="5"/>
      <w:r>
        <w:rPr/>
        <w:t>In</w:t>
      </w:r>
      <w:r>
        <w:rPr/>
        <w:t>troduction</w:t>
      </w:r>
    </w:p>
    <w:p>
      <w:pPr>
        <w:pStyle w:val="BodyText"/>
        <w:spacing w:before="239"/>
        <w:ind w:left="119" w:right="482"/>
      </w:pPr>
      <w:r>
        <w:rPr/>
        <w:t>Trusted Internet Connections (TIC), originally established in 2007, is a federal cybersecurity initiative</w:t>
      </w:r>
      <w:r>
        <w:rPr>
          <w:spacing w:val="1"/>
        </w:rPr>
        <w:t> </w:t>
      </w:r>
      <w:r>
        <w:rPr/>
        <w:t>intended to enhance network and boundary security across the Federal Government. The Office of</w:t>
      </w:r>
      <w:r>
        <w:rPr>
          <w:spacing w:val="1"/>
        </w:rPr>
        <w:t> </w:t>
      </w:r>
      <w:r>
        <w:rPr/>
        <w:t>Management and Budget (OMB), the Department of Homeland Security (DHS) Cybersecurity and</w:t>
      </w:r>
      <w:r>
        <w:rPr>
          <w:spacing w:val="1"/>
        </w:rPr>
        <w:t> </w:t>
      </w:r>
      <w:r>
        <w:rPr/>
        <w:t>Infrastructure Security Agency (CISA), and the General Services Administration (GSA) oversee the TIC</w:t>
      </w:r>
      <w:r>
        <w:rPr>
          <w:spacing w:val="-52"/>
        </w:rPr>
        <w:t> </w:t>
      </w:r>
      <w:r>
        <w:rPr/>
        <w:t>initiative through a robust program that sets guidance and an execution framework for agencies to</w:t>
      </w:r>
      <w:r>
        <w:rPr>
          <w:spacing w:val="1"/>
        </w:rPr>
        <w:t> </w:t>
      </w:r>
      <w:r>
        <w:rPr/>
        <w:t>implement</w:t>
      </w:r>
      <w:r>
        <w:rPr>
          <w:spacing w:val="-1"/>
        </w:rPr>
        <w:t> </w:t>
      </w:r>
      <w:r>
        <w:rPr/>
        <w:t>a</w:t>
      </w:r>
      <w:r>
        <w:rPr>
          <w:spacing w:val="1"/>
        </w:rPr>
        <w:t> </w:t>
      </w:r>
      <w:r>
        <w:rPr/>
        <w:t>baseline</w:t>
      </w:r>
      <w:r>
        <w:rPr>
          <w:spacing w:val="-1"/>
        </w:rPr>
        <w:t> </w:t>
      </w:r>
      <w:r>
        <w:rPr/>
        <w:t>boundary security</w:t>
      </w:r>
      <w:r>
        <w:rPr>
          <w:spacing w:val="-1"/>
        </w:rPr>
        <w:t> </w:t>
      </w:r>
      <w:r>
        <w:rPr/>
        <w:t>standard.</w:t>
      </w:r>
    </w:p>
    <w:p>
      <w:pPr>
        <w:pStyle w:val="BodyText"/>
        <w:spacing w:before="120"/>
        <w:ind w:left="118" w:right="430"/>
      </w:pPr>
      <w:r>
        <w:rPr/>
        <w:t>The</w:t>
      </w:r>
      <w:r>
        <w:rPr>
          <w:spacing w:val="-4"/>
        </w:rPr>
        <w:t> </w:t>
      </w:r>
      <w:r>
        <w:rPr/>
        <w:t>initial</w:t>
      </w:r>
      <w:r>
        <w:rPr>
          <w:spacing w:val="-3"/>
        </w:rPr>
        <w:t> </w:t>
      </w:r>
      <w:r>
        <w:rPr/>
        <w:t>versions</w:t>
      </w:r>
      <w:r>
        <w:rPr>
          <w:spacing w:val="-4"/>
        </w:rPr>
        <w:t> </w:t>
      </w:r>
      <w:r>
        <w:rPr/>
        <w:t>of</w:t>
      </w:r>
      <w:r>
        <w:rPr>
          <w:spacing w:val="-3"/>
        </w:rPr>
        <w:t> </w:t>
      </w:r>
      <w:r>
        <w:rPr/>
        <w:t>the</w:t>
      </w:r>
      <w:r>
        <w:rPr>
          <w:spacing w:val="-4"/>
        </w:rPr>
        <w:t> </w:t>
      </w:r>
      <w:r>
        <w:rPr/>
        <w:t>TIC</w:t>
      </w:r>
      <w:r>
        <w:rPr>
          <w:spacing w:val="-3"/>
        </w:rPr>
        <w:t> </w:t>
      </w:r>
      <w:r>
        <w:rPr/>
        <w:t>initiative</w:t>
      </w:r>
      <w:r>
        <w:rPr>
          <w:spacing w:val="-4"/>
        </w:rPr>
        <w:t> </w:t>
      </w:r>
      <w:r>
        <w:rPr/>
        <w:t>sought</w:t>
      </w:r>
      <w:r>
        <w:rPr>
          <w:spacing w:val="-3"/>
        </w:rPr>
        <w:t> </w:t>
      </w:r>
      <w:r>
        <w:rPr/>
        <w:t>to</w:t>
      </w:r>
      <w:r>
        <w:rPr>
          <w:spacing w:val="-2"/>
        </w:rPr>
        <w:t> </w:t>
      </w:r>
      <w:r>
        <w:rPr/>
        <w:t>consolidate</w:t>
      </w:r>
      <w:r>
        <w:rPr>
          <w:spacing w:val="-4"/>
        </w:rPr>
        <w:t> </w:t>
      </w:r>
      <w:r>
        <w:rPr/>
        <w:t>federal</w:t>
      </w:r>
      <w:r>
        <w:rPr>
          <w:spacing w:val="-3"/>
        </w:rPr>
        <w:t> </w:t>
      </w:r>
      <w:r>
        <w:rPr/>
        <w:t>networks</w:t>
      </w:r>
      <w:r>
        <w:rPr>
          <w:spacing w:val="-4"/>
        </w:rPr>
        <w:t> </w:t>
      </w:r>
      <w:r>
        <w:rPr/>
        <w:t>and</w:t>
      </w:r>
      <w:r>
        <w:rPr>
          <w:spacing w:val="-3"/>
        </w:rPr>
        <w:t> </w:t>
      </w:r>
      <w:r>
        <w:rPr/>
        <w:t>standardize</w:t>
      </w:r>
      <w:r>
        <w:rPr>
          <w:spacing w:val="-3"/>
        </w:rPr>
        <w:t> </w:t>
      </w:r>
      <w:r>
        <w:rPr/>
        <w:t>perimeter</w:t>
      </w:r>
      <w:r>
        <w:rPr>
          <w:spacing w:val="-52"/>
        </w:rPr>
        <w:t> </w:t>
      </w:r>
      <w:r>
        <w:rPr/>
        <w:t>security for the federal enterprise. As outlined in OMB Memorandum (M) 19-26: </w:t>
      </w:r>
      <w:r>
        <w:rPr>
          <w:i/>
        </w:rPr>
        <w:t>Update to the Trusted</w:t>
      </w:r>
      <w:r>
        <w:rPr>
          <w:i/>
          <w:spacing w:val="1"/>
        </w:rPr>
        <w:t> </w:t>
      </w:r>
      <w:r>
        <w:rPr>
          <w:i/>
        </w:rPr>
        <w:t>Internet Connections (TIC) Initiative</w:t>
      </w:r>
      <w:hyperlink w:history="true" w:anchor="_bookmark4">
        <w:r>
          <w:rPr>
            <w:vertAlign w:val="superscript"/>
          </w:rPr>
          <w:t>1</w:t>
        </w:r>
      </w:hyperlink>
      <w:r>
        <w:rPr>
          <w:vertAlign w:val="baseline"/>
        </w:rPr>
        <w:t>, this modernized version of the initiative expands upon the original</w:t>
      </w:r>
      <w:r>
        <w:rPr>
          <w:spacing w:val="-52"/>
          <w:vertAlign w:val="baseline"/>
        </w:rPr>
        <w:t> </w:t>
      </w:r>
      <w:r>
        <w:rPr>
          <w:vertAlign w:val="baseline"/>
        </w:rPr>
        <w:t>to drive security standards and leverage advances in technology as agencies adopt mobile and cloud</w:t>
      </w:r>
      <w:r>
        <w:rPr>
          <w:spacing w:val="1"/>
          <w:vertAlign w:val="baseline"/>
        </w:rPr>
        <w:t> </w:t>
      </w:r>
      <w:r>
        <w:rPr>
          <w:vertAlign w:val="baseline"/>
        </w:rPr>
        <w:t>environments. The goal of TIC 3.0 is to secure federal data, networks, and boundaries while providing</w:t>
      </w:r>
      <w:r>
        <w:rPr>
          <w:spacing w:val="1"/>
          <w:vertAlign w:val="baseline"/>
        </w:rPr>
        <w:t> </w:t>
      </w:r>
      <w:r>
        <w:rPr>
          <w:vertAlign w:val="baseline"/>
        </w:rPr>
        <w:t>visibility</w:t>
      </w:r>
      <w:r>
        <w:rPr>
          <w:spacing w:val="-1"/>
          <w:vertAlign w:val="baseline"/>
        </w:rPr>
        <w:t> </w:t>
      </w:r>
      <w:r>
        <w:rPr>
          <w:vertAlign w:val="baseline"/>
        </w:rPr>
        <w:t>into</w:t>
      </w:r>
      <w:r>
        <w:rPr>
          <w:spacing w:val="-1"/>
          <w:vertAlign w:val="baseline"/>
        </w:rPr>
        <w:t> </w:t>
      </w:r>
      <w:r>
        <w:rPr>
          <w:vertAlign w:val="baseline"/>
        </w:rPr>
        <w:t>agency</w:t>
      </w:r>
      <w:r>
        <w:rPr>
          <w:spacing w:val="-1"/>
          <w:vertAlign w:val="baseline"/>
        </w:rPr>
        <w:t> </w:t>
      </w:r>
      <w:r>
        <w:rPr>
          <w:vertAlign w:val="baseline"/>
        </w:rPr>
        <w:t>traffic, including</w:t>
      </w:r>
      <w:r>
        <w:rPr>
          <w:spacing w:val="-1"/>
          <w:vertAlign w:val="baseline"/>
        </w:rPr>
        <w:t> </w:t>
      </w:r>
      <w:r>
        <w:rPr>
          <w:vertAlign w:val="baseline"/>
        </w:rPr>
        <w:t>cloud</w:t>
      </w:r>
      <w:r>
        <w:rPr>
          <w:spacing w:val="-1"/>
          <w:vertAlign w:val="baseline"/>
        </w:rPr>
        <w:t> </w:t>
      </w:r>
      <w:r>
        <w:rPr>
          <w:vertAlign w:val="baseline"/>
        </w:rPr>
        <w:t>communications.</w:t>
      </w:r>
    </w:p>
    <w:p>
      <w:pPr>
        <w:pStyle w:val="BodyText"/>
        <w:spacing w:before="11"/>
        <w:rPr>
          <w:sz w:val="20"/>
        </w:rPr>
      </w:pPr>
    </w:p>
    <w:p>
      <w:pPr>
        <w:pStyle w:val="Heading2"/>
        <w:numPr>
          <w:ilvl w:val="1"/>
          <w:numId w:val="2"/>
        </w:numPr>
        <w:tabs>
          <w:tab w:pos="695" w:val="left" w:leader="none"/>
          <w:tab w:pos="696" w:val="left" w:leader="none"/>
        </w:tabs>
        <w:spacing w:line="240" w:lineRule="auto" w:before="0" w:after="0"/>
        <w:ind w:left="695" w:right="0" w:hanging="576"/>
        <w:jc w:val="left"/>
      </w:pPr>
      <w:bookmarkStart w:name="1.1 Key Terms" w:id="6"/>
      <w:bookmarkEnd w:id="6"/>
      <w:r>
        <w:rPr/>
      </w:r>
      <w:bookmarkStart w:name="_bookmark3" w:id="7"/>
      <w:bookmarkEnd w:id="7"/>
      <w:r>
        <w:rPr/>
      </w:r>
      <w:bookmarkStart w:name="_bookmark3" w:id="8"/>
      <w:bookmarkEnd w:id="8"/>
      <w:r>
        <w:rPr/>
        <w:t>Ke</w:t>
      </w:r>
      <w:r>
        <w:rPr/>
        <w:t>y</w:t>
      </w:r>
      <w:r>
        <w:rPr>
          <w:spacing w:val="-5"/>
        </w:rPr>
        <w:t> </w:t>
      </w:r>
      <w:r>
        <w:rPr/>
        <w:t>Terms</w:t>
      </w:r>
    </w:p>
    <w:p>
      <w:pPr>
        <w:pStyle w:val="BodyText"/>
        <w:spacing w:before="240"/>
        <w:ind w:left="120" w:right="652"/>
      </w:pPr>
      <w:r>
        <w:rPr/>
        <w:t>To avoid confusion, terms frequently used throughout the TIC 3.0 documentation are defined below.</w:t>
      </w:r>
      <w:r>
        <w:rPr>
          <w:spacing w:val="1"/>
        </w:rPr>
        <w:t> </w:t>
      </w:r>
      <w:r>
        <w:rPr/>
        <w:t>Some of these terms are explained in greater detail throughout the TIC 3.0 guidance. A comprehensive</w:t>
      </w:r>
      <w:r>
        <w:rPr>
          <w:spacing w:val="-52"/>
        </w:rPr>
        <w:t> </w:t>
      </w:r>
      <w:r>
        <w:rPr/>
        <w:t>glossary</w:t>
      </w:r>
      <w:r>
        <w:rPr>
          <w:spacing w:val="-1"/>
        </w:rPr>
        <w:t> </w:t>
      </w:r>
      <w:r>
        <w:rPr/>
        <w:t>and</w:t>
      </w:r>
      <w:r>
        <w:rPr>
          <w:spacing w:val="-2"/>
        </w:rPr>
        <w:t> </w:t>
      </w:r>
      <w:r>
        <w:rPr/>
        <w:t>acronyms</w:t>
      </w:r>
      <w:r>
        <w:rPr>
          <w:spacing w:val="-2"/>
        </w:rPr>
        <w:t> </w:t>
      </w:r>
      <w:r>
        <w:rPr/>
        <w:t>list with</w:t>
      </w:r>
      <w:r>
        <w:rPr>
          <w:spacing w:val="-1"/>
        </w:rPr>
        <w:t> </w:t>
      </w:r>
      <w:r>
        <w:rPr/>
        <w:t>applicable</w:t>
      </w:r>
      <w:r>
        <w:rPr>
          <w:spacing w:val="-1"/>
        </w:rPr>
        <w:t> </w:t>
      </w:r>
      <w:r>
        <w:rPr/>
        <w:t>attributions</w:t>
      </w:r>
      <w:r>
        <w:rPr>
          <w:spacing w:val="-2"/>
        </w:rPr>
        <w:t> </w:t>
      </w:r>
      <w:r>
        <w:rPr/>
        <w:t>can</w:t>
      </w:r>
      <w:r>
        <w:rPr>
          <w:spacing w:val="-1"/>
        </w:rPr>
        <w:t> </w:t>
      </w:r>
      <w:r>
        <w:rPr/>
        <w:t>be</w:t>
      </w:r>
      <w:r>
        <w:rPr>
          <w:spacing w:val="-2"/>
        </w:rPr>
        <w:t> </w:t>
      </w:r>
      <w:r>
        <w:rPr/>
        <w:t>found</w:t>
      </w:r>
      <w:r>
        <w:rPr>
          <w:spacing w:val="-1"/>
        </w:rPr>
        <w:t> </w:t>
      </w:r>
      <w:r>
        <w:rPr/>
        <w:t>in</w:t>
      </w:r>
      <w:r>
        <w:rPr>
          <w:spacing w:val="-1"/>
        </w:rPr>
        <w:t> </w:t>
      </w:r>
      <w:r>
        <w:rPr/>
        <w:t>Appendix A.</w:t>
      </w:r>
    </w:p>
    <w:p>
      <w:pPr>
        <w:pStyle w:val="BodyText"/>
        <w:spacing w:before="120"/>
        <w:ind w:left="120" w:right="455" w:hanging="1"/>
      </w:pPr>
      <w:r>
        <w:rPr>
          <w:b/>
        </w:rPr>
        <w:t>Boundary: </w:t>
      </w:r>
      <w:r>
        <w:rPr/>
        <w:t>A notional concept that describes the perimeter of a zone (e.g., mobile device services,</w:t>
      </w:r>
      <w:r>
        <w:rPr>
          <w:spacing w:val="1"/>
        </w:rPr>
        <w:t> </w:t>
      </w:r>
      <w:r>
        <w:rPr/>
        <w:t>general</w:t>
      </w:r>
      <w:r>
        <w:rPr>
          <w:spacing w:val="-4"/>
        </w:rPr>
        <w:t> </w:t>
      </w:r>
      <w:r>
        <w:rPr/>
        <w:t>support</w:t>
      </w:r>
      <w:r>
        <w:rPr>
          <w:spacing w:val="-4"/>
        </w:rPr>
        <w:t> </w:t>
      </w:r>
      <w:r>
        <w:rPr/>
        <w:t>system</w:t>
      </w:r>
      <w:r>
        <w:rPr>
          <w:spacing w:val="-5"/>
        </w:rPr>
        <w:t> </w:t>
      </w:r>
      <w:r>
        <w:rPr/>
        <w:t>(GSS),</w:t>
      </w:r>
      <w:r>
        <w:rPr>
          <w:spacing w:val="-3"/>
        </w:rPr>
        <w:t> </w:t>
      </w:r>
      <w:r>
        <w:rPr/>
        <w:t>Software-as-a-Service</w:t>
      </w:r>
      <w:r>
        <w:rPr>
          <w:spacing w:val="-5"/>
        </w:rPr>
        <w:t> </w:t>
      </w:r>
      <w:r>
        <w:rPr/>
        <w:t>(SaaS),</w:t>
      </w:r>
      <w:r>
        <w:rPr>
          <w:spacing w:val="-4"/>
        </w:rPr>
        <w:t> </w:t>
      </w:r>
      <w:r>
        <w:rPr/>
        <w:t>agency,</w:t>
      </w:r>
      <w:r>
        <w:rPr>
          <w:spacing w:val="-3"/>
        </w:rPr>
        <w:t> </w:t>
      </w:r>
      <w:r>
        <w:rPr/>
        <w:t>etc.)</w:t>
      </w:r>
      <w:r>
        <w:rPr>
          <w:spacing w:val="-4"/>
        </w:rPr>
        <w:t> </w:t>
      </w:r>
      <w:r>
        <w:rPr/>
        <w:t>within</w:t>
      </w:r>
      <w:r>
        <w:rPr>
          <w:spacing w:val="-5"/>
        </w:rPr>
        <w:t> </w:t>
      </w:r>
      <w:r>
        <w:rPr/>
        <w:t>a</w:t>
      </w:r>
      <w:r>
        <w:rPr>
          <w:spacing w:val="-4"/>
        </w:rPr>
        <w:t> </w:t>
      </w:r>
      <w:r>
        <w:rPr/>
        <w:t>network</w:t>
      </w:r>
      <w:r>
        <w:rPr>
          <w:spacing w:val="-4"/>
        </w:rPr>
        <w:t> </w:t>
      </w:r>
      <w:r>
        <w:rPr/>
        <w:t>architecture.</w:t>
      </w:r>
      <w:r>
        <w:rPr>
          <w:spacing w:val="-52"/>
        </w:rPr>
        <w:t> </w:t>
      </w:r>
      <w:r>
        <w:rPr/>
        <w:t>The</w:t>
      </w:r>
      <w:r>
        <w:rPr>
          <w:spacing w:val="-2"/>
        </w:rPr>
        <w:t> </w:t>
      </w:r>
      <w:r>
        <w:rPr/>
        <w:t>bounded</w:t>
      </w:r>
      <w:r>
        <w:rPr>
          <w:spacing w:val="-1"/>
        </w:rPr>
        <w:t> </w:t>
      </w:r>
      <w:r>
        <w:rPr/>
        <w:t>area must have</w:t>
      </w:r>
      <w:r>
        <w:rPr>
          <w:spacing w:val="-1"/>
        </w:rPr>
        <w:t> </w:t>
      </w:r>
      <w:r>
        <w:rPr/>
        <w:t>an</w:t>
      </w:r>
      <w:r>
        <w:rPr>
          <w:spacing w:val="-1"/>
        </w:rPr>
        <w:t> </w:t>
      </w:r>
      <w:r>
        <w:rPr/>
        <w:t>information technology</w:t>
      </w:r>
      <w:r>
        <w:rPr>
          <w:spacing w:val="-1"/>
        </w:rPr>
        <w:t> </w:t>
      </w:r>
      <w:r>
        <w:rPr/>
        <w:t>(IT) utility.</w:t>
      </w:r>
    </w:p>
    <w:p>
      <w:pPr>
        <w:pStyle w:val="BodyText"/>
        <w:spacing w:before="119"/>
        <w:ind w:left="120"/>
      </w:pPr>
      <w:r>
        <w:rPr>
          <w:b/>
        </w:rPr>
        <w:t>Internet:</w:t>
      </w:r>
      <w:r>
        <w:rPr>
          <w:b/>
          <w:spacing w:val="-4"/>
        </w:rPr>
        <w:t> </w:t>
      </w:r>
      <w:r>
        <w:rPr/>
        <w:t>The</w:t>
      </w:r>
      <w:r>
        <w:rPr>
          <w:spacing w:val="-4"/>
        </w:rPr>
        <w:t> </w:t>
      </w:r>
      <w:r>
        <w:rPr/>
        <w:t>internet</w:t>
      </w:r>
      <w:r>
        <w:rPr>
          <w:spacing w:val="-4"/>
        </w:rPr>
        <w:t> </w:t>
      </w:r>
      <w:r>
        <w:rPr/>
        <w:t>is</w:t>
      </w:r>
      <w:r>
        <w:rPr>
          <w:spacing w:val="-4"/>
        </w:rPr>
        <w:t> </w:t>
      </w:r>
      <w:r>
        <w:rPr/>
        <w:t>discussed</w:t>
      </w:r>
      <w:r>
        <w:rPr>
          <w:spacing w:val="-3"/>
        </w:rPr>
        <w:t> </w:t>
      </w:r>
      <w:r>
        <w:rPr/>
        <w:t>in</w:t>
      </w:r>
      <w:r>
        <w:rPr>
          <w:spacing w:val="-3"/>
        </w:rPr>
        <w:t> </w:t>
      </w:r>
      <w:r>
        <w:rPr/>
        <w:t>two</w:t>
      </w:r>
      <w:r>
        <w:rPr>
          <w:spacing w:val="-3"/>
        </w:rPr>
        <w:t> </w:t>
      </w:r>
      <w:r>
        <w:rPr/>
        <w:t>capacities</w:t>
      </w:r>
      <w:r>
        <w:rPr>
          <w:spacing w:val="-2"/>
        </w:rPr>
        <w:t> </w:t>
      </w:r>
      <w:r>
        <w:rPr/>
        <w:t>throughout</w:t>
      </w:r>
      <w:r>
        <w:rPr>
          <w:spacing w:val="-3"/>
        </w:rPr>
        <w:t> </w:t>
      </w:r>
      <w:r>
        <w:rPr/>
        <w:t>TIC</w:t>
      </w:r>
      <w:r>
        <w:rPr>
          <w:spacing w:val="-3"/>
        </w:rPr>
        <w:t> </w:t>
      </w:r>
      <w:r>
        <w:rPr/>
        <w:t>documentation.</w:t>
      </w:r>
    </w:p>
    <w:p>
      <w:pPr>
        <w:pStyle w:val="ListParagraph"/>
        <w:numPr>
          <w:ilvl w:val="0"/>
          <w:numId w:val="3"/>
        </w:numPr>
        <w:tabs>
          <w:tab w:pos="1200" w:val="left" w:leader="none"/>
        </w:tabs>
        <w:spacing w:line="240" w:lineRule="auto" w:before="0" w:after="0"/>
        <w:ind w:left="1199" w:right="0" w:hanging="361"/>
        <w:jc w:val="left"/>
        <w:rPr>
          <w:sz w:val="22"/>
        </w:rPr>
      </w:pPr>
      <w:r>
        <w:rPr>
          <w:sz w:val="22"/>
        </w:rPr>
        <w:t>A</w:t>
      </w:r>
      <w:r>
        <w:rPr>
          <w:spacing w:val="-3"/>
          <w:sz w:val="22"/>
        </w:rPr>
        <w:t> </w:t>
      </w:r>
      <w:r>
        <w:rPr>
          <w:sz w:val="22"/>
        </w:rPr>
        <w:t>means</w:t>
      </w:r>
      <w:r>
        <w:rPr>
          <w:spacing w:val="-3"/>
          <w:sz w:val="22"/>
        </w:rPr>
        <w:t> </w:t>
      </w:r>
      <w:r>
        <w:rPr>
          <w:sz w:val="22"/>
        </w:rPr>
        <w:t>of</w:t>
      </w:r>
      <w:r>
        <w:rPr>
          <w:spacing w:val="-1"/>
          <w:sz w:val="22"/>
        </w:rPr>
        <w:t> </w:t>
      </w:r>
      <w:r>
        <w:rPr>
          <w:sz w:val="22"/>
        </w:rPr>
        <w:t>data</w:t>
      </w:r>
      <w:r>
        <w:rPr>
          <w:spacing w:val="-3"/>
          <w:sz w:val="22"/>
        </w:rPr>
        <w:t> </w:t>
      </w:r>
      <w:r>
        <w:rPr>
          <w:sz w:val="22"/>
        </w:rPr>
        <w:t>and</w:t>
      </w:r>
      <w:r>
        <w:rPr>
          <w:spacing w:val="-1"/>
          <w:sz w:val="22"/>
        </w:rPr>
        <w:t> </w:t>
      </w:r>
      <w:r>
        <w:rPr>
          <w:sz w:val="22"/>
        </w:rPr>
        <w:t>IT</w:t>
      </w:r>
      <w:r>
        <w:rPr>
          <w:spacing w:val="-2"/>
          <w:sz w:val="22"/>
        </w:rPr>
        <w:t> </w:t>
      </w:r>
      <w:r>
        <w:rPr>
          <w:sz w:val="22"/>
        </w:rPr>
        <w:t>traffic</w:t>
      </w:r>
      <w:r>
        <w:rPr>
          <w:spacing w:val="-2"/>
          <w:sz w:val="22"/>
        </w:rPr>
        <w:t> </w:t>
      </w:r>
      <w:r>
        <w:rPr>
          <w:sz w:val="22"/>
        </w:rPr>
        <w:t>transport.</w:t>
      </w:r>
    </w:p>
    <w:p>
      <w:pPr>
        <w:pStyle w:val="ListParagraph"/>
        <w:numPr>
          <w:ilvl w:val="0"/>
          <w:numId w:val="3"/>
        </w:numPr>
        <w:tabs>
          <w:tab w:pos="1200" w:val="left" w:leader="none"/>
        </w:tabs>
        <w:spacing w:line="240" w:lineRule="auto" w:before="1" w:after="0"/>
        <w:ind w:left="1199" w:right="0" w:hanging="361"/>
        <w:jc w:val="left"/>
        <w:rPr>
          <w:sz w:val="22"/>
        </w:rPr>
      </w:pPr>
      <w:r>
        <w:rPr>
          <w:sz w:val="22"/>
        </w:rPr>
        <w:t>An</w:t>
      </w:r>
      <w:r>
        <w:rPr>
          <w:spacing w:val="-3"/>
          <w:sz w:val="22"/>
        </w:rPr>
        <w:t> </w:t>
      </w:r>
      <w:r>
        <w:rPr>
          <w:sz w:val="22"/>
        </w:rPr>
        <w:t>environment</w:t>
      </w:r>
      <w:r>
        <w:rPr>
          <w:spacing w:val="-3"/>
          <w:sz w:val="22"/>
        </w:rPr>
        <w:t> </w:t>
      </w:r>
      <w:r>
        <w:rPr>
          <w:sz w:val="22"/>
        </w:rPr>
        <w:t>used</w:t>
      </w:r>
      <w:r>
        <w:rPr>
          <w:spacing w:val="-3"/>
          <w:sz w:val="22"/>
        </w:rPr>
        <w:t> </w:t>
      </w:r>
      <w:r>
        <w:rPr>
          <w:sz w:val="22"/>
        </w:rPr>
        <w:t>for</w:t>
      </w:r>
      <w:r>
        <w:rPr>
          <w:spacing w:val="-4"/>
          <w:sz w:val="22"/>
        </w:rPr>
        <w:t> </w:t>
      </w:r>
      <w:r>
        <w:rPr>
          <w:sz w:val="22"/>
        </w:rPr>
        <w:t>web</w:t>
      </w:r>
      <w:r>
        <w:rPr>
          <w:spacing w:val="-3"/>
          <w:sz w:val="22"/>
        </w:rPr>
        <w:t> </w:t>
      </w:r>
      <w:r>
        <w:rPr>
          <w:sz w:val="22"/>
        </w:rPr>
        <w:t>browsing</w:t>
      </w:r>
      <w:r>
        <w:rPr>
          <w:spacing w:val="-2"/>
          <w:sz w:val="22"/>
        </w:rPr>
        <w:t> </w:t>
      </w:r>
      <w:r>
        <w:rPr>
          <w:sz w:val="22"/>
        </w:rPr>
        <w:t>purposes,</w:t>
      </w:r>
      <w:r>
        <w:rPr>
          <w:spacing w:val="-3"/>
          <w:sz w:val="22"/>
        </w:rPr>
        <w:t> </w:t>
      </w:r>
      <w:r>
        <w:rPr>
          <w:sz w:val="22"/>
        </w:rPr>
        <w:t>hereafter</w:t>
      </w:r>
      <w:r>
        <w:rPr>
          <w:spacing w:val="-3"/>
          <w:sz w:val="22"/>
        </w:rPr>
        <w:t> </w:t>
      </w:r>
      <w:r>
        <w:rPr>
          <w:sz w:val="22"/>
        </w:rPr>
        <w:t>referred</w:t>
      </w:r>
      <w:r>
        <w:rPr>
          <w:spacing w:val="-3"/>
          <w:sz w:val="22"/>
        </w:rPr>
        <w:t> </w:t>
      </w:r>
      <w:r>
        <w:rPr>
          <w:sz w:val="22"/>
        </w:rPr>
        <w:t>to</w:t>
      </w:r>
      <w:r>
        <w:rPr>
          <w:spacing w:val="-3"/>
          <w:sz w:val="22"/>
        </w:rPr>
        <w:t> </w:t>
      </w:r>
      <w:r>
        <w:rPr>
          <w:sz w:val="22"/>
        </w:rPr>
        <w:t>as</w:t>
      </w:r>
      <w:r>
        <w:rPr>
          <w:spacing w:val="-4"/>
          <w:sz w:val="22"/>
        </w:rPr>
        <w:t> </w:t>
      </w:r>
      <w:r>
        <w:rPr>
          <w:sz w:val="22"/>
        </w:rPr>
        <w:t>“Web.”</w:t>
      </w:r>
    </w:p>
    <w:p>
      <w:pPr>
        <w:pStyle w:val="BodyText"/>
        <w:spacing w:before="120"/>
        <w:ind w:left="119" w:right="455"/>
      </w:pPr>
      <w:r>
        <w:rPr>
          <w:b/>
        </w:rPr>
        <w:t>Managed Trusted Internet Protocol Services (MTIPS): </w:t>
      </w:r>
      <w:r>
        <w:rPr/>
        <w:t>Services under GSA’s Enterprise</w:t>
      </w:r>
      <w:r>
        <w:rPr>
          <w:spacing w:val="1"/>
        </w:rPr>
        <w:t> </w:t>
      </w:r>
      <w:r>
        <w:rPr/>
        <w:t>Infrastructure</w:t>
      </w:r>
      <w:r>
        <w:rPr>
          <w:spacing w:val="-2"/>
        </w:rPr>
        <w:t> </w:t>
      </w:r>
      <w:r>
        <w:rPr/>
        <w:t>Solutions</w:t>
      </w:r>
      <w:r>
        <w:rPr>
          <w:spacing w:val="-4"/>
        </w:rPr>
        <w:t> </w:t>
      </w:r>
      <w:r>
        <w:rPr/>
        <w:t>(EIS)</w:t>
      </w:r>
      <w:r>
        <w:rPr>
          <w:spacing w:val="-3"/>
        </w:rPr>
        <w:t> </w:t>
      </w:r>
      <w:r>
        <w:rPr/>
        <w:t>contract</w:t>
      </w:r>
      <w:r>
        <w:rPr>
          <w:spacing w:val="-3"/>
        </w:rPr>
        <w:t> </w:t>
      </w:r>
      <w:r>
        <w:rPr/>
        <w:t>vehicle</w:t>
      </w:r>
      <w:r>
        <w:rPr>
          <w:spacing w:val="-4"/>
        </w:rPr>
        <w:t> </w:t>
      </w:r>
      <w:r>
        <w:rPr/>
        <w:t>that</w:t>
      </w:r>
      <w:r>
        <w:rPr>
          <w:spacing w:val="-2"/>
        </w:rPr>
        <w:t> </w:t>
      </w:r>
      <w:r>
        <w:rPr/>
        <w:t>provide</w:t>
      </w:r>
      <w:r>
        <w:rPr>
          <w:spacing w:val="-4"/>
        </w:rPr>
        <w:t> </w:t>
      </w:r>
      <w:r>
        <w:rPr/>
        <w:t>TIC</w:t>
      </w:r>
      <w:r>
        <w:rPr>
          <w:spacing w:val="-3"/>
        </w:rPr>
        <w:t> </w:t>
      </w:r>
      <w:r>
        <w:rPr/>
        <w:t>solutions</w:t>
      </w:r>
      <w:r>
        <w:rPr>
          <w:spacing w:val="-4"/>
        </w:rPr>
        <w:t> </w:t>
      </w:r>
      <w:r>
        <w:rPr/>
        <w:t>to</w:t>
      </w:r>
      <w:r>
        <w:rPr>
          <w:spacing w:val="-3"/>
        </w:rPr>
        <w:t> </w:t>
      </w:r>
      <w:r>
        <w:rPr/>
        <w:t>government</w:t>
      </w:r>
      <w:r>
        <w:rPr>
          <w:spacing w:val="-3"/>
        </w:rPr>
        <w:t> </w:t>
      </w:r>
      <w:r>
        <w:rPr/>
        <w:t>clients</w:t>
      </w:r>
      <w:r>
        <w:rPr>
          <w:spacing w:val="-2"/>
        </w:rPr>
        <w:t> </w:t>
      </w:r>
      <w:r>
        <w:rPr/>
        <w:t>as</w:t>
      </w:r>
      <w:r>
        <w:rPr>
          <w:spacing w:val="-4"/>
        </w:rPr>
        <w:t> </w:t>
      </w:r>
      <w:r>
        <w:rPr/>
        <w:t>a</w:t>
      </w:r>
      <w:r>
        <w:rPr>
          <w:spacing w:val="-52"/>
        </w:rPr>
        <w:t> </w:t>
      </w:r>
      <w:r>
        <w:rPr/>
        <w:t>managed security service. It is of note that the EIS contract is replacing the GSA Networx contract</w:t>
      </w:r>
      <w:r>
        <w:rPr>
          <w:spacing w:val="1"/>
        </w:rPr>
        <w:t> </w:t>
      </w:r>
      <w:r>
        <w:rPr/>
        <w:t>vehicle</w:t>
      </w:r>
      <w:r>
        <w:rPr>
          <w:spacing w:val="-2"/>
        </w:rPr>
        <w:t> </w:t>
      </w:r>
      <w:r>
        <w:rPr/>
        <w:t>that is</w:t>
      </w:r>
      <w:r>
        <w:rPr>
          <w:spacing w:val="-1"/>
        </w:rPr>
        <w:t> </w:t>
      </w:r>
      <w:r>
        <w:rPr/>
        <w:t>set to</w:t>
      </w:r>
      <w:r>
        <w:rPr>
          <w:spacing w:val="-1"/>
        </w:rPr>
        <w:t> </w:t>
      </w:r>
      <w:r>
        <w:rPr/>
        <w:t>expire</w:t>
      </w:r>
      <w:r>
        <w:rPr>
          <w:spacing w:val="-1"/>
        </w:rPr>
        <w:t> </w:t>
      </w:r>
      <w:r>
        <w:rPr/>
        <w:t>in Fiscal Year</w:t>
      </w:r>
      <w:r>
        <w:rPr>
          <w:spacing w:val="-1"/>
        </w:rPr>
        <w:t> </w:t>
      </w:r>
      <w:r>
        <w:rPr/>
        <w:t>(FY) 2023.</w:t>
      </w:r>
    </w:p>
    <w:p>
      <w:pPr>
        <w:pStyle w:val="BodyText"/>
        <w:spacing w:before="119"/>
        <w:ind w:left="119" w:right="672"/>
      </w:pPr>
      <w:r>
        <w:rPr>
          <w:b/>
        </w:rPr>
        <w:t>Management Entity (MGMT): </w:t>
      </w:r>
      <w:r>
        <w:rPr/>
        <w:t>A notional concept of an entity that oversees and controls security</w:t>
      </w:r>
      <w:r>
        <w:rPr>
          <w:spacing w:val="1"/>
        </w:rPr>
        <w:t> </w:t>
      </w:r>
      <w:r>
        <w:rPr/>
        <w:t>capabilities. The entity can be an organization, network device, tool, service, or application. The entity</w:t>
      </w:r>
      <w:r>
        <w:rPr>
          <w:spacing w:val="-52"/>
        </w:rPr>
        <w:t> </w:t>
      </w:r>
      <w:r>
        <w:rPr/>
        <w:t>can control the collection, processing, analysis, and display of information collected from the policy</w:t>
      </w:r>
      <w:r>
        <w:rPr>
          <w:spacing w:val="1"/>
        </w:rPr>
        <w:t> </w:t>
      </w:r>
      <w:r>
        <w:rPr/>
        <w:t>enforcement</w:t>
      </w:r>
      <w:r>
        <w:rPr>
          <w:spacing w:val="-1"/>
        </w:rPr>
        <w:t> </w:t>
      </w:r>
      <w:r>
        <w:rPr/>
        <w:t>points</w:t>
      </w:r>
      <w:r>
        <w:rPr>
          <w:spacing w:val="-2"/>
        </w:rPr>
        <w:t> </w:t>
      </w:r>
      <w:r>
        <w:rPr/>
        <w:t>(PEPs),</w:t>
      </w:r>
      <w:r>
        <w:rPr>
          <w:spacing w:val="-1"/>
        </w:rPr>
        <w:t> </w:t>
      </w:r>
      <w:r>
        <w:rPr/>
        <w:t>and</w:t>
      </w:r>
      <w:r>
        <w:rPr>
          <w:spacing w:val="-2"/>
        </w:rPr>
        <w:t> </w:t>
      </w:r>
      <w:r>
        <w:rPr/>
        <w:t>it</w:t>
      </w:r>
      <w:r>
        <w:rPr>
          <w:spacing w:val="-1"/>
        </w:rPr>
        <w:t> </w:t>
      </w:r>
      <w:r>
        <w:rPr/>
        <w:t>allows</w:t>
      </w:r>
      <w:r>
        <w:rPr>
          <w:spacing w:val="-2"/>
        </w:rPr>
        <w:t> </w:t>
      </w:r>
      <w:r>
        <w:rPr/>
        <w:t>IT</w:t>
      </w:r>
      <w:r>
        <w:rPr>
          <w:spacing w:val="-1"/>
        </w:rPr>
        <w:t> </w:t>
      </w:r>
      <w:r>
        <w:rPr/>
        <w:t>professionals</w:t>
      </w:r>
      <w:r>
        <w:rPr>
          <w:spacing w:val="-3"/>
        </w:rPr>
        <w:t> </w:t>
      </w:r>
      <w:r>
        <w:rPr/>
        <w:t>to</w:t>
      </w:r>
      <w:r>
        <w:rPr>
          <w:spacing w:val="-1"/>
        </w:rPr>
        <w:t> </w:t>
      </w:r>
      <w:r>
        <w:rPr/>
        <w:t>control</w:t>
      </w:r>
      <w:r>
        <w:rPr>
          <w:spacing w:val="-1"/>
        </w:rPr>
        <w:t> </w:t>
      </w:r>
      <w:r>
        <w:rPr/>
        <w:t>devices</w:t>
      </w:r>
      <w:r>
        <w:rPr>
          <w:spacing w:val="-2"/>
        </w:rPr>
        <w:t> </w:t>
      </w:r>
      <w:r>
        <w:rPr/>
        <w:t>on</w:t>
      </w:r>
      <w:r>
        <w:rPr>
          <w:spacing w:val="-2"/>
        </w:rPr>
        <w:t> </w:t>
      </w:r>
      <w:r>
        <w:rPr/>
        <w:t>the</w:t>
      </w:r>
      <w:r>
        <w:rPr>
          <w:spacing w:val="-2"/>
        </w:rPr>
        <w:t> </w:t>
      </w:r>
      <w:r>
        <w:rPr/>
        <w:t>network.</w:t>
      </w:r>
    </w:p>
    <w:p>
      <w:pPr>
        <w:spacing w:before="120"/>
        <w:ind w:left="119" w:right="451" w:firstLine="0"/>
        <w:jc w:val="left"/>
        <w:rPr>
          <w:sz w:val="22"/>
        </w:rPr>
      </w:pPr>
      <w:r>
        <w:rPr>
          <w:b/>
          <w:sz w:val="22"/>
        </w:rPr>
        <w:t>Policy Enforcement Point (PEP): </w:t>
      </w:r>
      <w:r>
        <w:rPr>
          <w:sz w:val="22"/>
        </w:rPr>
        <w:t>A security device, tool, function, or application that enforces security</w:t>
      </w:r>
      <w:r>
        <w:rPr>
          <w:spacing w:val="-53"/>
          <w:sz w:val="22"/>
        </w:rPr>
        <w:t> </w:t>
      </w:r>
      <w:r>
        <w:rPr>
          <w:sz w:val="22"/>
        </w:rPr>
        <w:t>policies</w:t>
      </w:r>
      <w:r>
        <w:rPr>
          <w:spacing w:val="-2"/>
          <w:sz w:val="22"/>
        </w:rPr>
        <w:t> </w:t>
      </w:r>
      <w:r>
        <w:rPr>
          <w:sz w:val="22"/>
        </w:rPr>
        <w:t>through technical capabilities.</w:t>
      </w:r>
    </w:p>
    <w:p>
      <w:pPr>
        <w:pStyle w:val="BodyText"/>
        <w:spacing w:before="120"/>
        <w:ind w:left="118" w:right="661"/>
      </w:pPr>
      <w:r>
        <w:rPr>
          <w:b/>
        </w:rPr>
        <w:t>Security Capability: </w:t>
      </w:r>
      <w:r>
        <w:rPr/>
        <w:t>A combination of mutually-reinforcing security controls (i.e., safeguards and</w:t>
      </w:r>
      <w:r>
        <w:rPr>
          <w:spacing w:val="1"/>
        </w:rPr>
        <w:t> </w:t>
      </w:r>
      <w:r>
        <w:rPr/>
        <w:t>countermeasures) implemented by technical means (i.e., functionality in hardware, software, and</w:t>
      </w:r>
      <w:r>
        <w:rPr>
          <w:spacing w:val="1"/>
        </w:rPr>
        <w:t> </w:t>
      </w:r>
      <w:r>
        <w:rPr/>
        <w:t>firmware), physical means (i.e., physical devices and protective measures), and procedural means (i.e.,</w:t>
      </w:r>
      <w:r>
        <w:rPr>
          <w:spacing w:val="-52"/>
        </w:rPr>
        <w:t> </w:t>
      </w:r>
      <w:r>
        <w:rPr/>
        <w:t>procedures performed by individuals).</w:t>
      </w:r>
      <w:hyperlink w:history="true" w:anchor="_bookmark5">
        <w:r>
          <w:rPr>
            <w:vertAlign w:val="superscript"/>
          </w:rPr>
          <w:t>2</w:t>
        </w:r>
        <w:r>
          <w:rPr>
            <w:vertAlign w:val="baseline"/>
          </w:rPr>
          <w:t> </w:t>
        </w:r>
      </w:hyperlink>
      <w:r>
        <w:rPr>
          <w:vertAlign w:val="baseline"/>
        </w:rPr>
        <w:t>Security capabilities help to define protections for information</w:t>
      </w:r>
      <w:r>
        <w:rPr>
          <w:spacing w:val="1"/>
          <w:vertAlign w:val="baseline"/>
        </w:rPr>
        <w:t> </w:t>
      </w:r>
      <w:r>
        <w:rPr>
          <w:vertAlign w:val="baseline"/>
        </w:rPr>
        <w:t>being</w:t>
      </w:r>
      <w:r>
        <w:rPr>
          <w:spacing w:val="-1"/>
          <w:vertAlign w:val="baseline"/>
        </w:rPr>
        <w:t> </w:t>
      </w:r>
      <w:r>
        <w:rPr>
          <w:vertAlign w:val="baseline"/>
        </w:rPr>
        <w:t>processed, stored,</w:t>
      </w:r>
      <w:r>
        <w:rPr>
          <w:spacing w:val="-1"/>
          <w:vertAlign w:val="baseline"/>
        </w:rPr>
        <w:t> </w:t>
      </w:r>
      <w:r>
        <w:rPr>
          <w:vertAlign w:val="baseline"/>
        </w:rPr>
        <w:t>or</w:t>
      </w:r>
      <w:r>
        <w:rPr>
          <w:spacing w:val="-1"/>
          <w:vertAlign w:val="baseline"/>
        </w:rPr>
        <w:t> </w:t>
      </w:r>
      <w:r>
        <w:rPr>
          <w:vertAlign w:val="baseline"/>
        </w:rPr>
        <w:t>transmitted</w:t>
      </w:r>
      <w:r>
        <w:rPr>
          <w:spacing w:val="-1"/>
          <w:vertAlign w:val="baseline"/>
        </w:rPr>
        <w:t> </w:t>
      </w:r>
      <w:r>
        <w:rPr>
          <w:vertAlign w:val="baseline"/>
        </w:rPr>
        <w:t>by information</w:t>
      </w:r>
      <w:r>
        <w:rPr>
          <w:spacing w:val="-1"/>
          <w:vertAlign w:val="baseline"/>
        </w:rPr>
        <w:t> </w:t>
      </w:r>
      <w:r>
        <w:rPr>
          <w:vertAlign w:val="baseline"/>
        </w:rPr>
        <w:t>systems.</w:t>
      </w:r>
    </w:p>
    <w:p>
      <w:pPr>
        <w:pStyle w:val="BodyText"/>
        <w:spacing w:before="4"/>
        <w:rPr>
          <w:sz w:val="27"/>
        </w:rPr>
      </w:pPr>
      <w:r>
        <w:rPr/>
        <w:pict>
          <v:rect style="position:absolute;margin-left:72pt;margin-top:16.969170pt;width:144pt;height:.54pt;mso-position-horizontal-relative:page;mso-position-vertical-relative:paragraph;z-index:-15727104;mso-wrap-distance-left:0;mso-wrap-distance-right:0" id="docshape8" filled="true" fillcolor="#000000" stroked="false">
            <v:fill type="solid"/>
            <w10:wrap type="topAndBottom"/>
          </v:rect>
        </w:pict>
      </w:r>
    </w:p>
    <w:p>
      <w:pPr>
        <w:spacing w:before="94"/>
        <w:ind w:left="119" w:right="407" w:firstLine="0"/>
        <w:jc w:val="left"/>
        <w:rPr>
          <w:sz w:val="20"/>
        </w:rPr>
      </w:pPr>
      <w:bookmarkStart w:name="_bookmark4" w:id="9"/>
      <w:bookmarkEnd w:id="9"/>
      <w:r>
        <w:rPr/>
      </w:r>
      <w:r>
        <w:rPr>
          <w:sz w:val="20"/>
          <w:vertAlign w:val="superscript"/>
        </w:rPr>
        <w:t>1</w:t>
      </w:r>
      <w:r>
        <w:rPr>
          <w:spacing w:val="-3"/>
          <w:sz w:val="20"/>
          <w:vertAlign w:val="baseline"/>
        </w:rPr>
        <w:t> </w:t>
      </w:r>
      <w:r>
        <w:rPr>
          <w:sz w:val="20"/>
          <w:vertAlign w:val="baseline"/>
        </w:rPr>
        <w:t>“Update</w:t>
      </w:r>
      <w:r>
        <w:rPr>
          <w:spacing w:val="-3"/>
          <w:sz w:val="20"/>
          <w:vertAlign w:val="baseline"/>
        </w:rPr>
        <w:t> </w:t>
      </w:r>
      <w:r>
        <w:rPr>
          <w:sz w:val="20"/>
          <w:vertAlign w:val="baseline"/>
        </w:rPr>
        <w:t>to</w:t>
      </w:r>
      <w:r>
        <w:rPr>
          <w:spacing w:val="-2"/>
          <w:sz w:val="20"/>
          <w:vertAlign w:val="baseline"/>
        </w:rPr>
        <w:t> </w:t>
      </w:r>
      <w:r>
        <w:rPr>
          <w:sz w:val="20"/>
          <w:vertAlign w:val="baseline"/>
        </w:rPr>
        <w:t>the</w:t>
      </w:r>
      <w:r>
        <w:rPr>
          <w:spacing w:val="-4"/>
          <w:sz w:val="20"/>
          <w:vertAlign w:val="baseline"/>
        </w:rPr>
        <w:t> </w:t>
      </w:r>
      <w:r>
        <w:rPr>
          <w:sz w:val="20"/>
          <w:vertAlign w:val="baseline"/>
        </w:rPr>
        <w:t>Trusted</w:t>
      </w:r>
      <w:r>
        <w:rPr>
          <w:spacing w:val="-3"/>
          <w:sz w:val="20"/>
          <w:vertAlign w:val="baseline"/>
        </w:rPr>
        <w:t> </w:t>
      </w:r>
      <w:r>
        <w:rPr>
          <w:sz w:val="20"/>
          <w:vertAlign w:val="baseline"/>
        </w:rPr>
        <w:t>Internet</w:t>
      </w:r>
      <w:r>
        <w:rPr>
          <w:spacing w:val="-4"/>
          <w:sz w:val="20"/>
          <w:vertAlign w:val="baseline"/>
        </w:rPr>
        <w:t> </w:t>
      </w:r>
      <w:r>
        <w:rPr>
          <w:sz w:val="20"/>
          <w:vertAlign w:val="baseline"/>
        </w:rPr>
        <w:t>Connections</w:t>
      </w:r>
      <w:r>
        <w:rPr>
          <w:spacing w:val="-4"/>
          <w:sz w:val="20"/>
          <w:vertAlign w:val="baseline"/>
        </w:rPr>
        <w:t> </w:t>
      </w:r>
      <w:r>
        <w:rPr>
          <w:sz w:val="20"/>
          <w:vertAlign w:val="baseline"/>
        </w:rPr>
        <w:t>(TIC)</w:t>
      </w:r>
      <w:r>
        <w:rPr>
          <w:spacing w:val="-4"/>
          <w:sz w:val="20"/>
          <w:vertAlign w:val="baseline"/>
        </w:rPr>
        <w:t> </w:t>
      </w:r>
      <w:r>
        <w:rPr>
          <w:sz w:val="20"/>
          <w:vertAlign w:val="baseline"/>
        </w:rPr>
        <w:t>Initiative,”</w:t>
      </w:r>
      <w:r>
        <w:rPr>
          <w:spacing w:val="-2"/>
          <w:sz w:val="20"/>
          <w:vertAlign w:val="baseline"/>
        </w:rPr>
        <w:t> </w:t>
      </w:r>
      <w:r>
        <w:rPr>
          <w:sz w:val="20"/>
          <w:vertAlign w:val="baseline"/>
        </w:rPr>
        <w:t>Office</w:t>
      </w:r>
      <w:r>
        <w:rPr>
          <w:spacing w:val="-4"/>
          <w:sz w:val="20"/>
          <w:vertAlign w:val="baseline"/>
        </w:rPr>
        <w:t> </w:t>
      </w:r>
      <w:r>
        <w:rPr>
          <w:sz w:val="20"/>
          <w:vertAlign w:val="baseline"/>
        </w:rPr>
        <w:t>of</w:t>
      </w:r>
      <w:r>
        <w:rPr>
          <w:spacing w:val="-4"/>
          <w:sz w:val="20"/>
          <w:vertAlign w:val="baseline"/>
        </w:rPr>
        <w:t> </w:t>
      </w:r>
      <w:r>
        <w:rPr>
          <w:sz w:val="20"/>
          <w:vertAlign w:val="baseline"/>
        </w:rPr>
        <w:t>Management</w:t>
      </w:r>
      <w:r>
        <w:rPr>
          <w:spacing w:val="-4"/>
          <w:sz w:val="20"/>
          <w:vertAlign w:val="baseline"/>
        </w:rPr>
        <w:t> </w:t>
      </w:r>
      <w:r>
        <w:rPr>
          <w:sz w:val="20"/>
          <w:vertAlign w:val="baseline"/>
        </w:rPr>
        <w:t>and</w:t>
      </w:r>
      <w:r>
        <w:rPr>
          <w:spacing w:val="-3"/>
          <w:sz w:val="20"/>
          <w:vertAlign w:val="baseline"/>
        </w:rPr>
        <w:t> </w:t>
      </w:r>
      <w:r>
        <w:rPr>
          <w:sz w:val="20"/>
          <w:vertAlign w:val="baseline"/>
        </w:rPr>
        <w:t>Budget</w:t>
      </w:r>
      <w:r>
        <w:rPr>
          <w:spacing w:val="-3"/>
          <w:sz w:val="20"/>
          <w:vertAlign w:val="baseline"/>
        </w:rPr>
        <w:t> </w:t>
      </w:r>
      <w:r>
        <w:rPr>
          <w:sz w:val="20"/>
          <w:vertAlign w:val="baseline"/>
        </w:rPr>
        <w:t>M-19-26</w:t>
      </w:r>
      <w:r>
        <w:rPr>
          <w:spacing w:val="-2"/>
          <w:sz w:val="20"/>
          <w:vertAlign w:val="baseline"/>
        </w:rPr>
        <w:t> </w:t>
      </w:r>
      <w:r>
        <w:rPr>
          <w:sz w:val="20"/>
          <w:vertAlign w:val="baseline"/>
        </w:rPr>
        <w:t>(2019).</w:t>
      </w:r>
      <w:r>
        <w:rPr>
          <w:spacing w:val="1"/>
          <w:sz w:val="20"/>
          <w:vertAlign w:val="baseline"/>
        </w:rPr>
        <w:t> </w:t>
      </w:r>
      <w:bookmarkStart w:name="_bookmark5" w:id="10"/>
      <w:bookmarkEnd w:id="10"/>
      <w:r>
        <w:rPr>
          <w:sz w:val="20"/>
          <w:vertAlign w:val="baseline"/>
        </w:rPr>
        <w:t>h</w:t>
      </w:r>
      <w:r>
        <w:rPr>
          <w:sz w:val="20"/>
          <w:vertAlign w:val="baseline"/>
        </w:rPr>
        <w:t>ttps://</w:t>
      </w:r>
      <w:hyperlink r:id="rId12">
        <w:r>
          <w:rPr>
            <w:sz w:val="20"/>
            <w:vertAlign w:val="baseline"/>
          </w:rPr>
          <w:t>www.whitehouse.gov/wp-content/uploads/2019/09/M-19-26.pdf.</w:t>
        </w:r>
      </w:hyperlink>
    </w:p>
    <w:p>
      <w:pPr>
        <w:spacing w:before="0"/>
        <w:ind w:left="120" w:right="529" w:hanging="1"/>
        <w:jc w:val="left"/>
        <w:rPr>
          <w:sz w:val="20"/>
        </w:rPr>
      </w:pPr>
      <w:r>
        <w:rPr>
          <w:sz w:val="20"/>
          <w:vertAlign w:val="superscript"/>
        </w:rPr>
        <w:t>2</w:t>
      </w:r>
      <w:r>
        <w:rPr>
          <w:sz w:val="20"/>
          <w:vertAlign w:val="baseline"/>
        </w:rPr>
        <w:t> "Security and Privacy Controls for Federal Information Systems and Organizations (NIST SP 800-53 R4)," April</w:t>
      </w:r>
      <w:r>
        <w:rPr>
          <w:spacing w:val="-48"/>
          <w:sz w:val="20"/>
          <w:vertAlign w:val="baseline"/>
        </w:rPr>
        <w:t> </w:t>
      </w:r>
      <w:r>
        <w:rPr>
          <w:sz w:val="20"/>
          <w:vertAlign w:val="baseline"/>
        </w:rPr>
        <w:t>2013.</w:t>
      </w:r>
      <w:r>
        <w:rPr>
          <w:spacing w:val="-2"/>
          <w:sz w:val="20"/>
          <w:vertAlign w:val="baseline"/>
        </w:rPr>
        <w:t> </w:t>
      </w:r>
      <w:hyperlink r:id="rId13">
        <w:r>
          <w:rPr>
            <w:sz w:val="20"/>
            <w:vertAlign w:val="baseline"/>
          </w:rPr>
          <w:t>http://dx.doi.org/10.6028/NIST.SP.800-53r4.</w:t>
        </w:r>
      </w:hyperlink>
    </w:p>
    <w:p>
      <w:pPr>
        <w:spacing w:after="0"/>
        <w:jc w:val="left"/>
        <w:rPr>
          <w:sz w:val="20"/>
        </w:rPr>
        <w:sectPr>
          <w:headerReference w:type="default" r:id="rId10"/>
          <w:footerReference w:type="default" r:id="rId11"/>
          <w:pgSz w:w="12240" w:h="15840"/>
          <w:pgMar w:header="730" w:footer="764" w:top="960" w:bottom="960" w:left="1320" w:right="1080"/>
          <w:pgNumType w:start="1"/>
        </w:sectPr>
      </w:pPr>
    </w:p>
    <w:p>
      <w:pPr>
        <w:pStyle w:val="BodyText"/>
        <w:rPr>
          <w:sz w:val="20"/>
        </w:rPr>
      </w:pPr>
    </w:p>
    <w:p>
      <w:pPr>
        <w:pStyle w:val="BodyText"/>
        <w:spacing w:before="7"/>
        <w:rPr>
          <w:sz w:val="20"/>
        </w:rPr>
      </w:pPr>
    </w:p>
    <w:p>
      <w:pPr>
        <w:pStyle w:val="BodyText"/>
        <w:ind w:left="120"/>
      </w:pPr>
      <w:r>
        <w:rPr>
          <w:b/>
        </w:rPr>
        <w:t>Telemetry:</w:t>
      </w:r>
      <w:r>
        <w:rPr>
          <w:b/>
          <w:spacing w:val="-3"/>
        </w:rPr>
        <w:t> </w:t>
      </w:r>
      <w:r>
        <w:rPr/>
        <w:t>Artifacts</w:t>
      </w:r>
      <w:r>
        <w:rPr>
          <w:spacing w:val="-4"/>
        </w:rPr>
        <w:t> </w:t>
      </w:r>
      <w:r>
        <w:rPr/>
        <w:t>derived</w:t>
      </w:r>
      <w:r>
        <w:rPr>
          <w:spacing w:val="-4"/>
        </w:rPr>
        <w:t> </w:t>
      </w:r>
      <w:r>
        <w:rPr/>
        <w:t>from</w:t>
      </w:r>
      <w:r>
        <w:rPr>
          <w:spacing w:val="-4"/>
        </w:rPr>
        <w:t> </w:t>
      </w:r>
      <w:r>
        <w:rPr/>
        <w:t>security</w:t>
      </w:r>
      <w:r>
        <w:rPr>
          <w:spacing w:val="-4"/>
        </w:rPr>
        <w:t> </w:t>
      </w:r>
      <w:r>
        <w:rPr/>
        <w:t>capabilities</w:t>
      </w:r>
      <w:r>
        <w:rPr>
          <w:spacing w:val="-4"/>
        </w:rPr>
        <w:t> </w:t>
      </w:r>
      <w:r>
        <w:rPr/>
        <w:t>that</w:t>
      </w:r>
      <w:r>
        <w:rPr>
          <w:spacing w:val="-4"/>
        </w:rPr>
        <w:t> </w:t>
      </w:r>
      <w:r>
        <w:rPr/>
        <w:t>provide</w:t>
      </w:r>
      <w:r>
        <w:rPr>
          <w:spacing w:val="-4"/>
        </w:rPr>
        <w:t> </w:t>
      </w:r>
      <w:r>
        <w:rPr/>
        <w:t>visibility</w:t>
      </w:r>
      <w:r>
        <w:rPr>
          <w:spacing w:val="-4"/>
        </w:rPr>
        <w:t> </w:t>
      </w:r>
      <w:r>
        <w:rPr/>
        <w:t>into</w:t>
      </w:r>
      <w:r>
        <w:rPr>
          <w:spacing w:val="-3"/>
        </w:rPr>
        <w:t> </w:t>
      </w:r>
      <w:r>
        <w:rPr/>
        <w:t>security</w:t>
      </w:r>
      <w:r>
        <w:rPr>
          <w:spacing w:val="-4"/>
        </w:rPr>
        <w:t> </w:t>
      </w:r>
      <w:r>
        <w:rPr/>
        <w:t>posture.</w:t>
      </w:r>
    </w:p>
    <w:p>
      <w:pPr>
        <w:pStyle w:val="BodyText"/>
        <w:spacing w:before="120"/>
        <w:ind w:left="120" w:right="383"/>
      </w:pPr>
      <w:r>
        <w:rPr>
          <w:b/>
        </w:rPr>
        <w:t>TIC: </w:t>
      </w:r>
      <w:r>
        <w:rPr/>
        <w:t>The term “TIC” is used throughout the Federal Government to denote different aspects of the TIC</w:t>
      </w:r>
      <w:r>
        <w:rPr>
          <w:spacing w:val="1"/>
        </w:rPr>
        <w:t> </w:t>
      </w:r>
      <w:r>
        <w:rPr/>
        <w:t>initiative; including the overall TIC program, a physical TIC access point (also known as a Traditional</w:t>
      </w:r>
      <w:r>
        <w:rPr>
          <w:spacing w:val="1"/>
        </w:rPr>
        <w:t> </w:t>
      </w:r>
      <w:r>
        <w:rPr/>
        <w:t>TIC),</w:t>
      </w:r>
      <w:r>
        <w:rPr>
          <w:spacing w:val="-2"/>
        </w:rPr>
        <w:t> </w:t>
      </w:r>
      <w:r>
        <w:rPr/>
        <w:t>and</w:t>
      </w:r>
      <w:r>
        <w:rPr>
          <w:spacing w:val="-2"/>
        </w:rPr>
        <w:t> </w:t>
      </w:r>
      <w:r>
        <w:rPr/>
        <w:t>a</w:t>
      </w:r>
      <w:r>
        <w:rPr>
          <w:spacing w:val="-3"/>
        </w:rPr>
        <w:t> </w:t>
      </w:r>
      <w:r>
        <w:rPr/>
        <w:t>TIC</w:t>
      </w:r>
      <w:r>
        <w:rPr>
          <w:spacing w:val="-2"/>
        </w:rPr>
        <w:t> </w:t>
      </w:r>
      <w:r>
        <w:rPr/>
        <w:t>Access</w:t>
      </w:r>
      <w:r>
        <w:rPr>
          <w:spacing w:val="-3"/>
        </w:rPr>
        <w:t> </w:t>
      </w:r>
      <w:r>
        <w:rPr/>
        <w:t>Provider</w:t>
      </w:r>
      <w:r>
        <w:rPr>
          <w:spacing w:val="-2"/>
        </w:rPr>
        <w:t> </w:t>
      </w:r>
      <w:r>
        <w:rPr/>
        <w:t>(TICAP</w:t>
      </w:r>
      <w:r>
        <w:rPr>
          <w:spacing w:val="-2"/>
        </w:rPr>
        <w:t> </w:t>
      </w:r>
      <w:r>
        <w:rPr/>
        <w:t>–</w:t>
      </w:r>
      <w:r>
        <w:rPr>
          <w:spacing w:val="-1"/>
        </w:rPr>
        <w:t> </w:t>
      </w:r>
      <w:r>
        <w:rPr/>
        <w:t>see</w:t>
      </w:r>
      <w:r>
        <w:rPr>
          <w:spacing w:val="-3"/>
        </w:rPr>
        <w:t> </w:t>
      </w:r>
      <w:r>
        <w:rPr/>
        <w:t>below).</w:t>
      </w:r>
      <w:r>
        <w:rPr>
          <w:spacing w:val="-2"/>
        </w:rPr>
        <w:t> </w:t>
      </w:r>
      <w:r>
        <w:rPr/>
        <w:t>This</w:t>
      </w:r>
      <w:r>
        <w:rPr>
          <w:spacing w:val="-3"/>
        </w:rPr>
        <w:t> </w:t>
      </w:r>
      <w:r>
        <w:rPr/>
        <w:t>document</w:t>
      </w:r>
      <w:r>
        <w:rPr>
          <w:spacing w:val="-2"/>
        </w:rPr>
        <w:t> </w:t>
      </w:r>
      <w:r>
        <w:rPr/>
        <w:t>refers</w:t>
      </w:r>
      <w:r>
        <w:rPr>
          <w:spacing w:val="-3"/>
        </w:rPr>
        <w:t> </w:t>
      </w:r>
      <w:r>
        <w:rPr/>
        <w:t>to</w:t>
      </w:r>
      <w:r>
        <w:rPr>
          <w:spacing w:val="-2"/>
        </w:rPr>
        <w:t> </w:t>
      </w:r>
      <w:r>
        <w:rPr/>
        <w:t>TIC</w:t>
      </w:r>
      <w:r>
        <w:rPr>
          <w:spacing w:val="-2"/>
        </w:rPr>
        <w:t> </w:t>
      </w:r>
      <w:r>
        <w:rPr/>
        <w:t>as</w:t>
      </w:r>
      <w:r>
        <w:rPr>
          <w:spacing w:val="-2"/>
        </w:rPr>
        <w:t> </w:t>
      </w:r>
      <w:r>
        <w:rPr/>
        <w:t>an</w:t>
      </w:r>
      <w:r>
        <w:rPr>
          <w:spacing w:val="-2"/>
        </w:rPr>
        <w:t> </w:t>
      </w:r>
      <w:r>
        <w:rPr/>
        <w:t>adjective</w:t>
      </w:r>
      <w:r>
        <w:rPr>
          <w:spacing w:val="-3"/>
        </w:rPr>
        <w:t> </w:t>
      </w:r>
      <w:r>
        <w:rPr/>
        <w:t>or</w:t>
      </w:r>
      <w:r>
        <w:rPr>
          <w:spacing w:val="-2"/>
        </w:rPr>
        <w:t> </w:t>
      </w:r>
      <w:r>
        <w:rPr/>
        <w:t>as</w:t>
      </w:r>
      <w:r>
        <w:rPr>
          <w:spacing w:val="-52"/>
        </w:rPr>
        <w:t> </w:t>
      </w:r>
      <w:r>
        <w:rPr/>
        <w:t>the</w:t>
      </w:r>
      <w:r>
        <w:rPr>
          <w:spacing w:val="-2"/>
        </w:rPr>
        <w:t> </w:t>
      </w:r>
      <w:r>
        <w:rPr/>
        <w:t>Trusted Internet Connections</w:t>
      </w:r>
      <w:r>
        <w:rPr>
          <w:spacing w:val="-1"/>
        </w:rPr>
        <w:t> </w:t>
      </w:r>
      <w:r>
        <w:rPr/>
        <w:t>initiative.</w:t>
      </w:r>
    </w:p>
    <w:p>
      <w:pPr>
        <w:pStyle w:val="BodyText"/>
        <w:spacing w:before="120"/>
        <w:ind w:left="120" w:right="1080"/>
      </w:pPr>
      <w:r>
        <w:rPr>
          <w:b/>
        </w:rPr>
        <w:t>TIC Access Point: </w:t>
      </w:r>
      <w:r>
        <w:rPr/>
        <w:t>The physical location where a federal civilian agency consolidates its external</w:t>
      </w:r>
      <w:r>
        <w:rPr>
          <w:spacing w:val="-53"/>
        </w:rPr>
        <w:t> </w:t>
      </w:r>
      <w:r>
        <w:rPr/>
        <w:t>connections</w:t>
      </w:r>
      <w:r>
        <w:rPr>
          <w:spacing w:val="-2"/>
        </w:rPr>
        <w:t> </w:t>
      </w:r>
      <w:r>
        <w:rPr/>
        <w:t>and</w:t>
      </w:r>
      <w:r>
        <w:rPr>
          <w:spacing w:val="-1"/>
        </w:rPr>
        <w:t> </w:t>
      </w:r>
      <w:r>
        <w:rPr/>
        <w:t>has</w:t>
      </w:r>
      <w:r>
        <w:rPr>
          <w:spacing w:val="-2"/>
        </w:rPr>
        <w:t> </w:t>
      </w:r>
      <w:r>
        <w:rPr/>
        <w:t>security</w:t>
      </w:r>
      <w:r>
        <w:rPr>
          <w:spacing w:val="-1"/>
        </w:rPr>
        <w:t> </w:t>
      </w:r>
      <w:r>
        <w:rPr/>
        <w:t>controls</w:t>
      </w:r>
      <w:r>
        <w:rPr>
          <w:spacing w:val="-2"/>
        </w:rPr>
        <w:t> </w:t>
      </w:r>
      <w:r>
        <w:rPr/>
        <w:t>in</w:t>
      </w:r>
      <w:r>
        <w:rPr>
          <w:spacing w:val="-3"/>
        </w:rPr>
        <w:t> </w:t>
      </w:r>
      <w:r>
        <w:rPr/>
        <w:t>place</w:t>
      </w:r>
      <w:r>
        <w:rPr>
          <w:spacing w:val="-2"/>
        </w:rPr>
        <w:t> </w:t>
      </w:r>
      <w:r>
        <w:rPr/>
        <w:t>to</w:t>
      </w:r>
      <w:r>
        <w:rPr>
          <w:spacing w:val="-1"/>
        </w:rPr>
        <w:t> </w:t>
      </w:r>
      <w:r>
        <w:rPr/>
        <w:t>secure</w:t>
      </w:r>
      <w:r>
        <w:rPr>
          <w:spacing w:val="-2"/>
        </w:rPr>
        <w:t> </w:t>
      </w:r>
      <w:r>
        <w:rPr/>
        <w:t>and</w:t>
      </w:r>
      <w:r>
        <w:rPr>
          <w:spacing w:val="-1"/>
        </w:rPr>
        <w:t> </w:t>
      </w:r>
      <w:r>
        <w:rPr/>
        <w:t>monitor</w:t>
      </w:r>
      <w:r>
        <w:rPr>
          <w:spacing w:val="-3"/>
        </w:rPr>
        <w:t> </w:t>
      </w:r>
      <w:r>
        <w:rPr/>
        <w:t>the</w:t>
      </w:r>
      <w:r>
        <w:rPr>
          <w:spacing w:val="-2"/>
        </w:rPr>
        <w:t> </w:t>
      </w:r>
      <w:r>
        <w:rPr/>
        <w:t>connections.</w:t>
      </w:r>
    </w:p>
    <w:p>
      <w:pPr>
        <w:pStyle w:val="BodyText"/>
        <w:spacing w:before="120"/>
        <w:ind w:left="119" w:right="633"/>
        <w:jc w:val="both"/>
      </w:pPr>
      <w:r>
        <w:rPr>
          <w:b/>
        </w:rPr>
        <w:t>TIC Access Provider (TICAP): </w:t>
      </w:r>
      <w:r>
        <w:rPr/>
        <w:t>An agency or vendor that manages and hosts one or more TIC access</w:t>
      </w:r>
      <w:r>
        <w:rPr>
          <w:spacing w:val="-52"/>
        </w:rPr>
        <w:t> </w:t>
      </w:r>
      <w:r>
        <w:rPr/>
        <w:t>points. Single Service TICAPs serve as a TIC Access Provider only to their own agency. Multi-Service</w:t>
      </w:r>
      <w:r>
        <w:rPr>
          <w:spacing w:val="-53"/>
        </w:rPr>
        <w:t> </w:t>
      </w:r>
      <w:r>
        <w:rPr/>
        <w:t>TICAPs</w:t>
      </w:r>
      <w:r>
        <w:rPr>
          <w:spacing w:val="-2"/>
        </w:rPr>
        <w:t> </w:t>
      </w:r>
      <w:r>
        <w:rPr/>
        <w:t>also provide</w:t>
      </w:r>
      <w:r>
        <w:rPr>
          <w:spacing w:val="-2"/>
        </w:rPr>
        <w:t> </w:t>
      </w:r>
      <w:r>
        <w:rPr/>
        <w:t>TIC</w:t>
      </w:r>
      <w:r>
        <w:rPr>
          <w:spacing w:val="-1"/>
        </w:rPr>
        <w:t> </w:t>
      </w:r>
      <w:r>
        <w:rPr/>
        <w:t>services</w:t>
      </w:r>
      <w:r>
        <w:rPr>
          <w:spacing w:val="-2"/>
        </w:rPr>
        <w:t> </w:t>
      </w:r>
      <w:r>
        <w:rPr/>
        <w:t>to other</w:t>
      </w:r>
      <w:r>
        <w:rPr>
          <w:spacing w:val="-1"/>
        </w:rPr>
        <w:t> </w:t>
      </w:r>
      <w:r>
        <w:rPr/>
        <w:t>agencies</w:t>
      </w:r>
      <w:r>
        <w:rPr>
          <w:spacing w:val="-2"/>
        </w:rPr>
        <w:t> </w:t>
      </w:r>
      <w:r>
        <w:rPr/>
        <w:t>through</w:t>
      </w:r>
      <w:r>
        <w:rPr>
          <w:spacing w:val="-1"/>
        </w:rPr>
        <w:t> </w:t>
      </w:r>
      <w:r>
        <w:rPr/>
        <w:t>a</w:t>
      </w:r>
      <w:r>
        <w:rPr>
          <w:spacing w:val="-2"/>
        </w:rPr>
        <w:t> </w:t>
      </w:r>
      <w:r>
        <w:rPr/>
        <w:t>shared services</w:t>
      </w:r>
      <w:r>
        <w:rPr>
          <w:spacing w:val="-2"/>
        </w:rPr>
        <w:t> </w:t>
      </w:r>
      <w:r>
        <w:rPr/>
        <w:t>model.</w:t>
      </w:r>
    </w:p>
    <w:p>
      <w:pPr>
        <w:pStyle w:val="BodyText"/>
        <w:spacing w:before="120"/>
        <w:ind w:left="119"/>
        <w:jc w:val="both"/>
      </w:pPr>
      <w:r>
        <w:rPr>
          <w:b/>
        </w:rPr>
        <w:t>TIC</w:t>
      </w:r>
      <w:r>
        <w:rPr>
          <w:b/>
          <w:spacing w:val="-4"/>
        </w:rPr>
        <w:t> </w:t>
      </w:r>
      <w:r>
        <w:rPr>
          <w:b/>
        </w:rPr>
        <w:t>Overlay:</w:t>
      </w:r>
      <w:r>
        <w:rPr>
          <w:b/>
          <w:spacing w:val="-3"/>
        </w:rPr>
        <w:t> </w:t>
      </w:r>
      <w:r>
        <w:rPr/>
        <w:t>A</w:t>
      </w:r>
      <w:r>
        <w:rPr>
          <w:spacing w:val="-2"/>
        </w:rPr>
        <w:t> </w:t>
      </w:r>
      <w:r>
        <w:rPr/>
        <w:t>mapping</w:t>
      </w:r>
      <w:r>
        <w:rPr>
          <w:spacing w:val="-4"/>
        </w:rPr>
        <w:t> </w:t>
      </w:r>
      <w:r>
        <w:rPr/>
        <w:t>of</w:t>
      </w:r>
      <w:r>
        <w:rPr>
          <w:spacing w:val="-4"/>
        </w:rPr>
        <w:t> </w:t>
      </w:r>
      <w:r>
        <w:rPr/>
        <w:t>products</w:t>
      </w:r>
      <w:r>
        <w:rPr>
          <w:spacing w:val="-3"/>
        </w:rPr>
        <w:t> </w:t>
      </w:r>
      <w:r>
        <w:rPr/>
        <w:t>and</w:t>
      </w:r>
      <w:r>
        <w:rPr>
          <w:spacing w:val="-3"/>
        </w:rPr>
        <w:t> </w:t>
      </w:r>
      <w:r>
        <w:rPr/>
        <w:t>services</w:t>
      </w:r>
      <w:r>
        <w:rPr>
          <w:spacing w:val="-4"/>
        </w:rPr>
        <w:t> </w:t>
      </w:r>
      <w:r>
        <w:rPr/>
        <w:t>to</w:t>
      </w:r>
      <w:r>
        <w:rPr>
          <w:spacing w:val="-2"/>
        </w:rPr>
        <w:t> </w:t>
      </w:r>
      <w:r>
        <w:rPr/>
        <w:t>TIC</w:t>
      </w:r>
      <w:r>
        <w:rPr>
          <w:spacing w:val="-3"/>
        </w:rPr>
        <w:t> </w:t>
      </w:r>
      <w:r>
        <w:rPr/>
        <w:t>security</w:t>
      </w:r>
      <w:r>
        <w:rPr>
          <w:spacing w:val="-3"/>
        </w:rPr>
        <w:t> </w:t>
      </w:r>
      <w:r>
        <w:rPr/>
        <w:t>capabilities.</w:t>
      </w:r>
    </w:p>
    <w:p>
      <w:pPr>
        <w:pStyle w:val="BodyText"/>
        <w:spacing w:before="120"/>
        <w:ind w:left="119" w:right="383"/>
      </w:pPr>
      <w:r>
        <w:rPr>
          <w:b/>
        </w:rPr>
        <w:t>TIC Use Case: </w:t>
      </w:r>
      <w:r>
        <w:rPr/>
        <w:t>Guidance on the secure implementation and/or configuration of specific platforms,</w:t>
      </w:r>
      <w:r>
        <w:rPr>
          <w:spacing w:val="1"/>
        </w:rPr>
        <w:t> </w:t>
      </w:r>
      <w:r>
        <w:rPr/>
        <w:t>services, and environments. A TIC use case contains a conceptual architecture, one or more security</w:t>
      </w:r>
      <w:r>
        <w:rPr>
          <w:spacing w:val="1"/>
        </w:rPr>
        <w:t> </w:t>
      </w:r>
      <w:r>
        <w:rPr/>
        <w:t>pattern</w:t>
      </w:r>
      <w:r>
        <w:rPr>
          <w:spacing w:val="-4"/>
        </w:rPr>
        <w:t> </w:t>
      </w:r>
      <w:r>
        <w:rPr/>
        <w:t>options,</w:t>
      </w:r>
      <w:r>
        <w:rPr>
          <w:spacing w:val="-4"/>
        </w:rPr>
        <w:t> </w:t>
      </w:r>
      <w:r>
        <w:rPr/>
        <w:t>security</w:t>
      </w:r>
      <w:r>
        <w:rPr>
          <w:spacing w:val="-4"/>
        </w:rPr>
        <w:t> </w:t>
      </w:r>
      <w:r>
        <w:rPr/>
        <w:t>capability</w:t>
      </w:r>
      <w:r>
        <w:rPr>
          <w:spacing w:val="-3"/>
        </w:rPr>
        <w:t> </w:t>
      </w:r>
      <w:r>
        <w:rPr/>
        <w:t>implementation</w:t>
      </w:r>
      <w:r>
        <w:rPr>
          <w:spacing w:val="-4"/>
        </w:rPr>
        <w:t> </w:t>
      </w:r>
      <w:r>
        <w:rPr/>
        <w:t>guidance,</w:t>
      </w:r>
      <w:r>
        <w:rPr>
          <w:spacing w:val="-4"/>
        </w:rPr>
        <w:t> </w:t>
      </w:r>
      <w:r>
        <w:rPr/>
        <w:t>and</w:t>
      </w:r>
      <w:r>
        <w:rPr>
          <w:spacing w:val="-3"/>
        </w:rPr>
        <w:t> </w:t>
      </w:r>
      <w:r>
        <w:rPr/>
        <w:t>CISA</w:t>
      </w:r>
      <w:r>
        <w:rPr>
          <w:spacing w:val="-5"/>
        </w:rPr>
        <w:t> </w:t>
      </w:r>
      <w:r>
        <w:rPr/>
        <w:t>telemetry</w:t>
      </w:r>
      <w:r>
        <w:rPr>
          <w:spacing w:val="-4"/>
        </w:rPr>
        <w:t> </w:t>
      </w:r>
      <w:r>
        <w:rPr/>
        <w:t>guidance</w:t>
      </w:r>
      <w:r>
        <w:rPr>
          <w:spacing w:val="-4"/>
        </w:rPr>
        <w:t> </w:t>
      </w:r>
      <w:r>
        <w:rPr/>
        <w:t>for</w:t>
      </w:r>
      <w:r>
        <w:rPr>
          <w:spacing w:val="-5"/>
        </w:rPr>
        <w:t> </w:t>
      </w:r>
      <w:r>
        <w:rPr/>
        <w:t>a</w:t>
      </w:r>
      <w:r>
        <w:rPr>
          <w:spacing w:val="-5"/>
        </w:rPr>
        <w:t> </w:t>
      </w:r>
      <w:r>
        <w:rPr/>
        <w:t>common</w:t>
      </w:r>
      <w:r>
        <w:rPr>
          <w:spacing w:val="-52"/>
        </w:rPr>
        <w:t> </w:t>
      </w:r>
      <w:r>
        <w:rPr/>
        <w:t>agency</w:t>
      </w:r>
      <w:r>
        <w:rPr>
          <w:spacing w:val="-1"/>
        </w:rPr>
        <w:t> </w:t>
      </w:r>
      <w:r>
        <w:rPr/>
        <w:t>computing scenario.</w:t>
      </w:r>
    </w:p>
    <w:p>
      <w:pPr>
        <w:pStyle w:val="BodyText"/>
        <w:spacing w:before="119"/>
        <w:ind w:left="119" w:right="524"/>
      </w:pPr>
      <w:r>
        <w:rPr>
          <w:b/>
        </w:rPr>
        <w:t>Trust Zone: </w:t>
      </w:r>
      <w:r>
        <w:rPr/>
        <w:t>A discrete computing environment designated for information processing, storage, and/or</w:t>
      </w:r>
      <w:r>
        <w:rPr>
          <w:spacing w:val="1"/>
        </w:rPr>
        <w:t> </w:t>
      </w:r>
      <w:r>
        <w:rPr/>
        <w:t>transmission that share the rigor or robustness of the applicable security capabilities necessary to protect</w:t>
      </w:r>
      <w:r>
        <w:rPr>
          <w:spacing w:val="-53"/>
        </w:rPr>
        <w:t> </w:t>
      </w:r>
      <w:r>
        <w:rPr/>
        <w:t>the</w:t>
      </w:r>
      <w:r>
        <w:rPr>
          <w:spacing w:val="-2"/>
        </w:rPr>
        <w:t> </w:t>
      </w:r>
      <w:r>
        <w:rPr/>
        <w:t>traffic</w:t>
      </w:r>
      <w:r>
        <w:rPr>
          <w:spacing w:val="-1"/>
        </w:rPr>
        <w:t> </w:t>
      </w:r>
      <w:r>
        <w:rPr/>
        <w:t>transiting</w:t>
      </w:r>
      <w:r>
        <w:rPr>
          <w:spacing w:val="-1"/>
        </w:rPr>
        <w:t> </w:t>
      </w:r>
      <w:r>
        <w:rPr/>
        <w:t>in</w:t>
      </w:r>
      <w:r>
        <w:rPr>
          <w:spacing w:val="-1"/>
        </w:rPr>
        <w:t> </w:t>
      </w:r>
      <w:r>
        <w:rPr/>
        <w:t>and</w:t>
      </w:r>
      <w:r>
        <w:rPr>
          <w:spacing w:val="-2"/>
        </w:rPr>
        <w:t> </w:t>
      </w:r>
      <w:r>
        <w:rPr/>
        <w:t>out of</w:t>
      </w:r>
      <w:r>
        <w:rPr>
          <w:spacing w:val="-3"/>
        </w:rPr>
        <w:t> </w:t>
      </w:r>
      <w:r>
        <w:rPr/>
        <w:t>a</w:t>
      </w:r>
      <w:r>
        <w:rPr>
          <w:spacing w:val="-1"/>
        </w:rPr>
        <w:t> </w:t>
      </w:r>
      <w:r>
        <w:rPr/>
        <w:t>zone</w:t>
      </w:r>
      <w:r>
        <w:rPr>
          <w:spacing w:val="-2"/>
        </w:rPr>
        <w:t> </w:t>
      </w:r>
      <w:r>
        <w:rPr/>
        <w:t>and/or the</w:t>
      </w:r>
      <w:r>
        <w:rPr>
          <w:spacing w:val="-1"/>
        </w:rPr>
        <w:t> </w:t>
      </w:r>
      <w:r>
        <w:rPr/>
        <w:t>information</w:t>
      </w:r>
      <w:r>
        <w:rPr>
          <w:spacing w:val="-1"/>
        </w:rPr>
        <w:t> </w:t>
      </w:r>
      <w:r>
        <w:rPr/>
        <w:t>within the</w:t>
      </w:r>
      <w:r>
        <w:rPr>
          <w:spacing w:val="-2"/>
        </w:rPr>
        <w:t> </w:t>
      </w:r>
      <w:r>
        <w:rPr/>
        <w:t>zone.</w:t>
      </w:r>
    </w:p>
    <w:p>
      <w:pPr>
        <w:pStyle w:val="BodyText"/>
        <w:spacing w:before="121"/>
        <w:ind w:left="119"/>
      </w:pPr>
      <w:r>
        <w:rPr>
          <w:b/>
        </w:rPr>
        <w:t>Web:</w:t>
      </w:r>
      <w:r>
        <w:rPr>
          <w:b/>
          <w:spacing w:val="-4"/>
        </w:rPr>
        <w:t> </w:t>
      </w:r>
      <w:r>
        <w:rPr/>
        <w:t>An</w:t>
      </w:r>
      <w:r>
        <w:rPr>
          <w:spacing w:val="-3"/>
        </w:rPr>
        <w:t> </w:t>
      </w:r>
      <w:r>
        <w:rPr/>
        <w:t>environment</w:t>
      </w:r>
      <w:r>
        <w:rPr>
          <w:spacing w:val="-3"/>
        </w:rPr>
        <w:t> </w:t>
      </w:r>
      <w:r>
        <w:rPr/>
        <w:t>used</w:t>
      </w:r>
      <w:r>
        <w:rPr>
          <w:spacing w:val="-2"/>
        </w:rPr>
        <w:t> </w:t>
      </w:r>
      <w:r>
        <w:rPr/>
        <w:t>for</w:t>
      </w:r>
      <w:r>
        <w:rPr>
          <w:spacing w:val="-3"/>
        </w:rPr>
        <w:t> </w:t>
      </w:r>
      <w:r>
        <w:rPr/>
        <w:t>web</w:t>
      </w:r>
      <w:r>
        <w:rPr>
          <w:spacing w:val="-3"/>
        </w:rPr>
        <w:t> </w:t>
      </w:r>
      <w:r>
        <w:rPr/>
        <w:t>browsing</w:t>
      </w:r>
      <w:r>
        <w:rPr>
          <w:spacing w:val="-3"/>
        </w:rPr>
        <w:t> </w:t>
      </w:r>
      <w:r>
        <w:rPr/>
        <w:t>purposes.</w:t>
      </w:r>
      <w:r>
        <w:rPr>
          <w:spacing w:val="-2"/>
        </w:rPr>
        <w:t> </w:t>
      </w:r>
      <w:r>
        <w:rPr/>
        <w:t>Also</w:t>
      </w:r>
      <w:r>
        <w:rPr>
          <w:spacing w:val="-3"/>
        </w:rPr>
        <w:t> </w:t>
      </w:r>
      <w:r>
        <w:rPr/>
        <w:t>see</w:t>
      </w:r>
      <w:r>
        <w:rPr>
          <w:spacing w:val="-4"/>
        </w:rPr>
        <w:t> </w:t>
      </w:r>
      <w:r>
        <w:rPr/>
        <w:t>Internet.</w:t>
      </w:r>
    </w:p>
    <w:p>
      <w:pPr>
        <w:pStyle w:val="BodyText"/>
        <w:spacing w:before="9"/>
        <w:rPr>
          <w:sz w:val="20"/>
        </w:rPr>
      </w:pPr>
    </w:p>
    <w:p>
      <w:pPr>
        <w:pStyle w:val="Heading1"/>
        <w:numPr>
          <w:ilvl w:val="0"/>
          <w:numId w:val="4"/>
        </w:numPr>
        <w:tabs>
          <w:tab w:pos="552" w:val="left" w:leader="none"/>
        </w:tabs>
        <w:spacing w:line="240" w:lineRule="auto" w:before="1" w:after="0"/>
        <w:ind w:left="551" w:right="0" w:hanging="432"/>
        <w:jc w:val="left"/>
      </w:pPr>
      <w:bookmarkStart w:name="2. Purpose of the Security Capabilities " w:id="11"/>
      <w:bookmarkEnd w:id="11"/>
      <w:r>
        <w:rPr/>
      </w:r>
      <w:bookmarkStart w:name="_bookmark6" w:id="12"/>
      <w:bookmarkEnd w:id="12"/>
      <w:r>
        <w:rPr/>
      </w:r>
      <w:bookmarkStart w:name="_bookmark6" w:id="13"/>
      <w:bookmarkEnd w:id="13"/>
      <w:r>
        <w:rPr/>
        <w:t>P</w:t>
      </w:r>
      <w:r>
        <w:rPr/>
        <w:t>urpose</w:t>
      </w:r>
      <w:r>
        <w:rPr>
          <w:spacing w:val="-5"/>
        </w:rPr>
        <w:t> </w:t>
      </w:r>
      <w:r>
        <w:rPr/>
        <w:t>of</w:t>
      </w:r>
      <w:r>
        <w:rPr>
          <w:spacing w:val="-4"/>
        </w:rPr>
        <w:t> </w:t>
      </w:r>
      <w:r>
        <w:rPr/>
        <w:t>the</w:t>
      </w:r>
      <w:r>
        <w:rPr>
          <w:spacing w:val="-4"/>
        </w:rPr>
        <w:t> </w:t>
      </w:r>
      <w:r>
        <w:rPr/>
        <w:t>Security</w:t>
      </w:r>
      <w:r>
        <w:rPr>
          <w:spacing w:val="-3"/>
        </w:rPr>
        <w:t> </w:t>
      </w:r>
      <w:r>
        <w:rPr/>
        <w:t>Capabilities</w:t>
      </w:r>
      <w:r>
        <w:rPr>
          <w:spacing w:val="-5"/>
        </w:rPr>
        <w:t> </w:t>
      </w:r>
      <w:r>
        <w:rPr/>
        <w:t>Catalog</w:t>
      </w:r>
    </w:p>
    <w:p>
      <w:pPr>
        <w:pStyle w:val="BodyText"/>
        <w:spacing w:before="240"/>
        <w:ind w:left="119" w:right="361"/>
      </w:pPr>
      <w:r>
        <w:rPr/>
        <w:t>The </w:t>
      </w:r>
      <w:r>
        <w:rPr>
          <w:i/>
        </w:rPr>
        <w:t>TIC 3.0 Security Capabilities Catalog </w:t>
      </w:r>
      <w:r>
        <w:rPr/>
        <w:t>(Security Capabilities Catalog) provides a list of deployable</w:t>
      </w:r>
      <w:r>
        <w:rPr>
          <w:spacing w:val="1"/>
        </w:rPr>
        <w:t> </w:t>
      </w:r>
      <w:r>
        <w:rPr/>
        <w:t>security controls, security capabilities, and best practices. The catalog is intended to guide secure</w:t>
      </w:r>
      <w:r>
        <w:rPr>
          <w:spacing w:val="1"/>
        </w:rPr>
        <w:t> </w:t>
      </w:r>
      <w:r>
        <w:rPr/>
        <w:t>implementation and help agencies satisfy program requirements within discrete networking environments.</w:t>
      </w:r>
      <w:r>
        <w:rPr>
          <w:spacing w:val="-52"/>
        </w:rPr>
        <w:t> </w:t>
      </w:r>
      <w:r>
        <w:rPr/>
        <w:t>The security capabilities included in this document can be aligned with TIC overlays to enable</w:t>
      </w:r>
      <w:r>
        <w:rPr>
          <w:spacing w:val="1"/>
        </w:rPr>
        <w:t> </w:t>
      </w:r>
      <w:r>
        <w:rPr/>
        <w:t>deployment</w:t>
      </w:r>
      <w:r>
        <w:rPr>
          <w:spacing w:val="-1"/>
        </w:rPr>
        <w:t> </w:t>
      </w:r>
      <w:r>
        <w:rPr/>
        <w:t>of existing and</w:t>
      </w:r>
      <w:r>
        <w:rPr>
          <w:spacing w:val="-1"/>
        </w:rPr>
        <w:t> </w:t>
      </w:r>
      <w:r>
        <w:rPr/>
        <w:t>future</w:t>
      </w:r>
      <w:r>
        <w:rPr>
          <w:spacing w:val="-1"/>
        </w:rPr>
        <w:t> </w:t>
      </w:r>
      <w:r>
        <w:rPr/>
        <w:t>TIC</w:t>
      </w:r>
      <w:r>
        <w:rPr>
          <w:spacing w:val="-1"/>
        </w:rPr>
        <w:t> </w:t>
      </w:r>
      <w:r>
        <w:rPr/>
        <w:t>use</w:t>
      </w:r>
      <w:r>
        <w:rPr>
          <w:spacing w:val="-1"/>
        </w:rPr>
        <w:t> </w:t>
      </w:r>
      <w:r>
        <w:rPr/>
        <w:t>cases.</w:t>
      </w:r>
    </w:p>
    <w:p>
      <w:pPr>
        <w:pStyle w:val="BodyText"/>
        <w:spacing w:before="120"/>
        <w:ind w:left="119" w:right="455"/>
      </w:pPr>
      <w:r>
        <w:rPr/>
        <w:t>The Security Capabilities Catalog helps agencies to apply risk management principles and best practices</w:t>
      </w:r>
      <w:r>
        <w:rPr>
          <w:spacing w:val="-52"/>
        </w:rPr>
        <w:t> </w:t>
      </w:r>
      <w:r>
        <w:rPr/>
        <w:t>to protect federal information in various computing scenarios. The trust considerations presented in the</w:t>
      </w:r>
      <w:r>
        <w:rPr>
          <w:spacing w:val="1"/>
        </w:rPr>
        <w:t> </w:t>
      </w:r>
      <w:r>
        <w:rPr>
          <w:i/>
        </w:rPr>
        <w:t>TIC</w:t>
      </w:r>
      <w:r>
        <w:rPr>
          <w:i/>
          <w:spacing w:val="-3"/>
        </w:rPr>
        <w:t> </w:t>
      </w:r>
      <w:r>
        <w:rPr>
          <w:i/>
        </w:rPr>
        <w:t>3.0</w:t>
      </w:r>
      <w:r>
        <w:rPr>
          <w:i/>
          <w:spacing w:val="-3"/>
        </w:rPr>
        <w:t> </w:t>
      </w:r>
      <w:r>
        <w:rPr>
          <w:i/>
        </w:rPr>
        <w:t>Reference</w:t>
      </w:r>
      <w:r>
        <w:rPr>
          <w:i/>
          <w:spacing w:val="-3"/>
        </w:rPr>
        <w:t> </w:t>
      </w:r>
      <w:r>
        <w:rPr>
          <w:i/>
        </w:rPr>
        <w:t>Architecture</w:t>
      </w:r>
      <w:r>
        <w:rPr>
          <w:i/>
          <w:spacing w:val="-4"/>
        </w:rPr>
        <w:t> </w:t>
      </w:r>
      <w:r>
        <w:rPr/>
        <w:t>can</w:t>
      </w:r>
      <w:r>
        <w:rPr>
          <w:spacing w:val="-3"/>
        </w:rPr>
        <w:t> </w:t>
      </w:r>
      <w:r>
        <w:rPr/>
        <w:t>be</w:t>
      </w:r>
      <w:r>
        <w:rPr>
          <w:spacing w:val="-3"/>
        </w:rPr>
        <w:t> </w:t>
      </w:r>
      <w:r>
        <w:rPr/>
        <w:t>further</w:t>
      </w:r>
      <w:r>
        <w:rPr>
          <w:spacing w:val="-3"/>
        </w:rPr>
        <w:t> </w:t>
      </w:r>
      <w:r>
        <w:rPr/>
        <w:t>applied</w:t>
      </w:r>
      <w:r>
        <w:rPr>
          <w:spacing w:val="-4"/>
        </w:rPr>
        <w:t> </w:t>
      </w:r>
      <w:r>
        <w:rPr/>
        <w:t>to</w:t>
      </w:r>
      <w:r>
        <w:rPr>
          <w:spacing w:val="-2"/>
        </w:rPr>
        <w:t> </w:t>
      </w:r>
      <w:r>
        <w:rPr/>
        <w:t>an</w:t>
      </w:r>
      <w:r>
        <w:rPr>
          <w:spacing w:val="-3"/>
        </w:rPr>
        <w:t> </w:t>
      </w:r>
      <w:r>
        <w:rPr/>
        <w:t>agency’s</w:t>
      </w:r>
      <w:r>
        <w:rPr>
          <w:spacing w:val="-4"/>
        </w:rPr>
        <w:t> </w:t>
      </w:r>
      <w:r>
        <w:rPr/>
        <w:t>implementation</w:t>
      </w:r>
      <w:r>
        <w:rPr>
          <w:spacing w:val="-2"/>
        </w:rPr>
        <w:t> </w:t>
      </w:r>
      <w:r>
        <w:rPr/>
        <w:t>of</w:t>
      </w:r>
      <w:r>
        <w:rPr>
          <w:spacing w:val="-3"/>
        </w:rPr>
        <w:t> </w:t>
      </w:r>
      <w:r>
        <w:rPr/>
        <w:t>a</w:t>
      </w:r>
      <w:r>
        <w:rPr>
          <w:spacing w:val="-5"/>
        </w:rPr>
        <w:t> </w:t>
      </w:r>
      <w:r>
        <w:rPr/>
        <w:t>given</w:t>
      </w:r>
      <w:r>
        <w:rPr>
          <w:spacing w:val="-2"/>
        </w:rPr>
        <w:t> </w:t>
      </w:r>
      <w:r>
        <w:rPr/>
        <w:t>use</w:t>
      </w:r>
      <w:r>
        <w:rPr>
          <w:spacing w:val="-4"/>
        </w:rPr>
        <w:t> </w:t>
      </w:r>
      <w:r>
        <w:rPr/>
        <w:t>case</w:t>
      </w:r>
      <w:r>
        <w:rPr>
          <w:spacing w:val="-52"/>
        </w:rPr>
        <w:t> </w:t>
      </w:r>
      <w:r>
        <w:rPr/>
        <w:t>to determine the level of rigor required for each security capability. In some cases, the security</w:t>
      </w:r>
      <w:r>
        <w:rPr>
          <w:spacing w:val="1"/>
        </w:rPr>
        <w:t> </w:t>
      </w:r>
      <w:r>
        <w:rPr/>
        <w:t>capabilities may not adequately address residual risks necessary to protect information and systems;</w:t>
      </w:r>
      <w:r>
        <w:rPr>
          <w:spacing w:val="1"/>
        </w:rPr>
        <w:t> </w:t>
      </w:r>
      <w:r>
        <w:rPr/>
        <w:t>agencies are obligated to identify and apply compensating controls or alternatives that provide</w:t>
      </w:r>
      <w:r>
        <w:rPr>
          <w:spacing w:val="1"/>
        </w:rPr>
        <w:t> </w:t>
      </w:r>
      <w:r>
        <w:rPr/>
        <w:t>commensurate protections. Additional collaboration with vendors is necessary to ensure security</w:t>
      </w:r>
      <w:r>
        <w:rPr>
          <w:spacing w:val="1"/>
        </w:rPr>
        <w:t> </w:t>
      </w:r>
      <w:r>
        <w:rPr/>
        <w:t>requirements are</w:t>
      </w:r>
      <w:r>
        <w:rPr>
          <w:spacing w:val="-1"/>
        </w:rPr>
        <w:t> </w:t>
      </w:r>
      <w:r>
        <w:rPr/>
        <w:t>adequately</w:t>
      </w:r>
      <w:r>
        <w:rPr>
          <w:spacing w:val="-1"/>
        </w:rPr>
        <w:t> </w:t>
      </w:r>
      <w:r>
        <w:rPr/>
        <w:t>fulfilled, configured,</w:t>
      </w:r>
      <w:r>
        <w:rPr>
          <w:spacing w:val="-1"/>
        </w:rPr>
        <w:t> </w:t>
      </w:r>
      <w:r>
        <w:rPr/>
        <w:t>and</w:t>
      </w:r>
      <w:r>
        <w:rPr>
          <w:spacing w:val="-1"/>
        </w:rPr>
        <w:t> </w:t>
      </w:r>
      <w:r>
        <w:rPr/>
        <w:t>maintained.</w:t>
      </w:r>
    </w:p>
    <w:p>
      <w:pPr>
        <w:pStyle w:val="BodyText"/>
        <w:spacing w:before="120"/>
        <w:ind w:left="118" w:right="459"/>
      </w:pPr>
      <w:r>
        <w:rPr/>
        <w:t>The security capabilities presented in this document are derived from modern and emerging technologies</w:t>
      </w:r>
      <w:r>
        <w:rPr>
          <w:spacing w:val="-52"/>
        </w:rPr>
        <w:t> </w:t>
      </w:r>
      <w:r>
        <w:rPr/>
        <w:t>in addition to requirements articulated in previous TIC documentation. The following selection criteria</w:t>
      </w:r>
      <w:r>
        <w:rPr>
          <w:spacing w:val="1"/>
        </w:rPr>
        <w:t> </w:t>
      </w:r>
      <w:r>
        <w:rPr/>
        <w:t>guides</w:t>
      </w:r>
      <w:r>
        <w:rPr>
          <w:spacing w:val="-2"/>
        </w:rPr>
        <w:t> </w:t>
      </w:r>
      <w:r>
        <w:rPr/>
        <w:t>decision-making</w:t>
      </w:r>
      <w:r>
        <w:rPr>
          <w:spacing w:val="-1"/>
        </w:rPr>
        <w:t> </w:t>
      </w:r>
      <w:r>
        <w:rPr/>
        <w:t>for including</w:t>
      </w:r>
      <w:r>
        <w:rPr>
          <w:spacing w:val="-1"/>
        </w:rPr>
        <w:t> </w:t>
      </w:r>
      <w:r>
        <w:rPr/>
        <w:t>security</w:t>
      </w:r>
      <w:r>
        <w:rPr>
          <w:spacing w:val="-1"/>
        </w:rPr>
        <w:t> </w:t>
      </w:r>
      <w:r>
        <w:rPr/>
        <w:t>capabilities</w:t>
      </w:r>
      <w:r>
        <w:rPr>
          <w:spacing w:val="-1"/>
        </w:rPr>
        <w:t> </w:t>
      </w:r>
      <w:r>
        <w:rPr/>
        <w:t>found</w:t>
      </w:r>
      <w:r>
        <w:rPr>
          <w:spacing w:val="-1"/>
        </w:rPr>
        <w:t> </w:t>
      </w:r>
      <w:r>
        <w:rPr/>
        <w:t>in</w:t>
      </w:r>
      <w:r>
        <w:rPr>
          <w:spacing w:val="-1"/>
        </w:rPr>
        <w:t> </w:t>
      </w:r>
      <w:r>
        <w:rPr/>
        <w:t>Section</w:t>
      </w:r>
      <w:r>
        <w:rPr>
          <w:spacing w:val="-1"/>
        </w:rPr>
        <w:t> </w:t>
      </w:r>
      <w:r>
        <w:rPr/>
        <w:t>4.</w:t>
      </w:r>
    </w:p>
    <w:p>
      <w:pPr>
        <w:pStyle w:val="ListParagraph"/>
        <w:numPr>
          <w:ilvl w:val="1"/>
          <w:numId w:val="4"/>
        </w:numPr>
        <w:tabs>
          <w:tab w:pos="838" w:val="left" w:leader="none"/>
          <w:tab w:pos="839" w:val="left" w:leader="none"/>
        </w:tabs>
        <w:spacing w:line="273" w:lineRule="auto" w:before="119" w:after="0"/>
        <w:ind w:left="838" w:right="653" w:hanging="360"/>
        <w:jc w:val="left"/>
        <w:rPr>
          <w:sz w:val="22"/>
        </w:rPr>
      </w:pPr>
      <w:r>
        <w:rPr>
          <w:b/>
          <w:sz w:val="22"/>
        </w:rPr>
        <w:t>Technology Maturity: </w:t>
      </w:r>
      <w:r>
        <w:rPr>
          <w:sz w:val="22"/>
        </w:rPr>
        <w:t>Is the underlying technology mature enough to support the adoption of</w:t>
      </w:r>
      <w:r>
        <w:rPr>
          <w:spacing w:val="-53"/>
          <w:sz w:val="22"/>
        </w:rPr>
        <w:t> </w:t>
      </w:r>
      <w:r>
        <w:rPr>
          <w:sz w:val="22"/>
        </w:rPr>
        <w:t>the</w:t>
      </w:r>
      <w:r>
        <w:rPr>
          <w:spacing w:val="-2"/>
          <w:sz w:val="22"/>
        </w:rPr>
        <w:t> </w:t>
      </w:r>
      <w:r>
        <w:rPr>
          <w:sz w:val="22"/>
        </w:rPr>
        <w:t>capability?</w:t>
      </w:r>
    </w:p>
    <w:p>
      <w:pPr>
        <w:pStyle w:val="ListParagraph"/>
        <w:numPr>
          <w:ilvl w:val="1"/>
          <w:numId w:val="4"/>
        </w:numPr>
        <w:tabs>
          <w:tab w:pos="838" w:val="left" w:leader="none"/>
          <w:tab w:pos="839" w:val="left" w:leader="none"/>
        </w:tabs>
        <w:spacing w:line="273" w:lineRule="auto" w:before="2" w:after="0"/>
        <w:ind w:left="838" w:right="745" w:hanging="360"/>
        <w:jc w:val="left"/>
        <w:rPr>
          <w:sz w:val="22"/>
        </w:rPr>
      </w:pPr>
      <w:r>
        <w:rPr>
          <w:b/>
          <w:sz w:val="22"/>
        </w:rPr>
        <w:t>Sensor Positioning: </w:t>
      </w:r>
      <w:r>
        <w:rPr>
          <w:sz w:val="22"/>
        </w:rPr>
        <w:t>Can the capability be positioned to effectively measure performance and</w:t>
      </w:r>
      <w:r>
        <w:rPr>
          <w:spacing w:val="-52"/>
          <w:sz w:val="22"/>
        </w:rPr>
        <w:t> </w:t>
      </w:r>
      <w:r>
        <w:rPr>
          <w:sz w:val="22"/>
        </w:rPr>
        <w:t>security</w:t>
      </w:r>
      <w:r>
        <w:rPr>
          <w:spacing w:val="-1"/>
          <w:sz w:val="22"/>
        </w:rPr>
        <w:t> </w:t>
      </w:r>
      <w:r>
        <w:rPr>
          <w:sz w:val="22"/>
        </w:rPr>
        <w:t>within a</w:t>
      </w:r>
      <w:r>
        <w:rPr>
          <w:spacing w:val="-1"/>
          <w:sz w:val="22"/>
        </w:rPr>
        <w:t> </w:t>
      </w:r>
      <w:r>
        <w:rPr>
          <w:sz w:val="22"/>
        </w:rPr>
        <w:t>network or environment?</w:t>
      </w:r>
    </w:p>
    <w:p>
      <w:pPr>
        <w:pStyle w:val="ListParagraph"/>
        <w:numPr>
          <w:ilvl w:val="1"/>
          <w:numId w:val="4"/>
        </w:numPr>
        <w:tabs>
          <w:tab w:pos="838" w:val="left" w:leader="none"/>
          <w:tab w:pos="839" w:val="left" w:leader="none"/>
        </w:tabs>
        <w:spacing w:line="273" w:lineRule="auto" w:before="2" w:after="0"/>
        <w:ind w:left="838" w:right="420" w:hanging="360"/>
        <w:jc w:val="left"/>
        <w:rPr>
          <w:sz w:val="22"/>
        </w:rPr>
      </w:pPr>
      <w:r>
        <w:rPr>
          <w:b/>
          <w:sz w:val="22"/>
        </w:rPr>
        <w:t>Policy Enforcement Point Deployment: </w:t>
      </w:r>
      <w:r>
        <w:rPr>
          <w:sz w:val="22"/>
        </w:rPr>
        <w:t>Can the capability be deployed at a policy enforcement</w:t>
      </w:r>
      <w:r>
        <w:rPr>
          <w:spacing w:val="-52"/>
          <w:sz w:val="22"/>
        </w:rPr>
        <w:t> </w:t>
      </w:r>
      <w:r>
        <w:rPr>
          <w:sz w:val="22"/>
        </w:rPr>
        <w:t>point</w:t>
      </w:r>
      <w:r>
        <w:rPr>
          <w:spacing w:val="-1"/>
          <w:sz w:val="22"/>
        </w:rPr>
        <w:t> </w:t>
      </w:r>
      <w:r>
        <w:rPr>
          <w:sz w:val="22"/>
        </w:rPr>
        <w:t>(PEP)</w:t>
      </w:r>
      <w:r>
        <w:rPr>
          <w:spacing w:val="-1"/>
          <w:sz w:val="22"/>
        </w:rPr>
        <w:t> </w:t>
      </w:r>
      <w:r>
        <w:rPr>
          <w:sz w:val="22"/>
        </w:rPr>
        <w:t>within a</w:t>
      </w:r>
      <w:r>
        <w:rPr>
          <w:spacing w:val="-2"/>
          <w:sz w:val="22"/>
        </w:rPr>
        <w:t> </w:t>
      </w:r>
      <w:r>
        <w:rPr>
          <w:sz w:val="22"/>
        </w:rPr>
        <w:t>given TIC implementation scenario?</w:t>
      </w:r>
    </w:p>
    <w:p>
      <w:pPr>
        <w:spacing w:after="0" w:line="273" w:lineRule="auto"/>
        <w:jc w:val="left"/>
        <w:rPr>
          <w:sz w:val="22"/>
        </w:rPr>
        <w:sectPr>
          <w:pgSz w:w="12240" w:h="15840"/>
          <w:pgMar w:header="730" w:footer="764" w:top="960" w:bottom="960" w:left="1320" w:right="1080"/>
        </w:sectPr>
      </w:pPr>
    </w:p>
    <w:p>
      <w:pPr>
        <w:pStyle w:val="BodyText"/>
        <w:rPr>
          <w:sz w:val="20"/>
        </w:rPr>
      </w:pPr>
    </w:p>
    <w:p>
      <w:pPr>
        <w:pStyle w:val="BodyText"/>
        <w:spacing w:before="7"/>
        <w:rPr>
          <w:sz w:val="20"/>
        </w:rPr>
      </w:pPr>
    </w:p>
    <w:p>
      <w:pPr>
        <w:pStyle w:val="ListParagraph"/>
        <w:numPr>
          <w:ilvl w:val="1"/>
          <w:numId w:val="4"/>
        </w:numPr>
        <w:tabs>
          <w:tab w:pos="839" w:val="left" w:leader="none"/>
          <w:tab w:pos="841" w:val="left" w:leader="none"/>
        </w:tabs>
        <w:spacing w:line="273" w:lineRule="auto" w:before="0" w:after="0"/>
        <w:ind w:left="840" w:right="408" w:hanging="360"/>
        <w:jc w:val="left"/>
        <w:rPr>
          <w:sz w:val="22"/>
        </w:rPr>
      </w:pPr>
      <w:r>
        <w:rPr>
          <w:b/>
          <w:sz w:val="22"/>
        </w:rPr>
        <w:t>Scoped to TIC Initiative: </w:t>
      </w:r>
      <w:r>
        <w:rPr>
          <w:sz w:val="22"/>
        </w:rPr>
        <w:t>Does the capability’s purpose fall within the scope of TIC (i.e.,</w:t>
      </w:r>
      <w:r>
        <w:rPr>
          <w:spacing w:val="1"/>
          <w:sz w:val="22"/>
        </w:rPr>
        <w:t> </w:t>
      </w:r>
      <w:r>
        <w:rPr>
          <w:sz w:val="22"/>
        </w:rPr>
        <w:t>baseline</w:t>
      </w:r>
      <w:r>
        <w:rPr>
          <w:spacing w:val="-5"/>
          <w:sz w:val="22"/>
        </w:rPr>
        <w:t> </w:t>
      </w:r>
      <w:r>
        <w:rPr>
          <w:sz w:val="22"/>
        </w:rPr>
        <w:t>network</w:t>
      </w:r>
      <w:r>
        <w:rPr>
          <w:spacing w:val="-4"/>
          <w:sz w:val="22"/>
        </w:rPr>
        <w:t> </w:t>
      </w:r>
      <w:r>
        <w:rPr>
          <w:sz w:val="22"/>
        </w:rPr>
        <w:t>security,</w:t>
      </w:r>
      <w:r>
        <w:rPr>
          <w:spacing w:val="-5"/>
          <w:sz w:val="22"/>
        </w:rPr>
        <w:t> </w:t>
      </w:r>
      <w:r>
        <w:rPr>
          <w:sz w:val="22"/>
        </w:rPr>
        <w:t>consolidation</w:t>
      </w:r>
      <w:r>
        <w:rPr>
          <w:spacing w:val="-4"/>
          <w:sz w:val="22"/>
        </w:rPr>
        <w:t> </w:t>
      </w:r>
      <w:r>
        <w:rPr>
          <w:sz w:val="22"/>
        </w:rPr>
        <w:t>of</w:t>
      </w:r>
      <w:r>
        <w:rPr>
          <w:spacing w:val="-4"/>
          <w:sz w:val="22"/>
        </w:rPr>
        <w:t> </w:t>
      </w:r>
      <w:r>
        <w:rPr>
          <w:sz w:val="22"/>
        </w:rPr>
        <w:t>trusted</w:t>
      </w:r>
      <w:r>
        <w:rPr>
          <w:spacing w:val="-4"/>
          <w:sz w:val="22"/>
        </w:rPr>
        <w:t> </w:t>
      </w:r>
      <w:r>
        <w:rPr>
          <w:sz w:val="22"/>
        </w:rPr>
        <w:t>connections,</w:t>
      </w:r>
      <w:r>
        <w:rPr>
          <w:spacing w:val="-4"/>
          <w:sz w:val="22"/>
        </w:rPr>
        <w:t> </w:t>
      </w:r>
      <w:r>
        <w:rPr>
          <w:sz w:val="22"/>
        </w:rPr>
        <w:t>address</w:t>
      </w:r>
      <w:r>
        <w:rPr>
          <w:spacing w:val="-4"/>
          <w:sz w:val="22"/>
        </w:rPr>
        <w:t> </w:t>
      </w:r>
      <w:r>
        <w:rPr>
          <w:sz w:val="22"/>
        </w:rPr>
        <w:t>TIC</w:t>
      </w:r>
      <w:r>
        <w:rPr>
          <w:spacing w:val="-4"/>
          <w:sz w:val="22"/>
        </w:rPr>
        <w:t> </w:t>
      </w:r>
      <w:r>
        <w:rPr>
          <w:sz w:val="22"/>
        </w:rPr>
        <w:t>security</w:t>
      </w:r>
      <w:r>
        <w:rPr>
          <w:spacing w:val="-4"/>
          <w:sz w:val="22"/>
        </w:rPr>
        <w:t> </w:t>
      </w:r>
      <w:r>
        <w:rPr>
          <w:sz w:val="22"/>
        </w:rPr>
        <w:t>objectives)?</w:t>
      </w:r>
    </w:p>
    <w:p>
      <w:pPr>
        <w:pStyle w:val="ListParagraph"/>
        <w:numPr>
          <w:ilvl w:val="1"/>
          <w:numId w:val="4"/>
        </w:numPr>
        <w:tabs>
          <w:tab w:pos="839" w:val="left" w:leader="none"/>
          <w:tab w:pos="841" w:val="left" w:leader="none"/>
        </w:tabs>
        <w:spacing w:line="273" w:lineRule="auto" w:before="2" w:after="0"/>
        <w:ind w:left="840" w:right="475" w:hanging="361"/>
        <w:jc w:val="left"/>
        <w:rPr>
          <w:sz w:val="22"/>
        </w:rPr>
      </w:pPr>
      <w:r>
        <w:rPr>
          <w:b/>
          <w:sz w:val="22"/>
        </w:rPr>
        <w:t>Use</w:t>
      </w:r>
      <w:r>
        <w:rPr>
          <w:b/>
          <w:spacing w:val="-4"/>
          <w:sz w:val="22"/>
        </w:rPr>
        <w:t> </w:t>
      </w:r>
      <w:r>
        <w:rPr>
          <w:b/>
          <w:sz w:val="22"/>
        </w:rPr>
        <w:t>Case</w:t>
      </w:r>
      <w:r>
        <w:rPr>
          <w:b/>
          <w:spacing w:val="-2"/>
          <w:sz w:val="22"/>
        </w:rPr>
        <w:t> </w:t>
      </w:r>
      <w:r>
        <w:rPr>
          <w:b/>
          <w:sz w:val="22"/>
        </w:rPr>
        <w:t>Applicability:</w:t>
      </w:r>
      <w:r>
        <w:rPr>
          <w:b/>
          <w:spacing w:val="-4"/>
          <w:sz w:val="22"/>
        </w:rPr>
        <w:t> </w:t>
      </w:r>
      <w:r>
        <w:rPr>
          <w:sz w:val="22"/>
        </w:rPr>
        <w:t>Does</w:t>
      </w:r>
      <w:r>
        <w:rPr>
          <w:spacing w:val="-3"/>
          <w:sz w:val="22"/>
        </w:rPr>
        <w:t> </w:t>
      </w:r>
      <w:r>
        <w:rPr>
          <w:sz w:val="22"/>
        </w:rPr>
        <w:t>the</w:t>
      </w:r>
      <w:r>
        <w:rPr>
          <w:spacing w:val="-4"/>
          <w:sz w:val="22"/>
        </w:rPr>
        <w:t> </w:t>
      </w:r>
      <w:r>
        <w:rPr>
          <w:sz w:val="22"/>
        </w:rPr>
        <w:t>capability</w:t>
      </w:r>
      <w:r>
        <w:rPr>
          <w:spacing w:val="-2"/>
          <w:sz w:val="22"/>
        </w:rPr>
        <w:t> </w:t>
      </w:r>
      <w:r>
        <w:rPr>
          <w:sz w:val="22"/>
        </w:rPr>
        <w:t>apply</w:t>
      </w:r>
      <w:r>
        <w:rPr>
          <w:spacing w:val="-4"/>
          <w:sz w:val="22"/>
        </w:rPr>
        <w:t> </w:t>
      </w:r>
      <w:r>
        <w:rPr>
          <w:sz w:val="22"/>
        </w:rPr>
        <w:t>to</w:t>
      </w:r>
      <w:r>
        <w:rPr>
          <w:spacing w:val="-2"/>
          <w:sz w:val="22"/>
        </w:rPr>
        <w:t> </w:t>
      </w:r>
      <w:r>
        <w:rPr>
          <w:sz w:val="22"/>
        </w:rPr>
        <w:t>one</w:t>
      </w:r>
      <w:r>
        <w:rPr>
          <w:spacing w:val="-4"/>
          <w:sz w:val="22"/>
        </w:rPr>
        <w:t> </w:t>
      </w:r>
      <w:r>
        <w:rPr>
          <w:sz w:val="22"/>
        </w:rPr>
        <w:t>or</w:t>
      </w:r>
      <w:r>
        <w:rPr>
          <w:spacing w:val="-2"/>
          <w:sz w:val="22"/>
        </w:rPr>
        <w:t> </w:t>
      </w:r>
      <w:r>
        <w:rPr>
          <w:sz w:val="22"/>
        </w:rPr>
        <w:t>more</w:t>
      </w:r>
      <w:r>
        <w:rPr>
          <w:spacing w:val="-5"/>
          <w:sz w:val="22"/>
        </w:rPr>
        <w:t> </w:t>
      </w:r>
      <w:r>
        <w:rPr>
          <w:sz w:val="22"/>
        </w:rPr>
        <w:t>networking</w:t>
      </w:r>
      <w:r>
        <w:rPr>
          <w:spacing w:val="-2"/>
          <w:sz w:val="22"/>
        </w:rPr>
        <w:t> </w:t>
      </w:r>
      <w:r>
        <w:rPr>
          <w:sz w:val="22"/>
        </w:rPr>
        <w:t>scenarios,</w:t>
      </w:r>
      <w:r>
        <w:rPr>
          <w:spacing w:val="-3"/>
          <w:sz w:val="22"/>
        </w:rPr>
        <w:t> </w:t>
      </w:r>
      <w:r>
        <w:rPr>
          <w:sz w:val="22"/>
        </w:rPr>
        <w:t>such</w:t>
      </w:r>
      <w:r>
        <w:rPr>
          <w:spacing w:val="-2"/>
          <w:sz w:val="22"/>
        </w:rPr>
        <w:t> </w:t>
      </w:r>
      <w:r>
        <w:rPr>
          <w:sz w:val="22"/>
        </w:rPr>
        <w:t>as</w:t>
      </w:r>
      <w:r>
        <w:rPr>
          <w:spacing w:val="-52"/>
          <w:sz w:val="22"/>
        </w:rPr>
        <w:t> </w:t>
      </w:r>
      <w:r>
        <w:rPr>
          <w:sz w:val="22"/>
        </w:rPr>
        <w:t>those</w:t>
      </w:r>
      <w:r>
        <w:rPr>
          <w:spacing w:val="-2"/>
          <w:sz w:val="22"/>
        </w:rPr>
        <w:t> </w:t>
      </w:r>
      <w:r>
        <w:rPr>
          <w:sz w:val="22"/>
        </w:rPr>
        <w:t>outlined in TIC use</w:t>
      </w:r>
      <w:r>
        <w:rPr>
          <w:spacing w:val="-2"/>
          <w:sz w:val="22"/>
        </w:rPr>
        <w:t> </w:t>
      </w:r>
      <w:r>
        <w:rPr>
          <w:sz w:val="22"/>
        </w:rPr>
        <w:t>cases?</w:t>
      </w:r>
    </w:p>
    <w:p>
      <w:pPr>
        <w:pStyle w:val="ListParagraph"/>
        <w:numPr>
          <w:ilvl w:val="1"/>
          <w:numId w:val="4"/>
        </w:numPr>
        <w:tabs>
          <w:tab w:pos="839" w:val="left" w:leader="none"/>
          <w:tab w:pos="841" w:val="left" w:leader="none"/>
        </w:tabs>
        <w:spacing w:line="273" w:lineRule="auto" w:before="1" w:after="0"/>
        <w:ind w:left="839" w:right="847" w:hanging="360"/>
        <w:jc w:val="left"/>
        <w:rPr>
          <w:sz w:val="22"/>
        </w:rPr>
      </w:pPr>
      <w:r>
        <w:rPr>
          <w:b/>
          <w:sz w:val="22"/>
        </w:rPr>
        <w:t>Goal-Based: </w:t>
      </w:r>
      <w:r>
        <w:rPr>
          <w:sz w:val="22"/>
        </w:rPr>
        <w:t>Does the capability specify a goal to be achieved rather than specifying how to</w:t>
      </w:r>
      <w:r>
        <w:rPr>
          <w:spacing w:val="-52"/>
          <w:sz w:val="22"/>
        </w:rPr>
        <w:t> </w:t>
      </w:r>
      <w:r>
        <w:rPr>
          <w:sz w:val="22"/>
        </w:rPr>
        <w:t>achieve</w:t>
      </w:r>
      <w:r>
        <w:rPr>
          <w:spacing w:val="-2"/>
          <w:sz w:val="22"/>
        </w:rPr>
        <w:t> </w:t>
      </w:r>
      <w:r>
        <w:rPr>
          <w:sz w:val="22"/>
        </w:rPr>
        <w:t>a</w:t>
      </w:r>
      <w:r>
        <w:rPr>
          <w:spacing w:val="-1"/>
          <w:sz w:val="22"/>
        </w:rPr>
        <w:t> </w:t>
      </w:r>
      <w:r>
        <w:rPr>
          <w:sz w:val="22"/>
        </w:rPr>
        <w:t>goal?</w:t>
      </w:r>
    </w:p>
    <w:p>
      <w:pPr>
        <w:pStyle w:val="BodyText"/>
        <w:spacing w:before="162"/>
        <w:ind w:left="120" w:right="455"/>
      </w:pPr>
      <w:r>
        <w:rPr/>
        <w:t>The list of security capabilities in this catalog does not represent an exhaustive listing of security</w:t>
      </w:r>
      <w:r>
        <w:rPr>
          <w:spacing w:val="1"/>
        </w:rPr>
        <w:t> </w:t>
      </w:r>
      <w:r>
        <w:rPr/>
        <w:t>capabilities; many otherwise valuable security capabilities are excluded by the selection criteria above.</w:t>
      </w:r>
      <w:r>
        <w:rPr>
          <w:spacing w:val="1"/>
        </w:rPr>
        <w:t> </w:t>
      </w:r>
      <w:r>
        <w:rPr/>
        <w:t>For</w:t>
      </w:r>
      <w:r>
        <w:rPr>
          <w:spacing w:val="-3"/>
        </w:rPr>
        <w:t> </w:t>
      </w:r>
      <w:r>
        <w:rPr/>
        <w:t>example,</w:t>
      </w:r>
      <w:r>
        <w:rPr>
          <w:spacing w:val="-2"/>
        </w:rPr>
        <w:t> </w:t>
      </w:r>
      <w:r>
        <w:rPr/>
        <w:t>while</w:t>
      </w:r>
      <w:r>
        <w:rPr>
          <w:spacing w:val="-4"/>
        </w:rPr>
        <w:t> </w:t>
      </w:r>
      <w:r>
        <w:rPr/>
        <w:t>supply</w:t>
      </w:r>
      <w:r>
        <w:rPr>
          <w:spacing w:val="-3"/>
        </w:rPr>
        <w:t> </w:t>
      </w:r>
      <w:r>
        <w:rPr/>
        <w:t>chain</w:t>
      </w:r>
      <w:r>
        <w:rPr>
          <w:spacing w:val="-2"/>
        </w:rPr>
        <w:t> </w:t>
      </w:r>
      <w:r>
        <w:rPr/>
        <w:t>risk</w:t>
      </w:r>
      <w:r>
        <w:rPr>
          <w:spacing w:val="-3"/>
        </w:rPr>
        <w:t> </w:t>
      </w:r>
      <w:r>
        <w:rPr/>
        <w:t>is</w:t>
      </w:r>
      <w:r>
        <w:rPr>
          <w:spacing w:val="-3"/>
        </w:rPr>
        <w:t> </w:t>
      </w:r>
      <w:r>
        <w:rPr/>
        <w:t>an</w:t>
      </w:r>
      <w:r>
        <w:rPr>
          <w:spacing w:val="-2"/>
        </w:rPr>
        <w:t> </w:t>
      </w:r>
      <w:r>
        <w:rPr/>
        <w:t>important</w:t>
      </w:r>
      <w:r>
        <w:rPr>
          <w:spacing w:val="-3"/>
        </w:rPr>
        <w:t> </w:t>
      </w:r>
      <w:r>
        <w:rPr/>
        <w:t>security</w:t>
      </w:r>
      <w:r>
        <w:rPr>
          <w:spacing w:val="-2"/>
        </w:rPr>
        <w:t> </w:t>
      </w:r>
      <w:r>
        <w:rPr/>
        <w:t>consideration,</w:t>
      </w:r>
      <w:r>
        <w:rPr>
          <w:spacing w:val="-3"/>
        </w:rPr>
        <w:t> </w:t>
      </w:r>
      <w:r>
        <w:rPr/>
        <w:t>it</w:t>
      </w:r>
      <w:r>
        <w:rPr>
          <w:spacing w:val="-2"/>
        </w:rPr>
        <w:t> </w:t>
      </w:r>
      <w:r>
        <w:rPr/>
        <w:t>falls</w:t>
      </w:r>
      <w:r>
        <w:rPr>
          <w:spacing w:val="-3"/>
        </w:rPr>
        <w:t> </w:t>
      </w:r>
      <w:r>
        <w:rPr/>
        <w:t>outside</w:t>
      </w:r>
      <w:r>
        <w:rPr>
          <w:spacing w:val="-4"/>
        </w:rPr>
        <w:t> </w:t>
      </w:r>
      <w:r>
        <w:rPr/>
        <w:t>the</w:t>
      </w:r>
      <w:r>
        <w:rPr>
          <w:spacing w:val="-4"/>
        </w:rPr>
        <w:t> </w:t>
      </w:r>
      <w:r>
        <w:rPr/>
        <w:t>scope</w:t>
      </w:r>
      <w:r>
        <w:rPr>
          <w:spacing w:val="-3"/>
        </w:rPr>
        <w:t> </w:t>
      </w:r>
      <w:r>
        <w:rPr/>
        <w:t>of</w:t>
      </w:r>
      <w:r>
        <w:rPr>
          <w:spacing w:val="-52"/>
        </w:rPr>
        <w:t> </w:t>
      </w:r>
      <w:r>
        <w:rPr/>
        <w:t>the</w:t>
      </w:r>
      <w:r>
        <w:rPr>
          <w:spacing w:val="-2"/>
        </w:rPr>
        <w:t> </w:t>
      </w:r>
      <w:r>
        <w:rPr/>
        <w:t>TIC initiative.</w:t>
      </w:r>
    </w:p>
    <w:p>
      <w:pPr>
        <w:pStyle w:val="BodyText"/>
        <w:spacing w:before="121"/>
        <w:ind w:left="120" w:right="596"/>
      </w:pPr>
      <w:r>
        <w:rPr/>
        <w:t>The Security Capabilities Catalog is intended to keep pace with the evolution of policy and technology.</w:t>
      </w:r>
      <w:r>
        <w:rPr>
          <w:spacing w:val="-52"/>
        </w:rPr>
        <w:t> </w:t>
      </w:r>
      <w:r>
        <w:rPr/>
        <w:t>Consequently, this document will be updated periodically to assess existing TIC security capabilities</w:t>
      </w:r>
      <w:r>
        <w:rPr>
          <w:spacing w:val="1"/>
        </w:rPr>
        <w:t> </w:t>
      </w:r>
      <w:r>
        <w:rPr/>
        <w:t>against</w:t>
      </w:r>
      <w:r>
        <w:rPr>
          <w:spacing w:val="-1"/>
        </w:rPr>
        <w:t> </w:t>
      </w:r>
      <w:r>
        <w:rPr/>
        <w:t>changes</w:t>
      </w:r>
      <w:r>
        <w:rPr>
          <w:spacing w:val="-2"/>
        </w:rPr>
        <w:t> </w:t>
      </w:r>
      <w:r>
        <w:rPr/>
        <w:t>in</w:t>
      </w:r>
      <w:r>
        <w:rPr>
          <w:spacing w:val="-1"/>
        </w:rPr>
        <w:t> </w:t>
      </w:r>
      <w:r>
        <w:rPr/>
        <w:t>business</w:t>
      </w:r>
      <w:r>
        <w:rPr>
          <w:spacing w:val="-2"/>
        </w:rPr>
        <w:t> </w:t>
      </w:r>
      <w:r>
        <w:rPr/>
        <w:t>mission</w:t>
      </w:r>
      <w:r>
        <w:rPr>
          <w:spacing w:val="-1"/>
        </w:rPr>
        <w:t> </w:t>
      </w:r>
      <w:r>
        <w:rPr/>
        <w:t>needs, market</w:t>
      </w:r>
      <w:r>
        <w:rPr>
          <w:spacing w:val="-1"/>
        </w:rPr>
        <w:t> </w:t>
      </w:r>
      <w:r>
        <w:rPr/>
        <w:t>trends,</w:t>
      </w:r>
      <w:r>
        <w:rPr>
          <w:spacing w:val="-1"/>
        </w:rPr>
        <w:t> </w:t>
      </w:r>
      <w:r>
        <w:rPr/>
        <w:t>and</w:t>
      </w:r>
      <w:r>
        <w:rPr>
          <w:spacing w:val="-1"/>
        </w:rPr>
        <w:t> </w:t>
      </w:r>
      <w:r>
        <w:rPr/>
        <w:t>threat</w:t>
      </w:r>
      <w:r>
        <w:rPr>
          <w:spacing w:val="-1"/>
        </w:rPr>
        <w:t> </w:t>
      </w:r>
      <w:r>
        <w:rPr/>
        <w:t>landscape.</w:t>
      </w:r>
    </w:p>
    <w:p>
      <w:pPr>
        <w:pStyle w:val="BodyText"/>
        <w:spacing w:before="10"/>
        <w:rPr>
          <w:sz w:val="20"/>
        </w:rPr>
      </w:pPr>
    </w:p>
    <w:p>
      <w:pPr>
        <w:pStyle w:val="Heading1"/>
        <w:numPr>
          <w:ilvl w:val="0"/>
          <w:numId w:val="4"/>
        </w:numPr>
        <w:tabs>
          <w:tab w:pos="552" w:val="left" w:leader="none"/>
        </w:tabs>
        <w:spacing w:line="240" w:lineRule="auto" w:before="0" w:after="0"/>
        <w:ind w:left="551" w:right="0" w:hanging="432"/>
        <w:jc w:val="left"/>
      </w:pPr>
      <w:bookmarkStart w:name="3. Security Objectives of TIC 3.0" w:id="14"/>
      <w:bookmarkEnd w:id="14"/>
      <w:r>
        <w:rPr/>
      </w:r>
      <w:bookmarkStart w:name="_bookmark7" w:id="15"/>
      <w:bookmarkEnd w:id="15"/>
      <w:r>
        <w:rPr/>
      </w:r>
      <w:bookmarkStart w:name="_bookmark7" w:id="16"/>
      <w:bookmarkEnd w:id="16"/>
      <w:r>
        <w:rPr/>
        <w:t>S</w:t>
      </w:r>
      <w:r>
        <w:rPr/>
        <w:t>ecurity</w:t>
      </w:r>
      <w:r>
        <w:rPr>
          <w:spacing w:val="-4"/>
        </w:rPr>
        <w:t> </w:t>
      </w:r>
      <w:r>
        <w:rPr/>
        <w:t>Objectives</w:t>
      </w:r>
      <w:r>
        <w:rPr>
          <w:spacing w:val="-3"/>
        </w:rPr>
        <w:t> </w:t>
      </w:r>
      <w:r>
        <w:rPr/>
        <w:t>of</w:t>
      </w:r>
      <w:r>
        <w:rPr>
          <w:spacing w:val="-3"/>
        </w:rPr>
        <w:t> </w:t>
      </w:r>
      <w:r>
        <w:rPr/>
        <w:t>TIC</w:t>
      </w:r>
      <w:r>
        <w:rPr>
          <w:spacing w:val="-3"/>
        </w:rPr>
        <w:t> </w:t>
      </w:r>
      <w:r>
        <w:rPr/>
        <w:t>3.0</w:t>
      </w:r>
    </w:p>
    <w:p>
      <w:pPr>
        <w:pStyle w:val="BodyText"/>
        <w:spacing w:before="240"/>
        <w:ind w:left="119" w:right="365"/>
      </w:pPr>
      <w:r>
        <w:rPr/>
        <w:t>As the Federal Government continues to expand into cloud and mobile environments, an agency’s assets,</w:t>
      </w:r>
      <w:r>
        <w:rPr>
          <w:spacing w:val="1"/>
        </w:rPr>
        <w:t> </w:t>
      </w:r>
      <w:r>
        <w:rPr/>
        <w:t>data,</w:t>
      </w:r>
      <w:r>
        <w:rPr>
          <w:spacing w:val="-3"/>
        </w:rPr>
        <w:t> </w:t>
      </w:r>
      <w:r>
        <w:rPr/>
        <w:t>and</w:t>
      </w:r>
      <w:r>
        <w:rPr>
          <w:spacing w:val="-3"/>
        </w:rPr>
        <w:t> </w:t>
      </w:r>
      <w:r>
        <w:rPr/>
        <w:t>components</w:t>
      </w:r>
      <w:r>
        <w:rPr>
          <w:spacing w:val="-4"/>
        </w:rPr>
        <w:t> </w:t>
      </w:r>
      <w:r>
        <w:rPr/>
        <w:t>are</w:t>
      </w:r>
      <w:r>
        <w:rPr>
          <w:spacing w:val="-4"/>
        </w:rPr>
        <w:t> </w:t>
      </w:r>
      <w:r>
        <w:rPr/>
        <w:t>commonly</w:t>
      </w:r>
      <w:r>
        <w:rPr>
          <w:spacing w:val="-3"/>
        </w:rPr>
        <w:t> </w:t>
      </w:r>
      <w:r>
        <w:rPr/>
        <w:t>located</w:t>
      </w:r>
      <w:r>
        <w:rPr>
          <w:spacing w:val="-3"/>
        </w:rPr>
        <w:t> </w:t>
      </w:r>
      <w:r>
        <w:rPr/>
        <w:t>in</w:t>
      </w:r>
      <w:r>
        <w:rPr>
          <w:spacing w:val="-3"/>
        </w:rPr>
        <w:t> </w:t>
      </w:r>
      <w:r>
        <w:rPr/>
        <w:t>areas</w:t>
      </w:r>
      <w:r>
        <w:rPr>
          <w:spacing w:val="-2"/>
        </w:rPr>
        <w:t> </w:t>
      </w:r>
      <w:r>
        <w:rPr/>
        <w:t>beyond</w:t>
      </w:r>
      <w:r>
        <w:rPr>
          <w:spacing w:val="-4"/>
        </w:rPr>
        <w:t> </w:t>
      </w:r>
      <w:r>
        <w:rPr/>
        <w:t>their</w:t>
      </w:r>
      <w:r>
        <w:rPr>
          <w:spacing w:val="-4"/>
        </w:rPr>
        <w:t> </w:t>
      </w:r>
      <w:r>
        <w:rPr/>
        <w:t>network</w:t>
      </w:r>
      <w:r>
        <w:rPr>
          <w:spacing w:val="-3"/>
        </w:rPr>
        <w:t> </w:t>
      </w:r>
      <w:r>
        <w:rPr/>
        <w:t>boundary</w:t>
      </w:r>
      <w:r>
        <w:rPr>
          <w:spacing w:val="-2"/>
        </w:rPr>
        <w:t> </w:t>
      </w:r>
      <w:r>
        <w:rPr/>
        <w:t>–</w:t>
      </w:r>
      <w:r>
        <w:rPr>
          <w:spacing w:val="-3"/>
        </w:rPr>
        <w:t> </w:t>
      </w:r>
      <w:r>
        <w:rPr/>
        <w:t>on</w:t>
      </w:r>
      <w:r>
        <w:rPr>
          <w:spacing w:val="-3"/>
        </w:rPr>
        <w:t> </w:t>
      </w:r>
      <w:r>
        <w:rPr/>
        <w:t>remote</w:t>
      </w:r>
      <w:r>
        <w:rPr>
          <w:spacing w:val="-4"/>
        </w:rPr>
        <w:t> </w:t>
      </w:r>
      <w:r>
        <w:rPr/>
        <w:t>devices,</w:t>
      </w:r>
      <w:r>
        <w:rPr>
          <w:spacing w:val="-52"/>
        </w:rPr>
        <w:t> </w:t>
      </w:r>
      <w:r>
        <w:rPr/>
        <w:t>at cloud data centers, with external partners, etc. To protect these dispersed assets, the TIC program</w:t>
      </w:r>
      <w:r>
        <w:rPr>
          <w:spacing w:val="1"/>
        </w:rPr>
        <w:t> </w:t>
      </w:r>
      <w:r>
        <w:rPr/>
        <w:t>defines encompassing security objectives to guide agencies in securing their network traffic. The</w:t>
      </w:r>
      <w:r>
        <w:rPr>
          <w:spacing w:val="1"/>
        </w:rPr>
        <w:t> </w:t>
      </w:r>
      <w:r>
        <w:rPr/>
        <w:t>objectives are intended to limit the likelihood of a cybersecurity event. Agencies are granted discretion to</w:t>
      </w:r>
      <w:r>
        <w:rPr>
          <w:spacing w:val="1"/>
        </w:rPr>
        <w:t> </w:t>
      </w:r>
      <w:r>
        <w:rPr/>
        <w:t>apply</w:t>
      </w:r>
      <w:r>
        <w:rPr>
          <w:spacing w:val="-1"/>
        </w:rPr>
        <w:t> </w:t>
      </w:r>
      <w:r>
        <w:rPr/>
        <w:t>the</w:t>
      </w:r>
      <w:r>
        <w:rPr>
          <w:spacing w:val="-2"/>
        </w:rPr>
        <w:t> </w:t>
      </w:r>
      <w:r>
        <w:rPr/>
        <w:t>objectives</w:t>
      </w:r>
      <w:r>
        <w:rPr>
          <w:spacing w:val="-2"/>
        </w:rPr>
        <w:t> </w:t>
      </w:r>
      <w:r>
        <w:rPr/>
        <w:t>at</w:t>
      </w:r>
      <w:r>
        <w:rPr>
          <w:spacing w:val="-1"/>
        </w:rPr>
        <w:t> </w:t>
      </w:r>
      <w:r>
        <w:rPr/>
        <w:t>a</w:t>
      </w:r>
      <w:r>
        <w:rPr>
          <w:spacing w:val="-2"/>
        </w:rPr>
        <w:t> </w:t>
      </w:r>
      <w:r>
        <w:rPr/>
        <w:t>level commensurate</w:t>
      </w:r>
      <w:r>
        <w:rPr>
          <w:spacing w:val="-2"/>
        </w:rPr>
        <w:t> </w:t>
      </w:r>
      <w:r>
        <w:rPr/>
        <w:t>to</w:t>
      </w:r>
      <w:r>
        <w:rPr>
          <w:spacing w:val="-1"/>
        </w:rPr>
        <w:t> </w:t>
      </w:r>
      <w:r>
        <w:rPr/>
        <w:t>the</w:t>
      </w:r>
      <w:r>
        <w:rPr>
          <w:spacing w:val="-2"/>
        </w:rPr>
        <w:t> </w:t>
      </w:r>
      <w:r>
        <w:rPr/>
        <w:t>type</w:t>
      </w:r>
      <w:r>
        <w:rPr>
          <w:spacing w:val="-2"/>
        </w:rPr>
        <w:t> </w:t>
      </w:r>
      <w:r>
        <w:rPr/>
        <w:t>of resources</w:t>
      </w:r>
      <w:r>
        <w:rPr>
          <w:spacing w:val="-2"/>
        </w:rPr>
        <w:t> </w:t>
      </w:r>
      <w:r>
        <w:rPr/>
        <w:t>being</w:t>
      </w:r>
      <w:r>
        <w:rPr>
          <w:spacing w:val="-1"/>
        </w:rPr>
        <w:t> </w:t>
      </w:r>
      <w:r>
        <w:rPr/>
        <w:t>protected.</w:t>
      </w:r>
    </w:p>
    <w:p>
      <w:pPr>
        <w:pStyle w:val="BodyText"/>
        <w:spacing w:before="5"/>
        <w:rPr>
          <w:sz w:val="8"/>
        </w:rPr>
      </w:pPr>
      <w:r>
        <w:rPr/>
        <w:pict>
          <v:rect style="position:absolute;margin-left:113.699997pt;margin-top:6.095889pt;width:384.6pt;height:2.220pt;mso-position-horizontal-relative:page;mso-position-vertical-relative:paragraph;z-index:-15726592;mso-wrap-distance-left:0;mso-wrap-distance-right:0" id="docshape9" filled="true" fillcolor="#005287" stroked="false">
            <v:fill type="solid"/>
            <w10:wrap type="topAndBottom"/>
          </v:rect>
        </w:pict>
      </w:r>
    </w:p>
    <w:p>
      <w:pPr>
        <w:pStyle w:val="BodyText"/>
        <w:spacing w:before="199"/>
        <w:ind w:left="3313" w:right="1244" w:hanging="2294"/>
      </w:pPr>
      <w:r>
        <w:rPr>
          <w:color w:val="005287"/>
        </w:rPr>
        <w:t>Agencies are granted discretion to apply the objectives at a level commensurate to the</w:t>
      </w:r>
      <w:r>
        <w:rPr>
          <w:color w:val="005287"/>
          <w:spacing w:val="-52"/>
        </w:rPr>
        <w:t> </w:t>
      </w:r>
      <w:r>
        <w:rPr>
          <w:color w:val="005287"/>
        </w:rPr>
        <w:t>type</w:t>
      </w:r>
      <w:r>
        <w:rPr>
          <w:color w:val="005287"/>
          <w:spacing w:val="-2"/>
        </w:rPr>
        <w:t> </w:t>
      </w:r>
      <w:r>
        <w:rPr>
          <w:color w:val="005287"/>
        </w:rPr>
        <w:t>of resources</w:t>
      </w:r>
      <w:r>
        <w:rPr>
          <w:color w:val="005287"/>
          <w:spacing w:val="-2"/>
        </w:rPr>
        <w:t> </w:t>
      </w:r>
      <w:r>
        <w:rPr>
          <w:color w:val="005287"/>
        </w:rPr>
        <w:t>being protected.</w:t>
      </w:r>
    </w:p>
    <w:p>
      <w:pPr>
        <w:pStyle w:val="BodyText"/>
        <w:spacing w:before="3"/>
        <w:rPr>
          <w:sz w:val="15"/>
        </w:rPr>
      </w:pPr>
      <w:r>
        <w:rPr/>
        <w:pict>
          <v:rect style="position:absolute;margin-left:113.699997pt;margin-top:9.992148pt;width:384.6pt;height:2.220pt;mso-position-horizontal-relative:page;mso-position-vertical-relative:paragraph;z-index:-15726080;mso-wrap-distance-left:0;mso-wrap-distance-right:0" id="docshape10" filled="true" fillcolor="#005287" stroked="false">
            <v:fill type="solid"/>
            <w10:wrap type="topAndBottom"/>
          </v:rect>
        </w:pict>
      </w:r>
    </w:p>
    <w:p>
      <w:pPr>
        <w:pStyle w:val="BodyText"/>
        <w:spacing w:before="1"/>
        <w:rPr>
          <w:sz w:val="13"/>
        </w:rPr>
      </w:pPr>
    </w:p>
    <w:p>
      <w:pPr>
        <w:pStyle w:val="BodyText"/>
        <w:spacing w:line="259" w:lineRule="auto" w:before="90"/>
        <w:ind w:left="119" w:right="482"/>
      </w:pPr>
      <w:r>
        <w:rPr/>
        <w:t>The TIC security objectives should be viewed independently of the types of traffic being secured, but</w:t>
      </w:r>
      <w:r>
        <w:rPr>
          <w:spacing w:val="1"/>
        </w:rPr>
        <w:t> </w:t>
      </w:r>
      <w:r>
        <w:rPr/>
        <w:t>different types of traffic will influence how the objectives are interpreted. Each objective stands on its</w:t>
      </w:r>
      <w:r>
        <w:rPr>
          <w:spacing w:val="1"/>
        </w:rPr>
        <w:t> </w:t>
      </w:r>
      <w:r>
        <w:rPr/>
        <w:t>own, independent of the other objectives. They should not be considered an order-of-operations. In other</w:t>
      </w:r>
      <w:r>
        <w:rPr>
          <w:spacing w:val="-52"/>
        </w:rPr>
        <w:t> </w:t>
      </w:r>
      <w:r>
        <w:rPr/>
        <w:t>words, the intent of the objectives is not to suggest that an agency must execute one objective in order to</w:t>
      </w:r>
      <w:r>
        <w:rPr>
          <w:spacing w:val="-52"/>
        </w:rPr>
        <w:t> </w:t>
      </w:r>
      <w:r>
        <w:rPr/>
        <w:t>execute</w:t>
      </w:r>
      <w:r>
        <w:rPr>
          <w:spacing w:val="-2"/>
        </w:rPr>
        <w:t> </w:t>
      </w:r>
      <w:r>
        <w:rPr/>
        <w:t>another.</w:t>
      </w:r>
    </w:p>
    <w:p>
      <w:pPr>
        <w:pStyle w:val="BodyText"/>
        <w:spacing w:before="158"/>
        <w:ind w:left="119" w:right="383"/>
      </w:pPr>
      <w:r>
        <w:rPr/>
        <w:t>The TIC objectives, described in Table 2, are intended to set expectations for architectures, guide</w:t>
      </w:r>
      <w:r>
        <w:rPr>
          <w:spacing w:val="1"/>
        </w:rPr>
        <w:t> </w:t>
      </w:r>
      <w:r>
        <w:rPr/>
        <w:t>implementation,</w:t>
      </w:r>
      <w:r>
        <w:rPr>
          <w:spacing w:val="-3"/>
        </w:rPr>
        <w:t> </w:t>
      </w:r>
      <w:r>
        <w:rPr/>
        <w:t>and</w:t>
      </w:r>
      <w:r>
        <w:rPr>
          <w:spacing w:val="-3"/>
        </w:rPr>
        <w:t> </w:t>
      </w:r>
      <w:r>
        <w:rPr/>
        <w:t>establish</w:t>
      </w:r>
      <w:r>
        <w:rPr>
          <w:spacing w:val="-2"/>
        </w:rPr>
        <w:t> </w:t>
      </w:r>
      <w:r>
        <w:rPr/>
        <w:t>clear</w:t>
      </w:r>
      <w:r>
        <w:rPr>
          <w:spacing w:val="-3"/>
        </w:rPr>
        <w:t> </w:t>
      </w:r>
      <w:r>
        <w:rPr/>
        <w:t>goals</w:t>
      </w:r>
      <w:r>
        <w:rPr>
          <w:spacing w:val="-4"/>
        </w:rPr>
        <w:t> </w:t>
      </w:r>
      <w:r>
        <w:rPr/>
        <w:t>at</w:t>
      </w:r>
      <w:r>
        <w:rPr>
          <w:spacing w:val="-2"/>
        </w:rPr>
        <w:t> </w:t>
      </w:r>
      <w:r>
        <w:rPr/>
        <w:t>the</w:t>
      </w:r>
      <w:r>
        <w:rPr>
          <w:spacing w:val="-4"/>
        </w:rPr>
        <w:t> </w:t>
      </w:r>
      <w:r>
        <w:rPr/>
        <w:t>network</w:t>
      </w:r>
      <w:r>
        <w:rPr>
          <w:spacing w:val="-3"/>
        </w:rPr>
        <w:t> </w:t>
      </w:r>
      <w:r>
        <w:rPr/>
        <w:t>level.</w:t>
      </w:r>
      <w:r>
        <w:rPr>
          <w:spacing w:val="-3"/>
        </w:rPr>
        <w:t> </w:t>
      </w:r>
      <w:r>
        <w:rPr/>
        <w:t>The</w:t>
      </w:r>
      <w:r>
        <w:rPr>
          <w:spacing w:val="-5"/>
        </w:rPr>
        <w:t> </w:t>
      </w:r>
      <w:r>
        <w:rPr/>
        <w:t>term</w:t>
      </w:r>
      <w:r>
        <w:rPr>
          <w:spacing w:val="-3"/>
        </w:rPr>
        <w:t> </w:t>
      </w:r>
      <w:r>
        <w:rPr/>
        <w:t>“traffic”</w:t>
      </w:r>
      <w:r>
        <w:rPr>
          <w:spacing w:val="-2"/>
        </w:rPr>
        <w:t> </w:t>
      </w:r>
      <w:r>
        <w:rPr/>
        <w:t>in</w:t>
      </w:r>
      <w:r>
        <w:rPr>
          <w:spacing w:val="-3"/>
        </w:rPr>
        <w:t> </w:t>
      </w:r>
      <w:r>
        <w:rPr/>
        <w:t>the</w:t>
      </w:r>
      <w:r>
        <w:rPr>
          <w:spacing w:val="-3"/>
        </w:rPr>
        <w:t> </w:t>
      </w:r>
      <w:r>
        <w:rPr/>
        <w:t>TIC</w:t>
      </w:r>
      <w:r>
        <w:rPr>
          <w:spacing w:val="-3"/>
        </w:rPr>
        <w:t> </w:t>
      </w:r>
      <w:r>
        <w:rPr/>
        <w:t>objectives</w:t>
      </w:r>
      <w:r>
        <w:rPr>
          <w:spacing w:val="-52"/>
        </w:rPr>
        <w:t> </w:t>
      </w:r>
      <w:r>
        <w:rPr/>
        <w:t>refers</w:t>
      </w:r>
      <w:r>
        <w:rPr>
          <w:spacing w:val="-3"/>
        </w:rPr>
        <w:t> </w:t>
      </w:r>
      <w:r>
        <w:rPr/>
        <w:t>to</w:t>
      </w:r>
      <w:r>
        <w:rPr>
          <w:spacing w:val="-2"/>
        </w:rPr>
        <w:t> </w:t>
      </w:r>
      <w:r>
        <w:rPr/>
        <w:t>network</w:t>
      </w:r>
      <w:r>
        <w:rPr>
          <w:spacing w:val="-1"/>
        </w:rPr>
        <w:t> </w:t>
      </w:r>
      <w:r>
        <w:rPr/>
        <w:t>traffic</w:t>
      </w:r>
      <w:r>
        <w:rPr>
          <w:spacing w:val="-3"/>
        </w:rPr>
        <w:t> </w:t>
      </w:r>
      <w:r>
        <w:rPr/>
        <w:t>or</w:t>
      </w:r>
      <w:r>
        <w:rPr>
          <w:spacing w:val="-3"/>
        </w:rPr>
        <w:t> </w:t>
      </w:r>
      <w:r>
        <w:rPr/>
        <w:t>data</w:t>
      </w:r>
      <w:r>
        <w:rPr>
          <w:spacing w:val="-2"/>
        </w:rPr>
        <w:t> </w:t>
      </w:r>
      <w:r>
        <w:rPr/>
        <w:t>in</w:t>
      </w:r>
      <w:r>
        <w:rPr>
          <w:spacing w:val="-2"/>
        </w:rPr>
        <w:t> </w:t>
      </w:r>
      <w:r>
        <w:rPr/>
        <w:t>transit</w:t>
      </w:r>
      <w:r>
        <w:rPr>
          <w:spacing w:val="-2"/>
        </w:rPr>
        <w:t> </w:t>
      </w:r>
      <w:r>
        <w:rPr/>
        <w:t>between</w:t>
      </w:r>
      <w:r>
        <w:rPr>
          <w:spacing w:val="-1"/>
        </w:rPr>
        <w:t> </w:t>
      </w:r>
      <w:r>
        <w:rPr/>
        <w:t>trust</w:t>
      </w:r>
      <w:r>
        <w:rPr>
          <w:spacing w:val="-2"/>
        </w:rPr>
        <w:t> </w:t>
      </w:r>
      <w:r>
        <w:rPr/>
        <w:t>zones</w:t>
      </w:r>
      <w:r>
        <w:rPr>
          <w:spacing w:val="-3"/>
        </w:rPr>
        <w:t> </w:t>
      </w:r>
      <w:r>
        <w:rPr/>
        <w:t>or</w:t>
      </w:r>
      <w:r>
        <w:rPr>
          <w:spacing w:val="-1"/>
        </w:rPr>
        <w:t> </w:t>
      </w:r>
      <w:r>
        <w:rPr/>
        <w:t>stored</w:t>
      </w:r>
      <w:r>
        <w:rPr>
          <w:spacing w:val="-2"/>
        </w:rPr>
        <w:t> </w:t>
      </w:r>
      <w:r>
        <w:rPr/>
        <w:t>at</w:t>
      </w:r>
      <w:r>
        <w:rPr>
          <w:spacing w:val="-2"/>
        </w:rPr>
        <w:t> </w:t>
      </w:r>
      <w:r>
        <w:rPr/>
        <w:t>either</w:t>
      </w:r>
      <w:r>
        <w:rPr>
          <w:spacing w:val="-1"/>
        </w:rPr>
        <w:t> </w:t>
      </w:r>
      <w:r>
        <w:rPr/>
        <w:t>or</w:t>
      </w:r>
      <w:r>
        <w:rPr>
          <w:spacing w:val="-2"/>
        </w:rPr>
        <w:t> </w:t>
      </w:r>
      <w:r>
        <w:rPr/>
        <w:t>both</w:t>
      </w:r>
      <w:r>
        <w:rPr>
          <w:spacing w:val="-2"/>
        </w:rPr>
        <w:t> </w:t>
      </w:r>
      <w:r>
        <w:rPr/>
        <w:t>trust</w:t>
      </w:r>
      <w:r>
        <w:rPr>
          <w:spacing w:val="-1"/>
        </w:rPr>
        <w:t> </w:t>
      </w:r>
      <w:r>
        <w:rPr/>
        <w:t>zones.</w:t>
      </w:r>
    </w:p>
    <w:p>
      <w:pPr>
        <w:spacing w:before="121"/>
        <w:ind w:left="120" w:right="0" w:firstLine="0"/>
        <w:jc w:val="left"/>
        <w:rPr>
          <w:i/>
          <w:sz w:val="18"/>
        </w:rPr>
      </w:pPr>
      <w:bookmarkStart w:name="_bookmark8" w:id="17"/>
      <w:bookmarkEnd w:id="17"/>
      <w:r>
        <w:rPr/>
      </w:r>
      <w:r>
        <w:rPr>
          <w:i/>
          <w:sz w:val="18"/>
        </w:rPr>
        <w:t>Table</w:t>
      </w:r>
      <w:r>
        <w:rPr>
          <w:i/>
          <w:spacing w:val="-1"/>
          <w:sz w:val="18"/>
        </w:rPr>
        <w:t> </w:t>
      </w:r>
      <w:r>
        <w:rPr>
          <w:i/>
          <w:sz w:val="18"/>
        </w:rPr>
        <w:t>2:</w:t>
      </w:r>
      <w:r>
        <w:rPr>
          <w:i/>
          <w:spacing w:val="-2"/>
          <w:sz w:val="18"/>
        </w:rPr>
        <w:t> </w:t>
      </w:r>
      <w:r>
        <w:rPr>
          <w:i/>
          <w:sz w:val="18"/>
        </w:rPr>
        <w:t>TIC</w:t>
      </w:r>
      <w:r>
        <w:rPr>
          <w:i/>
          <w:spacing w:val="-2"/>
          <w:sz w:val="18"/>
        </w:rPr>
        <w:t> </w:t>
      </w:r>
      <w:r>
        <w:rPr>
          <w:i/>
          <w:sz w:val="18"/>
        </w:rPr>
        <w:t>3.0</w:t>
      </w:r>
      <w:r>
        <w:rPr>
          <w:i/>
          <w:spacing w:val="-3"/>
          <w:sz w:val="18"/>
        </w:rPr>
        <w:t> </w:t>
      </w:r>
      <w:r>
        <w:rPr>
          <w:i/>
          <w:sz w:val="18"/>
        </w:rPr>
        <w:t>Security</w:t>
      </w:r>
      <w:r>
        <w:rPr>
          <w:i/>
          <w:spacing w:val="-2"/>
          <w:sz w:val="18"/>
        </w:rPr>
        <w:t> </w:t>
      </w:r>
      <w:r>
        <w:rPr>
          <w:i/>
          <w:sz w:val="18"/>
        </w:rPr>
        <w:t>Objectives</w:t>
      </w:r>
    </w:p>
    <w:p>
      <w:pPr>
        <w:pStyle w:val="BodyText"/>
        <w:spacing w:before="4"/>
        <w:rPr>
          <w:i/>
          <w:sz w:val="17"/>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94"/>
        <w:gridCol w:w="7126"/>
      </w:tblGrid>
      <w:tr>
        <w:trPr>
          <w:trHeight w:val="641" w:hRule="atLeast"/>
        </w:trPr>
        <w:tc>
          <w:tcPr>
            <w:tcW w:w="1794" w:type="dxa"/>
            <w:tcBorders>
              <w:top w:val="single" w:sz="4" w:space="0" w:color="0057B5"/>
              <w:bottom w:val="single" w:sz="4" w:space="0" w:color="0057B5"/>
            </w:tcBorders>
          </w:tcPr>
          <w:p>
            <w:pPr>
              <w:pStyle w:val="TableParagraph"/>
              <w:ind w:left="115"/>
              <w:rPr>
                <w:b/>
                <w:sz w:val="22"/>
              </w:rPr>
            </w:pPr>
            <w:r>
              <w:rPr>
                <w:b/>
                <w:sz w:val="22"/>
              </w:rPr>
              <w:t>Objective</w:t>
            </w:r>
            <w:hyperlink w:history="true" w:anchor="_bookmark9">
              <w:r>
                <w:rPr>
                  <w:b/>
                  <w:sz w:val="22"/>
                  <w:vertAlign w:val="superscript"/>
                </w:rPr>
                <w:t>3</w:t>
              </w:r>
            </w:hyperlink>
          </w:p>
        </w:tc>
        <w:tc>
          <w:tcPr>
            <w:tcW w:w="7126" w:type="dxa"/>
            <w:tcBorders>
              <w:top w:val="single" w:sz="4" w:space="0" w:color="0057B5"/>
              <w:bottom w:val="single" w:sz="4" w:space="0" w:color="0057B5"/>
            </w:tcBorders>
          </w:tcPr>
          <w:p>
            <w:pPr>
              <w:pStyle w:val="TableParagraph"/>
              <w:spacing w:before="125"/>
              <w:ind w:left="303"/>
              <w:rPr>
                <w:b/>
                <w:sz w:val="22"/>
              </w:rPr>
            </w:pPr>
            <w:r>
              <w:rPr>
                <w:b/>
                <w:sz w:val="22"/>
              </w:rPr>
              <w:t>Description</w:t>
            </w:r>
          </w:p>
        </w:tc>
      </w:tr>
      <w:tr>
        <w:trPr>
          <w:trHeight w:val="829" w:hRule="atLeast"/>
        </w:trPr>
        <w:tc>
          <w:tcPr>
            <w:tcW w:w="1794" w:type="dxa"/>
            <w:tcBorders>
              <w:top w:val="single" w:sz="4" w:space="0" w:color="0057B5"/>
              <w:bottom w:val="single" w:sz="4" w:space="0" w:color="0057B5"/>
            </w:tcBorders>
            <w:shd w:val="clear" w:color="auto" w:fill="E7EAF3"/>
          </w:tcPr>
          <w:p>
            <w:pPr>
              <w:pStyle w:val="TableParagraph"/>
              <w:spacing w:before="104"/>
              <w:ind w:left="115"/>
              <w:rPr>
                <w:sz w:val="22"/>
              </w:rPr>
            </w:pPr>
            <w:r>
              <w:rPr>
                <w:sz w:val="22"/>
              </w:rPr>
              <w:t>Manage</w:t>
            </w:r>
            <w:r>
              <w:rPr>
                <w:spacing w:val="-3"/>
                <w:sz w:val="22"/>
              </w:rPr>
              <w:t> </w:t>
            </w:r>
            <w:r>
              <w:rPr>
                <w:sz w:val="22"/>
              </w:rPr>
              <w:t>Traffic</w:t>
            </w:r>
          </w:p>
        </w:tc>
        <w:tc>
          <w:tcPr>
            <w:tcW w:w="7126" w:type="dxa"/>
            <w:tcBorders>
              <w:top w:val="single" w:sz="4" w:space="0" w:color="0057B5"/>
              <w:bottom w:val="single" w:sz="4" w:space="0" w:color="0057B5"/>
            </w:tcBorders>
            <w:shd w:val="clear" w:color="auto" w:fill="E7EAF3"/>
          </w:tcPr>
          <w:p>
            <w:pPr>
              <w:pStyle w:val="TableParagraph"/>
              <w:spacing w:line="256" w:lineRule="auto" w:before="104"/>
              <w:ind w:left="303" w:right="405"/>
              <w:rPr>
                <w:sz w:val="20"/>
              </w:rPr>
            </w:pPr>
            <w:r>
              <w:rPr>
                <w:sz w:val="20"/>
              </w:rPr>
              <w:t>Observe, validate, and filter data connections to align with authorized activities;</w:t>
            </w:r>
            <w:r>
              <w:rPr>
                <w:spacing w:val="-47"/>
                <w:sz w:val="20"/>
              </w:rPr>
              <w:t> </w:t>
            </w:r>
            <w:r>
              <w:rPr>
                <w:sz w:val="20"/>
              </w:rPr>
              <w:t>least</w:t>
            </w:r>
            <w:r>
              <w:rPr>
                <w:spacing w:val="-2"/>
                <w:sz w:val="20"/>
              </w:rPr>
              <w:t> </w:t>
            </w:r>
            <w:r>
              <w:rPr>
                <w:sz w:val="20"/>
              </w:rPr>
              <w:t>privilege</w:t>
            </w:r>
            <w:r>
              <w:rPr>
                <w:spacing w:val="-1"/>
                <w:sz w:val="20"/>
              </w:rPr>
              <w:t> </w:t>
            </w:r>
            <w:r>
              <w:rPr>
                <w:sz w:val="20"/>
              </w:rPr>
              <w:t>and</w:t>
            </w:r>
            <w:r>
              <w:rPr>
                <w:spacing w:val="-1"/>
                <w:sz w:val="20"/>
              </w:rPr>
              <w:t> </w:t>
            </w:r>
            <w:r>
              <w:rPr>
                <w:sz w:val="20"/>
              </w:rPr>
              <w:t>default</w:t>
            </w:r>
            <w:r>
              <w:rPr>
                <w:spacing w:val="-1"/>
                <w:sz w:val="20"/>
              </w:rPr>
              <w:t> </w:t>
            </w:r>
            <w:r>
              <w:rPr>
                <w:sz w:val="20"/>
              </w:rPr>
              <w:t>deny</w:t>
            </w:r>
          </w:p>
        </w:tc>
      </w:tr>
    </w:tbl>
    <w:p>
      <w:pPr>
        <w:pStyle w:val="BodyText"/>
        <w:rPr>
          <w:i/>
          <w:sz w:val="20"/>
        </w:rPr>
      </w:pPr>
    </w:p>
    <w:p>
      <w:pPr>
        <w:pStyle w:val="BodyText"/>
        <w:spacing w:before="7"/>
        <w:rPr>
          <w:i/>
          <w:sz w:val="12"/>
        </w:rPr>
      </w:pPr>
      <w:r>
        <w:rPr/>
        <w:pict>
          <v:rect style="position:absolute;margin-left:72pt;margin-top:8.480976pt;width:144pt;height:.54pt;mso-position-horizontal-relative:page;mso-position-vertical-relative:paragraph;z-index:-15725568;mso-wrap-distance-left:0;mso-wrap-distance-right:0" id="docshape11" filled="true" fillcolor="#000000" stroked="false">
            <v:fill type="solid"/>
            <w10:wrap type="topAndBottom"/>
          </v:rect>
        </w:pict>
      </w:r>
    </w:p>
    <w:p>
      <w:pPr>
        <w:spacing w:before="93"/>
        <w:ind w:left="120" w:right="522" w:hanging="1"/>
        <w:jc w:val="left"/>
        <w:rPr>
          <w:sz w:val="20"/>
        </w:rPr>
      </w:pPr>
      <w:bookmarkStart w:name="_bookmark9" w:id="18"/>
      <w:bookmarkEnd w:id="18"/>
      <w:r>
        <w:rPr/>
      </w:r>
      <w:r>
        <w:rPr>
          <w:sz w:val="20"/>
          <w:vertAlign w:val="superscript"/>
        </w:rPr>
        <w:t>3</w:t>
      </w:r>
      <w:r>
        <w:rPr>
          <w:sz w:val="20"/>
          <w:vertAlign w:val="baseline"/>
        </w:rPr>
        <w:t> The term “traffic” in the TIC objectives refers to network traffic or data in transit between trust zones or stored at</w:t>
      </w:r>
      <w:r>
        <w:rPr>
          <w:spacing w:val="-47"/>
          <w:sz w:val="20"/>
          <w:vertAlign w:val="baseline"/>
        </w:rPr>
        <w:t> </w:t>
      </w:r>
      <w:r>
        <w:rPr>
          <w:sz w:val="20"/>
          <w:vertAlign w:val="baseline"/>
        </w:rPr>
        <w:t>either</w:t>
      </w:r>
      <w:r>
        <w:rPr>
          <w:spacing w:val="-2"/>
          <w:sz w:val="20"/>
          <w:vertAlign w:val="baseline"/>
        </w:rPr>
        <w:t> </w:t>
      </w:r>
      <w:r>
        <w:rPr>
          <w:sz w:val="20"/>
          <w:vertAlign w:val="baseline"/>
        </w:rPr>
        <w:t>or</w:t>
      </w:r>
      <w:r>
        <w:rPr>
          <w:spacing w:val="-1"/>
          <w:sz w:val="20"/>
          <w:vertAlign w:val="baseline"/>
        </w:rPr>
        <w:t> </w:t>
      </w:r>
      <w:r>
        <w:rPr>
          <w:sz w:val="20"/>
          <w:vertAlign w:val="baseline"/>
        </w:rPr>
        <w:t>both</w:t>
      </w:r>
      <w:r>
        <w:rPr>
          <w:spacing w:val="-1"/>
          <w:sz w:val="20"/>
          <w:vertAlign w:val="baseline"/>
        </w:rPr>
        <w:t> </w:t>
      </w:r>
      <w:r>
        <w:rPr>
          <w:sz w:val="20"/>
          <w:vertAlign w:val="baseline"/>
        </w:rPr>
        <w:t>trust</w:t>
      </w:r>
      <w:r>
        <w:rPr>
          <w:spacing w:val="-1"/>
          <w:sz w:val="20"/>
          <w:vertAlign w:val="baseline"/>
        </w:rPr>
        <w:t> </w:t>
      </w:r>
      <w:r>
        <w:rPr>
          <w:sz w:val="20"/>
          <w:vertAlign w:val="baseline"/>
        </w:rPr>
        <w:t>zones.</w:t>
      </w:r>
    </w:p>
    <w:p>
      <w:pPr>
        <w:spacing w:after="0"/>
        <w:jc w:val="left"/>
        <w:rPr>
          <w:sz w:val="20"/>
        </w:rPr>
        <w:sectPr>
          <w:pgSz w:w="12240" w:h="15840"/>
          <w:pgMar w:header="730" w:footer="764" w:top="960" w:bottom="960" w:left="1320" w:right="1080"/>
        </w:sectPr>
      </w:pPr>
    </w:p>
    <w:p>
      <w:pPr>
        <w:pStyle w:val="BodyText"/>
        <w:rPr>
          <w:sz w:val="20"/>
        </w:rPr>
      </w:pPr>
    </w:p>
    <w:p>
      <w:pPr>
        <w:pStyle w:val="BodyText"/>
        <w:spacing w:before="7"/>
        <w:rPr>
          <w:sz w:val="20"/>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57"/>
        <w:gridCol w:w="7077"/>
      </w:tblGrid>
      <w:tr>
        <w:trPr>
          <w:trHeight w:val="640" w:hRule="atLeast"/>
        </w:trPr>
        <w:tc>
          <w:tcPr>
            <w:tcW w:w="1857" w:type="dxa"/>
            <w:tcBorders>
              <w:top w:val="single" w:sz="4" w:space="0" w:color="0057B5"/>
              <w:bottom w:val="single" w:sz="4" w:space="0" w:color="0057B5"/>
            </w:tcBorders>
          </w:tcPr>
          <w:p>
            <w:pPr>
              <w:pStyle w:val="TableParagraph"/>
              <w:rPr>
                <w:b/>
                <w:sz w:val="22"/>
              </w:rPr>
            </w:pPr>
            <w:r>
              <w:rPr>
                <w:b/>
                <w:sz w:val="22"/>
              </w:rPr>
              <w:t>Objective</w:t>
            </w:r>
            <w:hyperlink w:history="true" w:anchor="_bookmark9">
              <w:r>
                <w:rPr>
                  <w:b/>
                  <w:sz w:val="22"/>
                  <w:vertAlign w:val="superscript"/>
                </w:rPr>
                <w:t>3</w:t>
              </w:r>
            </w:hyperlink>
          </w:p>
        </w:tc>
        <w:tc>
          <w:tcPr>
            <w:tcW w:w="7077" w:type="dxa"/>
            <w:tcBorders>
              <w:top w:val="single" w:sz="4" w:space="0" w:color="0057B5"/>
              <w:bottom w:val="single" w:sz="4" w:space="0" w:color="0057B5"/>
            </w:tcBorders>
          </w:tcPr>
          <w:p>
            <w:pPr>
              <w:pStyle w:val="TableParagraph"/>
              <w:spacing w:before="125"/>
              <w:ind w:left="255"/>
              <w:rPr>
                <w:b/>
                <w:sz w:val="22"/>
              </w:rPr>
            </w:pPr>
            <w:r>
              <w:rPr>
                <w:b/>
                <w:sz w:val="22"/>
              </w:rPr>
              <w:t>Description</w:t>
            </w:r>
          </w:p>
        </w:tc>
      </w:tr>
      <w:tr>
        <w:trPr>
          <w:trHeight w:val="922" w:hRule="atLeast"/>
        </w:trPr>
        <w:tc>
          <w:tcPr>
            <w:tcW w:w="1857" w:type="dxa"/>
            <w:tcBorders>
              <w:top w:val="single" w:sz="4" w:space="0" w:color="0057B5"/>
            </w:tcBorders>
          </w:tcPr>
          <w:p>
            <w:pPr>
              <w:pStyle w:val="TableParagraph"/>
              <w:spacing w:line="276" w:lineRule="auto" w:before="105"/>
              <w:ind w:right="390"/>
              <w:rPr>
                <w:sz w:val="22"/>
              </w:rPr>
            </w:pPr>
            <w:r>
              <w:rPr>
                <w:sz w:val="22"/>
              </w:rPr>
              <w:t>Protect Traffic</w:t>
            </w:r>
            <w:r>
              <w:rPr>
                <w:spacing w:val="-52"/>
                <w:sz w:val="22"/>
              </w:rPr>
              <w:t> </w:t>
            </w:r>
            <w:r>
              <w:rPr>
                <w:spacing w:val="-1"/>
                <w:sz w:val="22"/>
              </w:rPr>
              <w:t>Confidentiality</w:t>
            </w:r>
          </w:p>
        </w:tc>
        <w:tc>
          <w:tcPr>
            <w:tcW w:w="7077" w:type="dxa"/>
            <w:tcBorders>
              <w:top w:val="single" w:sz="4" w:space="0" w:color="0057B5"/>
            </w:tcBorders>
          </w:tcPr>
          <w:p>
            <w:pPr>
              <w:pStyle w:val="TableParagraph"/>
              <w:spacing w:line="256" w:lineRule="auto" w:before="106"/>
              <w:ind w:left="255" w:right="415"/>
              <w:rPr>
                <w:sz w:val="20"/>
              </w:rPr>
            </w:pPr>
            <w:r>
              <w:rPr>
                <w:sz w:val="20"/>
              </w:rPr>
              <w:t>Ensure only authorized parties can discern the contents of data in transit; sender</w:t>
            </w:r>
            <w:r>
              <w:rPr>
                <w:spacing w:val="-47"/>
                <w:sz w:val="20"/>
              </w:rPr>
              <w:t> </w:t>
            </w:r>
            <w:r>
              <w:rPr>
                <w:sz w:val="20"/>
              </w:rPr>
              <w:t>and</w:t>
            </w:r>
            <w:r>
              <w:rPr>
                <w:spacing w:val="-2"/>
                <w:sz w:val="20"/>
              </w:rPr>
              <w:t> </w:t>
            </w:r>
            <w:r>
              <w:rPr>
                <w:sz w:val="20"/>
              </w:rPr>
              <w:t>receiver</w:t>
            </w:r>
            <w:r>
              <w:rPr>
                <w:spacing w:val="-1"/>
                <w:sz w:val="20"/>
              </w:rPr>
              <w:t> </w:t>
            </w:r>
            <w:r>
              <w:rPr>
                <w:sz w:val="20"/>
              </w:rPr>
              <w:t>identification</w:t>
            </w:r>
            <w:r>
              <w:rPr>
                <w:spacing w:val="1"/>
                <w:sz w:val="20"/>
              </w:rPr>
              <w:t> </w:t>
            </w:r>
            <w:r>
              <w:rPr>
                <w:sz w:val="20"/>
              </w:rPr>
              <w:t>and enforcement</w:t>
            </w:r>
          </w:p>
        </w:tc>
      </w:tr>
      <w:tr>
        <w:trPr>
          <w:trHeight w:val="932" w:hRule="atLeast"/>
        </w:trPr>
        <w:tc>
          <w:tcPr>
            <w:tcW w:w="1857" w:type="dxa"/>
            <w:shd w:val="clear" w:color="auto" w:fill="E7EAF3"/>
          </w:tcPr>
          <w:p>
            <w:pPr>
              <w:pStyle w:val="TableParagraph"/>
              <w:spacing w:line="276" w:lineRule="auto" w:before="114"/>
              <w:ind w:right="419"/>
              <w:rPr>
                <w:sz w:val="22"/>
              </w:rPr>
            </w:pPr>
            <w:r>
              <w:rPr>
                <w:sz w:val="22"/>
              </w:rPr>
              <w:t>Protect Traffic</w:t>
            </w:r>
            <w:r>
              <w:rPr>
                <w:spacing w:val="-52"/>
                <w:sz w:val="22"/>
              </w:rPr>
              <w:t> </w:t>
            </w:r>
            <w:r>
              <w:rPr>
                <w:sz w:val="22"/>
              </w:rPr>
              <w:t>Integrity</w:t>
            </w:r>
          </w:p>
        </w:tc>
        <w:tc>
          <w:tcPr>
            <w:tcW w:w="7077" w:type="dxa"/>
            <w:shd w:val="clear" w:color="auto" w:fill="E7EAF3"/>
          </w:tcPr>
          <w:p>
            <w:pPr>
              <w:pStyle w:val="TableParagraph"/>
              <w:ind w:left="255"/>
              <w:rPr>
                <w:sz w:val="20"/>
              </w:rPr>
            </w:pPr>
            <w:r>
              <w:rPr>
                <w:sz w:val="20"/>
              </w:rPr>
              <w:t>Prevent</w:t>
            </w:r>
            <w:r>
              <w:rPr>
                <w:spacing w:val="-4"/>
                <w:sz w:val="20"/>
              </w:rPr>
              <w:t> </w:t>
            </w:r>
            <w:r>
              <w:rPr>
                <w:sz w:val="20"/>
              </w:rPr>
              <w:t>alteration</w:t>
            </w:r>
            <w:r>
              <w:rPr>
                <w:spacing w:val="-3"/>
                <w:sz w:val="20"/>
              </w:rPr>
              <w:t> </w:t>
            </w:r>
            <w:r>
              <w:rPr>
                <w:sz w:val="20"/>
              </w:rPr>
              <w:t>of</w:t>
            </w:r>
            <w:r>
              <w:rPr>
                <w:spacing w:val="-4"/>
                <w:sz w:val="20"/>
              </w:rPr>
              <w:t> </w:t>
            </w:r>
            <w:r>
              <w:rPr>
                <w:sz w:val="20"/>
              </w:rPr>
              <w:t>data</w:t>
            </w:r>
            <w:r>
              <w:rPr>
                <w:spacing w:val="-2"/>
                <w:sz w:val="20"/>
              </w:rPr>
              <w:t> </w:t>
            </w:r>
            <w:r>
              <w:rPr>
                <w:sz w:val="20"/>
              </w:rPr>
              <w:t>in</w:t>
            </w:r>
            <w:r>
              <w:rPr>
                <w:spacing w:val="-4"/>
                <w:sz w:val="20"/>
              </w:rPr>
              <w:t> </w:t>
            </w:r>
            <w:r>
              <w:rPr>
                <w:sz w:val="20"/>
              </w:rPr>
              <w:t>transit;</w:t>
            </w:r>
            <w:r>
              <w:rPr>
                <w:spacing w:val="-3"/>
                <w:sz w:val="20"/>
              </w:rPr>
              <w:t> </w:t>
            </w:r>
            <w:r>
              <w:rPr>
                <w:sz w:val="20"/>
              </w:rPr>
              <w:t>detect</w:t>
            </w:r>
            <w:r>
              <w:rPr>
                <w:spacing w:val="-4"/>
                <w:sz w:val="20"/>
              </w:rPr>
              <w:t> </w:t>
            </w:r>
            <w:r>
              <w:rPr>
                <w:sz w:val="20"/>
              </w:rPr>
              <w:t>altered</w:t>
            </w:r>
            <w:r>
              <w:rPr>
                <w:spacing w:val="-3"/>
                <w:sz w:val="20"/>
              </w:rPr>
              <w:t> </w:t>
            </w:r>
            <w:r>
              <w:rPr>
                <w:sz w:val="20"/>
              </w:rPr>
              <w:t>data</w:t>
            </w:r>
            <w:r>
              <w:rPr>
                <w:spacing w:val="-2"/>
                <w:sz w:val="20"/>
              </w:rPr>
              <w:t> </w:t>
            </w:r>
            <w:r>
              <w:rPr>
                <w:sz w:val="20"/>
              </w:rPr>
              <w:t>in</w:t>
            </w:r>
            <w:r>
              <w:rPr>
                <w:spacing w:val="-2"/>
                <w:sz w:val="20"/>
              </w:rPr>
              <w:t> </w:t>
            </w:r>
            <w:r>
              <w:rPr>
                <w:sz w:val="20"/>
              </w:rPr>
              <w:t>transit</w:t>
            </w:r>
          </w:p>
        </w:tc>
      </w:tr>
      <w:tr>
        <w:trPr>
          <w:trHeight w:val="931" w:hRule="atLeast"/>
        </w:trPr>
        <w:tc>
          <w:tcPr>
            <w:tcW w:w="1857" w:type="dxa"/>
          </w:tcPr>
          <w:p>
            <w:pPr>
              <w:pStyle w:val="TableParagraph"/>
              <w:spacing w:line="276" w:lineRule="auto" w:before="114"/>
              <w:ind w:right="382"/>
              <w:rPr>
                <w:sz w:val="22"/>
              </w:rPr>
            </w:pPr>
            <w:r>
              <w:rPr>
                <w:sz w:val="22"/>
              </w:rPr>
              <w:t>Ensure Service</w:t>
            </w:r>
            <w:r>
              <w:rPr>
                <w:spacing w:val="-53"/>
                <w:sz w:val="22"/>
              </w:rPr>
              <w:t> </w:t>
            </w:r>
            <w:r>
              <w:rPr>
                <w:sz w:val="22"/>
              </w:rPr>
              <w:t>Resiliency</w:t>
            </w:r>
          </w:p>
        </w:tc>
        <w:tc>
          <w:tcPr>
            <w:tcW w:w="7077" w:type="dxa"/>
          </w:tcPr>
          <w:p>
            <w:pPr>
              <w:pStyle w:val="TableParagraph"/>
              <w:spacing w:line="256" w:lineRule="auto" w:before="114"/>
              <w:ind w:left="255" w:right="248"/>
              <w:rPr>
                <w:sz w:val="20"/>
              </w:rPr>
            </w:pPr>
            <w:r>
              <w:rPr>
                <w:sz w:val="20"/>
              </w:rPr>
              <w:t>Promote resilient application and security services for continuous operation as the</w:t>
            </w:r>
            <w:r>
              <w:rPr>
                <w:spacing w:val="-47"/>
                <w:sz w:val="20"/>
              </w:rPr>
              <w:t> </w:t>
            </w:r>
            <w:r>
              <w:rPr>
                <w:sz w:val="20"/>
              </w:rPr>
              <w:t>technology</w:t>
            </w:r>
            <w:r>
              <w:rPr>
                <w:spacing w:val="-2"/>
                <w:sz w:val="20"/>
              </w:rPr>
              <w:t> </w:t>
            </w:r>
            <w:r>
              <w:rPr>
                <w:sz w:val="20"/>
              </w:rPr>
              <w:t>and</w:t>
            </w:r>
            <w:r>
              <w:rPr>
                <w:spacing w:val="-1"/>
                <w:sz w:val="20"/>
              </w:rPr>
              <w:t> </w:t>
            </w:r>
            <w:r>
              <w:rPr>
                <w:sz w:val="20"/>
              </w:rPr>
              <w:t>threat</w:t>
            </w:r>
            <w:r>
              <w:rPr>
                <w:spacing w:val="-1"/>
                <w:sz w:val="20"/>
              </w:rPr>
              <w:t> </w:t>
            </w:r>
            <w:r>
              <w:rPr>
                <w:sz w:val="20"/>
              </w:rPr>
              <w:t>landscape evolve</w:t>
            </w:r>
          </w:p>
        </w:tc>
      </w:tr>
      <w:tr>
        <w:trPr>
          <w:trHeight w:val="932" w:hRule="atLeast"/>
        </w:trPr>
        <w:tc>
          <w:tcPr>
            <w:tcW w:w="1857" w:type="dxa"/>
            <w:tcBorders>
              <w:bottom w:val="single" w:sz="4" w:space="0" w:color="0057B5"/>
            </w:tcBorders>
            <w:shd w:val="clear" w:color="auto" w:fill="E7EAF3"/>
          </w:tcPr>
          <w:p>
            <w:pPr>
              <w:pStyle w:val="TableParagraph"/>
              <w:spacing w:line="276" w:lineRule="auto"/>
              <w:ind w:right="236"/>
              <w:rPr>
                <w:sz w:val="22"/>
              </w:rPr>
            </w:pPr>
            <w:r>
              <w:rPr>
                <w:sz w:val="22"/>
              </w:rPr>
              <w:t>Ensure Effective</w:t>
            </w:r>
            <w:r>
              <w:rPr>
                <w:spacing w:val="-52"/>
                <w:sz w:val="22"/>
              </w:rPr>
              <w:t> </w:t>
            </w:r>
            <w:r>
              <w:rPr>
                <w:sz w:val="22"/>
              </w:rPr>
              <w:t>Response</w:t>
            </w:r>
          </w:p>
        </w:tc>
        <w:tc>
          <w:tcPr>
            <w:tcW w:w="7077" w:type="dxa"/>
            <w:tcBorders>
              <w:bottom w:val="single" w:sz="4" w:space="0" w:color="0057B5"/>
            </w:tcBorders>
            <w:shd w:val="clear" w:color="auto" w:fill="E7EAF3"/>
          </w:tcPr>
          <w:p>
            <w:pPr>
              <w:pStyle w:val="TableParagraph"/>
              <w:spacing w:line="254" w:lineRule="auto"/>
              <w:ind w:left="255" w:right="337"/>
              <w:rPr>
                <w:sz w:val="20"/>
              </w:rPr>
            </w:pPr>
            <w:r>
              <w:rPr>
                <w:sz w:val="20"/>
              </w:rPr>
              <w:t>Promote timely reaction and adapt future response to discovered threats; policies</w:t>
            </w:r>
            <w:r>
              <w:rPr>
                <w:spacing w:val="-47"/>
                <w:sz w:val="20"/>
              </w:rPr>
              <w:t> </w:t>
            </w:r>
            <w:r>
              <w:rPr>
                <w:sz w:val="20"/>
              </w:rPr>
              <w:t>defined</w:t>
            </w:r>
            <w:r>
              <w:rPr>
                <w:spacing w:val="-3"/>
                <w:sz w:val="20"/>
              </w:rPr>
              <w:t> </w:t>
            </w:r>
            <w:r>
              <w:rPr>
                <w:sz w:val="20"/>
              </w:rPr>
              <w:t>and implemented;</w:t>
            </w:r>
            <w:r>
              <w:rPr>
                <w:spacing w:val="-2"/>
                <w:sz w:val="20"/>
              </w:rPr>
              <w:t> </w:t>
            </w:r>
            <w:r>
              <w:rPr>
                <w:sz w:val="20"/>
              </w:rPr>
              <w:t>simplified</w:t>
            </w:r>
            <w:r>
              <w:rPr>
                <w:spacing w:val="-1"/>
                <w:sz w:val="20"/>
              </w:rPr>
              <w:t> </w:t>
            </w:r>
            <w:r>
              <w:rPr>
                <w:sz w:val="20"/>
              </w:rPr>
              <w:t>adoption</w:t>
            </w:r>
            <w:r>
              <w:rPr>
                <w:spacing w:val="-2"/>
                <w:sz w:val="20"/>
              </w:rPr>
              <w:t> </w:t>
            </w:r>
            <w:r>
              <w:rPr>
                <w:sz w:val="20"/>
              </w:rPr>
              <w:t>of</w:t>
            </w:r>
            <w:r>
              <w:rPr>
                <w:spacing w:val="-2"/>
                <w:sz w:val="20"/>
              </w:rPr>
              <w:t> </w:t>
            </w:r>
            <w:r>
              <w:rPr>
                <w:sz w:val="20"/>
              </w:rPr>
              <w:t>new</w:t>
            </w:r>
            <w:r>
              <w:rPr>
                <w:spacing w:val="-2"/>
                <w:sz w:val="20"/>
              </w:rPr>
              <w:t> </w:t>
            </w:r>
            <w:r>
              <w:rPr>
                <w:sz w:val="20"/>
              </w:rPr>
              <w:t>countermeasures</w:t>
            </w:r>
          </w:p>
        </w:tc>
      </w:tr>
    </w:tbl>
    <w:p>
      <w:pPr>
        <w:pStyle w:val="BodyText"/>
        <w:spacing w:before="1"/>
        <w:rPr>
          <w:sz w:val="13"/>
        </w:rPr>
      </w:pPr>
    </w:p>
    <w:p>
      <w:pPr>
        <w:pStyle w:val="BodyText"/>
        <w:spacing w:line="259" w:lineRule="auto" w:before="90"/>
        <w:ind w:left="119" w:right="372"/>
      </w:pPr>
      <w:r>
        <w:rPr/>
        <w:t>The TIC security objectives can be mapped to the five functions of the National Institute of Standards and</w:t>
      </w:r>
      <w:r>
        <w:rPr>
          <w:spacing w:val="-52"/>
        </w:rPr>
        <w:t> </w:t>
      </w:r>
      <w:r>
        <w:rPr/>
        <w:t>Technology (NIST) Cybersecurity Framework (CSF)</w:t>
      </w:r>
      <w:hyperlink w:history="true" w:anchor="_bookmark11">
        <w:r>
          <w:rPr>
            <w:vertAlign w:val="superscript"/>
          </w:rPr>
          <w:t>4</w:t>
        </w:r>
      </w:hyperlink>
      <w:r>
        <w:rPr>
          <w:vertAlign w:val="baseline"/>
        </w:rPr>
        <w:t>: Identify, Protect, Detect, Respond, and Recover.</w:t>
      </w:r>
      <w:r>
        <w:rPr>
          <w:spacing w:val="1"/>
          <w:vertAlign w:val="baseline"/>
        </w:rPr>
        <w:t> </w:t>
      </w:r>
      <w:r>
        <w:rPr>
          <w:vertAlign w:val="baseline"/>
        </w:rPr>
        <w:t>The relationship between the CSF and TIC security objectives is depicted in Figure 2. Furthermore, the</w:t>
      </w:r>
      <w:r>
        <w:rPr>
          <w:spacing w:val="1"/>
          <w:vertAlign w:val="baseline"/>
        </w:rPr>
        <w:t> </w:t>
      </w:r>
      <w:r>
        <w:rPr>
          <w:vertAlign w:val="baseline"/>
        </w:rPr>
        <w:t>TIC security capabilities are mapped to the NIST CSF in the Security Capabilities Catalog in the</w:t>
      </w:r>
      <w:r>
        <w:rPr>
          <w:spacing w:val="1"/>
          <w:vertAlign w:val="baseline"/>
        </w:rPr>
        <w:t> </w:t>
      </w:r>
      <w:r>
        <w:rPr>
          <w:vertAlign w:val="baseline"/>
        </w:rPr>
        <w:t>following sections. This mapping will facilitate the development of TIC overlays for several of the more</w:t>
      </w:r>
      <w:r>
        <w:rPr>
          <w:spacing w:val="1"/>
          <w:vertAlign w:val="baseline"/>
        </w:rPr>
        <w:t> </w:t>
      </w:r>
      <w:r>
        <w:rPr>
          <w:vertAlign w:val="baseline"/>
        </w:rPr>
        <w:t>widely</w:t>
      </w:r>
      <w:r>
        <w:rPr>
          <w:spacing w:val="-1"/>
          <w:vertAlign w:val="baseline"/>
        </w:rPr>
        <w:t> </w:t>
      </w:r>
      <w:r>
        <w:rPr>
          <w:vertAlign w:val="baseline"/>
        </w:rPr>
        <w:t>used vendors.</w:t>
      </w:r>
    </w:p>
    <w:p>
      <w:pPr>
        <w:pStyle w:val="BodyText"/>
        <w:spacing w:before="8"/>
        <w:rPr>
          <w:sz w:val="15"/>
        </w:rPr>
      </w:pPr>
      <w:r>
        <w:rPr/>
        <w:drawing>
          <wp:anchor distT="0" distB="0" distL="0" distR="0" allowOverlap="1" layoutInCell="1" locked="0" behindDoc="0" simplePos="0" relativeHeight="7">
            <wp:simplePos x="0" y="0"/>
            <wp:positionH relativeFrom="page">
              <wp:posOffset>969836</wp:posOffset>
            </wp:positionH>
            <wp:positionV relativeFrom="paragraph">
              <wp:posOffset>130412</wp:posOffset>
            </wp:positionV>
            <wp:extent cx="5889341" cy="2492311"/>
            <wp:effectExtent l="0" t="0" r="0" b="0"/>
            <wp:wrapTopAndBottom/>
            <wp:docPr id="7" name="image4.jpeg" descr="The diagram maps the Cybersecurity Framework functions to the TIC objectives.  The Identify, Detect, Protect, and Respond functions map to the Ensure Effective Response objective. The Identify, Detect, Protect, and Recover functions map to the Ensure Service Resiliency objective. The Protect, Detect, and Respond functions map to the Protect Traffic Integrity objectives.  The Identify, Detect, Protect, Respond, and Recover functions map to the Manage Traffic and Protect Traffic Confidentiality objectives.   "/>
            <wp:cNvGraphicFramePr>
              <a:graphicFrameLocks noChangeAspect="1"/>
            </wp:cNvGraphicFramePr>
            <a:graphic>
              <a:graphicData uri="http://schemas.openxmlformats.org/drawingml/2006/picture">
                <pic:pic>
                  <pic:nvPicPr>
                    <pic:cNvPr id="8" name="image4.jpeg"/>
                    <pic:cNvPicPr/>
                  </pic:nvPicPr>
                  <pic:blipFill>
                    <a:blip r:embed="rId16" cstate="print"/>
                    <a:stretch>
                      <a:fillRect/>
                    </a:stretch>
                  </pic:blipFill>
                  <pic:spPr>
                    <a:xfrm>
                      <a:off x="0" y="0"/>
                      <a:ext cx="5889341" cy="2492311"/>
                    </a:xfrm>
                    <a:prstGeom prst="rect">
                      <a:avLst/>
                    </a:prstGeom>
                  </pic:spPr>
                </pic:pic>
              </a:graphicData>
            </a:graphic>
          </wp:anchor>
        </w:drawing>
      </w:r>
    </w:p>
    <w:p>
      <w:pPr>
        <w:pStyle w:val="BodyText"/>
        <w:spacing w:before="3"/>
        <w:rPr>
          <w:sz w:val="24"/>
        </w:rPr>
      </w:pPr>
    </w:p>
    <w:p>
      <w:pPr>
        <w:spacing w:before="0"/>
        <w:ind w:left="1772" w:right="2008" w:firstLine="0"/>
        <w:jc w:val="center"/>
        <w:rPr>
          <w:i/>
          <w:sz w:val="18"/>
        </w:rPr>
      </w:pPr>
      <w:bookmarkStart w:name="_bookmark10" w:id="19"/>
      <w:bookmarkEnd w:id="19"/>
      <w:r>
        <w:rPr/>
      </w:r>
      <w:r>
        <w:rPr>
          <w:i/>
          <w:sz w:val="18"/>
        </w:rPr>
        <w:t>Figure</w:t>
      </w:r>
      <w:r>
        <w:rPr>
          <w:i/>
          <w:spacing w:val="-2"/>
          <w:sz w:val="18"/>
        </w:rPr>
        <w:t> </w:t>
      </w:r>
      <w:r>
        <w:rPr>
          <w:i/>
          <w:sz w:val="18"/>
        </w:rPr>
        <w:t>2:</w:t>
      </w:r>
      <w:r>
        <w:rPr>
          <w:i/>
          <w:spacing w:val="-3"/>
          <w:sz w:val="18"/>
        </w:rPr>
        <w:t> </w:t>
      </w:r>
      <w:r>
        <w:rPr>
          <w:i/>
          <w:sz w:val="18"/>
        </w:rPr>
        <w:t>TIC</w:t>
      </w:r>
      <w:r>
        <w:rPr>
          <w:i/>
          <w:spacing w:val="-2"/>
          <w:sz w:val="18"/>
        </w:rPr>
        <w:t> </w:t>
      </w:r>
      <w:r>
        <w:rPr>
          <w:i/>
          <w:sz w:val="18"/>
        </w:rPr>
        <w:t>Lens</w:t>
      </w:r>
      <w:r>
        <w:rPr>
          <w:i/>
          <w:spacing w:val="-2"/>
          <w:sz w:val="18"/>
        </w:rPr>
        <w:t> </w:t>
      </w:r>
      <w:r>
        <w:rPr>
          <w:i/>
          <w:sz w:val="18"/>
        </w:rPr>
        <w:t>on</w:t>
      </w:r>
      <w:r>
        <w:rPr>
          <w:i/>
          <w:spacing w:val="-2"/>
          <w:sz w:val="18"/>
        </w:rPr>
        <w:t> </w:t>
      </w:r>
      <w:r>
        <w:rPr>
          <w:i/>
          <w:sz w:val="18"/>
        </w:rPr>
        <w:t>the</w:t>
      </w:r>
      <w:r>
        <w:rPr>
          <w:i/>
          <w:spacing w:val="-1"/>
          <w:sz w:val="18"/>
        </w:rPr>
        <w:t> </w:t>
      </w:r>
      <w:r>
        <w:rPr>
          <w:i/>
          <w:sz w:val="18"/>
        </w:rPr>
        <w:t>Cybersecurity</w:t>
      </w:r>
      <w:r>
        <w:rPr>
          <w:i/>
          <w:spacing w:val="-3"/>
          <w:sz w:val="18"/>
        </w:rPr>
        <w:t> </w:t>
      </w:r>
      <w:r>
        <w:rPr>
          <w:i/>
          <w:sz w:val="18"/>
        </w:rPr>
        <w:t>Framework</w:t>
      </w:r>
      <w:r>
        <w:rPr>
          <w:i/>
          <w:spacing w:val="-1"/>
          <w:sz w:val="18"/>
        </w:rPr>
        <w:t> </w:t>
      </w:r>
      <w:r>
        <w:rPr>
          <w:i/>
          <w:sz w:val="18"/>
        </w:rPr>
        <w:t>Functions</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9"/>
        </w:rPr>
      </w:pPr>
    </w:p>
    <w:p>
      <w:pPr>
        <w:spacing w:line="244" w:lineRule="auto" w:before="128"/>
        <w:ind w:left="119" w:right="455" w:firstLine="0"/>
        <w:jc w:val="left"/>
        <w:rPr>
          <w:sz w:val="20"/>
        </w:rPr>
      </w:pPr>
      <w:bookmarkStart w:name="_bookmark11" w:id="20"/>
      <w:bookmarkEnd w:id="20"/>
      <w:r>
        <w:rPr/>
      </w:r>
      <w:r>
        <w:rPr>
          <w:sz w:val="20"/>
          <w:vertAlign w:val="superscript"/>
        </w:rPr>
        <w:t>4</w:t>
      </w:r>
      <w:r>
        <w:rPr>
          <w:sz w:val="20"/>
          <w:vertAlign w:val="baseline"/>
        </w:rPr>
        <w:t> “Framework for Improving Critical Infrastructure Cybersecurity,” National Institute of Standards and Technology</w:t>
      </w:r>
      <w:r>
        <w:rPr>
          <w:spacing w:val="-47"/>
          <w:sz w:val="20"/>
          <w:vertAlign w:val="baseline"/>
        </w:rPr>
        <w:t> </w:t>
      </w:r>
      <w:r>
        <w:rPr>
          <w:sz w:val="20"/>
          <w:vertAlign w:val="baseline"/>
        </w:rPr>
        <w:t>SP</w:t>
      </w:r>
      <w:r>
        <w:rPr>
          <w:spacing w:val="-2"/>
          <w:sz w:val="20"/>
          <w:vertAlign w:val="baseline"/>
        </w:rPr>
        <w:t> </w:t>
      </w:r>
      <w:r>
        <w:rPr>
          <w:sz w:val="20"/>
          <w:vertAlign w:val="baseline"/>
        </w:rPr>
        <w:t>800-53 Rev</w:t>
      </w:r>
      <w:r>
        <w:rPr>
          <w:spacing w:val="-2"/>
          <w:sz w:val="20"/>
          <w:vertAlign w:val="baseline"/>
        </w:rPr>
        <w:t> </w:t>
      </w:r>
      <w:r>
        <w:rPr>
          <w:sz w:val="20"/>
          <w:vertAlign w:val="baseline"/>
        </w:rPr>
        <w:t>1.1</w:t>
      </w:r>
      <w:r>
        <w:rPr>
          <w:spacing w:val="-2"/>
          <w:sz w:val="20"/>
          <w:vertAlign w:val="baseline"/>
        </w:rPr>
        <w:t> </w:t>
      </w:r>
      <w:r>
        <w:rPr>
          <w:sz w:val="20"/>
          <w:vertAlign w:val="baseline"/>
        </w:rPr>
        <w:t>(2018).</w:t>
      </w:r>
      <w:r>
        <w:rPr>
          <w:spacing w:val="-2"/>
          <w:sz w:val="20"/>
          <w:vertAlign w:val="baseline"/>
        </w:rPr>
        <w:t> </w:t>
      </w:r>
      <w:r>
        <w:rPr>
          <w:sz w:val="20"/>
          <w:vertAlign w:val="baseline"/>
        </w:rPr>
        <w:t>https://nvlpubs.nist.gov/nistpubs/CSWP/NIST.CSWP.04162018.pdf.</w:t>
      </w:r>
    </w:p>
    <w:p>
      <w:pPr>
        <w:spacing w:after="0" w:line="244" w:lineRule="auto"/>
        <w:jc w:val="left"/>
        <w:rPr>
          <w:sz w:val="20"/>
        </w:rPr>
        <w:sectPr>
          <w:headerReference w:type="default" r:id="rId14"/>
          <w:footerReference w:type="default" r:id="rId15"/>
          <w:pgSz w:w="12240" w:h="15840"/>
          <w:pgMar w:header="730" w:footer="1160" w:top="960" w:bottom="1340" w:left="1320" w:right="1080"/>
        </w:sectPr>
      </w:pPr>
    </w:p>
    <w:p>
      <w:pPr>
        <w:pStyle w:val="BodyText"/>
        <w:rPr>
          <w:sz w:val="20"/>
        </w:rPr>
      </w:pPr>
    </w:p>
    <w:p>
      <w:pPr>
        <w:pStyle w:val="Heading1"/>
        <w:numPr>
          <w:ilvl w:val="0"/>
          <w:numId w:val="4"/>
        </w:numPr>
        <w:tabs>
          <w:tab w:pos="552" w:val="left" w:leader="none"/>
        </w:tabs>
        <w:spacing w:line="240" w:lineRule="auto" w:before="237" w:after="0"/>
        <w:ind w:left="551" w:right="0" w:hanging="432"/>
        <w:jc w:val="left"/>
      </w:pPr>
      <w:bookmarkStart w:name="4. Security Capabilities List" w:id="21"/>
      <w:bookmarkEnd w:id="21"/>
      <w:r>
        <w:rPr/>
      </w:r>
      <w:bookmarkStart w:name="_bookmark12" w:id="22"/>
      <w:bookmarkEnd w:id="22"/>
      <w:r>
        <w:rPr/>
      </w:r>
      <w:bookmarkStart w:name="_bookmark12" w:id="23"/>
      <w:bookmarkEnd w:id="23"/>
      <w:r>
        <w:rPr/>
        <w:t>S</w:t>
      </w:r>
      <w:r>
        <w:rPr/>
        <w:t>ecurity</w:t>
      </w:r>
      <w:r>
        <w:rPr>
          <w:spacing w:val="-7"/>
        </w:rPr>
        <w:t> </w:t>
      </w:r>
      <w:r>
        <w:rPr/>
        <w:t>Capabilities</w:t>
      </w:r>
      <w:r>
        <w:rPr>
          <w:spacing w:val="-6"/>
        </w:rPr>
        <w:t> </w:t>
      </w:r>
      <w:r>
        <w:rPr/>
        <w:t>List</w:t>
      </w:r>
    </w:p>
    <w:p>
      <w:pPr>
        <w:pStyle w:val="BodyText"/>
        <w:spacing w:before="240"/>
        <w:ind w:left="120"/>
      </w:pPr>
      <w:r>
        <w:rPr/>
        <w:t>The</w:t>
      </w:r>
      <w:r>
        <w:rPr>
          <w:spacing w:val="-3"/>
        </w:rPr>
        <w:t> </w:t>
      </w:r>
      <w:r>
        <w:rPr/>
        <w:t>security</w:t>
      </w:r>
      <w:r>
        <w:rPr>
          <w:spacing w:val="-2"/>
        </w:rPr>
        <w:t> </w:t>
      </w:r>
      <w:r>
        <w:rPr/>
        <w:t>capabilities</w:t>
      </w:r>
      <w:r>
        <w:rPr>
          <w:spacing w:val="-4"/>
        </w:rPr>
        <w:t> </w:t>
      </w:r>
      <w:r>
        <w:rPr/>
        <w:t>list</w:t>
      </w:r>
      <w:r>
        <w:rPr>
          <w:spacing w:val="-2"/>
        </w:rPr>
        <w:t> </w:t>
      </w:r>
      <w:r>
        <w:rPr/>
        <w:t>is</w:t>
      </w:r>
      <w:r>
        <w:rPr>
          <w:spacing w:val="-3"/>
        </w:rPr>
        <w:t> </w:t>
      </w:r>
      <w:r>
        <w:rPr/>
        <w:t>composed</w:t>
      </w:r>
      <w:r>
        <w:rPr>
          <w:spacing w:val="-3"/>
        </w:rPr>
        <w:t> </w:t>
      </w:r>
      <w:r>
        <w:rPr/>
        <w:t>of</w:t>
      </w:r>
      <w:r>
        <w:rPr>
          <w:spacing w:val="-2"/>
        </w:rPr>
        <w:t> </w:t>
      </w:r>
      <w:r>
        <w:rPr/>
        <w:t>two</w:t>
      </w:r>
      <w:r>
        <w:rPr>
          <w:spacing w:val="-2"/>
        </w:rPr>
        <w:t> </w:t>
      </w:r>
      <w:r>
        <w:rPr/>
        <w:t>parts.</w:t>
      </w:r>
    </w:p>
    <w:p>
      <w:pPr>
        <w:pStyle w:val="ListParagraph"/>
        <w:numPr>
          <w:ilvl w:val="1"/>
          <w:numId w:val="4"/>
        </w:numPr>
        <w:tabs>
          <w:tab w:pos="839" w:val="left" w:leader="none"/>
          <w:tab w:pos="840" w:val="left" w:leader="none"/>
        </w:tabs>
        <w:spacing w:line="256" w:lineRule="auto" w:before="119" w:after="0"/>
        <w:ind w:left="840" w:right="956" w:hanging="361"/>
        <w:jc w:val="left"/>
        <w:rPr>
          <w:sz w:val="22"/>
        </w:rPr>
      </w:pPr>
      <w:r>
        <w:rPr>
          <w:b/>
          <w:sz w:val="22"/>
        </w:rPr>
        <w:t>Universal Security Capabilities: </w:t>
      </w:r>
      <w:r>
        <w:rPr>
          <w:sz w:val="22"/>
        </w:rPr>
        <w:t>Enterprise-level security capabilities that outline guiding</w:t>
      </w:r>
      <w:r>
        <w:rPr>
          <w:spacing w:val="-52"/>
          <w:sz w:val="22"/>
        </w:rPr>
        <w:t> </w:t>
      </w:r>
      <w:r>
        <w:rPr>
          <w:sz w:val="22"/>
        </w:rPr>
        <w:t>principles</w:t>
      </w:r>
      <w:r>
        <w:rPr>
          <w:spacing w:val="-2"/>
          <w:sz w:val="22"/>
        </w:rPr>
        <w:t> </w:t>
      </w:r>
      <w:r>
        <w:rPr>
          <w:sz w:val="22"/>
        </w:rPr>
        <w:t>for TIC use</w:t>
      </w:r>
      <w:r>
        <w:rPr>
          <w:spacing w:val="-1"/>
          <w:sz w:val="22"/>
        </w:rPr>
        <w:t> </w:t>
      </w:r>
      <w:r>
        <w:rPr>
          <w:sz w:val="22"/>
        </w:rPr>
        <w:t>cases.</w:t>
      </w:r>
    </w:p>
    <w:p>
      <w:pPr>
        <w:pStyle w:val="ListParagraph"/>
        <w:numPr>
          <w:ilvl w:val="1"/>
          <w:numId w:val="4"/>
        </w:numPr>
        <w:tabs>
          <w:tab w:pos="839" w:val="left" w:leader="none"/>
          <w:tab w:pos="841" w:val="left" w:leader="none"/>
        </w:tabs>
        <w:spacing w:line="256" w:lineRule="auto" w:before="4" w:after="0"/>
        <w:ind w:left="840" w:right="982" w:hanging="361"/>
        <w:jc w:val="left"/>
        <w:rPr>
          <w:sz w:val="22"/>
        </w:rPr>
      </w:pPr>
      <w:r>
        <w:rPr>
          <w:b/>
          <w:sz w:val="22"/>
        </w:rPr>
        <w:t>Policy Enforcement Point Security Capabilities: </w:t>
      </w:r>
      <w:r>
        <w:rPr>
          <w:sz w:val="22"/>
        </w:rPr>
        <w:t>Network-level security capabilities that</w:t>
      </w:r>
      <w:r>
        <w:rPr>
          <w:spacing w:val="-53"/>
          <w:sz w:val="22"/>
        </w:rPr>
        <w:t> </w:t>
      </w:r>
      <w:r>
        <w:rPr>
          <w:sz w:val="22"/>
        </w:rPr>
        <w:t>inform</w:t>
      </w:r>
      <w:r>
        <w:rPr>
          <w:spacing w:val="-2"/>
          <w:sz w:val="22"/>
        </w:rPr>
        <w:t> </w:t>
      </w:r>
      <w:r>
        <w:rPr>
          <w:sz w:val="22"/>
        </w:rPr>
        <w:t>technical implementation</w:t>
      </w:r>
      <w:r>
        <w:rPr>
          <w:spacing w:val="-1"/>
          <w:sz w:val="22"/>
        </w:rPr>
        <w:t> </w:t>
      </w:r>
      <w:r>
        <w:rPr>
          <w:sz w:val="22"/>
        </w:rPr>
        <w:t>for relevant</w:t>
      </w:r>
      <w:r>
        <w:rPr>
          <w:spacing w:val="-1"/>
          <w:sz w:val="22"/>
        </w:rPr>
        <w:t> </w:t>
      </w:r>
      <w:r>
        <w:rPr>
          <w:sz w:val="22"/>
        </w:rPr>
        <w:t>use</w:t>
      </w:r>
      <w:r>
        <w:rPr>
          <w:spacing w:val="-2"/>
          <w:sz w:val="22"/>
        </w:rPr>
        <w:t> </w:t>
      </w:r>
      <w:r>
        <w:rPr>
          <w:sz w:val="22"/>
        </w:rPr>
        <w:t>cases.</w:t>
      </w:r>
    </w:p>
    <w:p>
      <w:pPr>
        <w:pStyle w:val="BodyText"/>
        <w:spacing w:before="162"/>
        <w:ind w:left="119" w:right="444"/>
      </w:pPr>
      <w:r>
        <w:rPr/>
        <w:t>The security capabilities are intended to fulfill the TIC objectives outlined in Section 3. The Security</w:t>
      </w:r>
      <w:r>
        <w:rPr>
          <w:spacing w:val="1"/>
        </w:rPr>
        <w:t> </w:t>
      </w:r>
      <w:r>
        <w:rPr/>
        <w:t>Capabilities Catalog is not intended to be an exhaustive listing, and it does not provide detailed guidance</w:t>
      </w:r>
      <w:r>
        <w:rPr>
          <w:spacing w:val="-52"/>
        </w:rPr>
        <w:t> </w:t>
      </w:r>
      <w:r>
        <w:rPr/>
        <w:t>about how to deploy each capability. The purpose of the Security Capabilities Catalog is to provide goals</w:t>
      </w:r>
      <w:r>
        <w:rPr>
          <w:spacing w:val="-53"/>
        </w:rPr>
        <w:t> </w:t>
      </w:r>
      <w:r>
        <w:rPr/>
        <w:t>to be achieved, not detailed guidance on how to accomplish these goals. As such, the choice of which</w:t>
      </w:r>
      <w:r>
        <w:rPr>
          <w:spacing w:val="1"/>
        </w:rPr>
        <w:t> </w:t>
      </w:r>
      <w:r>
        <w:rPr/>
        <w:t>solution or solutions to employ is left for each agency to determine, as they balance application and rigor</w:t>
      </w:r>
      <w:r>
        <w:rPr>
          <w:spacing w:val="-52"/>
        </w:rPr>
        <w:t> </w:t>
      </w:r>
      <w:r>
        <w:rPr/>
        <w:t>of</w:t>
      </w:r>
      <w:r>
        <w:rPr>
          <w:spacing w:val="-1"/>
        </w:rPr>
        <w:t> </w:t>
      </w:r>
      <w:r>
        <w:rPr/>
        <w:t>security capabilities</w:t>
      </w:r>
      <w:r>
        <w:rPr>
          <w:spacing w:val="-1"/>
        </w:rPr>
        <w:t> </w:t>
      </w:r>
      <w:r>
        <w:rPr/>
        <w:t>with their</w:t>
      </w:r>
      <w:r>
        <w:rPr>
          <w:spacing w:val="-1"/>
        </w:rPr>
        <w:t> </w:t>
      </w:r>
      <w:r>
        <w:rPr/>
        <w:t>risk tolerance.</w:t>
      </w:r>
    </w:p>
    <w:p>
      <w:pPr>
        <w:pStyle w:val="BodyText"/>
        <w:spacing w:before="120"/>
        <w:ind w:left="118" w:right="366"/>
      </w:pPr>
      <w:r>
        <w:rPr/>
        <w:t>Security capabilities can be achieved using agency-hosted solutions, leveraging offerings from vendors,</w:t>
      </w:r>
      <w:r>
        <w:rPr>
          <w:spacing w:val="1"/>
        </w:rPr>
        <w:t> </w:t>
      </w:r>
      <w:r>
        <w:rPr/>
        <w:t>consolidating disparate services into federated options, employing centralized management tools, or any</w:t>
      </w:r>
      <w:r>
        <w:rPr>
          <w:spacing w:val="1"/>
        </w:rPr>
        <w:t> </w:t>
      </w:r>
      <w:r>
        <w:rPr/>
        <w:t>combination thereof. While the choice of which solution or solutions to employ is left to the agency based</w:t>
      </w:r>
      <w:r>
        <w:rPr>
          <w:spacing w:val="-53"/>
        </w:rPr>
        <w:t> </w:t>
      </w:r>
      <w:r>
        <w:rPr/>
        <w:t>upon their needs, care should be taken to ensure PEP parity. Once an agency determines that a particular</w:t>
      </w:r>
      <w:r>
        <w:rPr>
          <w:spacing w:val="1"/>
        </w:rPr>
        <w:t> </w:t>
      </w:r>
      <w:r>
        <w:rPr/>
        <w:t>security capability is required to protect their network or data, the agency needs to make sure that security</w:t>
      </w:r>
      <w:r>
        <w:rPr>
          <w:spacing w:val="-52"/>
        </w:rPr>
        <w:t> </w:t>
      </w:r>
      <w:r>
        <w:rPr/>
        <w:t>capability</w:t>
      </w:r>
      <w:r>
        <w:rPr>
          <w:spacing w:val="-1"/>
        </w:rPr>
        <w:t> </w:t>
      </w:r>
      <w:r>
        <w:rPr/>
        <w:t>is</w:t>
      </w:r>
      <w:r>
        <w:rPr>
          <w:spacing w:val="-1"/>
        </w:rPr>
        <w:t> </w:t>
      </w:r>
      <w:r>
        <w:rPr/>
        <w:t>implemented</w:t>
      </w:r>
      <w:r>
        <w:rPr>
          <w:spacing w:val="-1"/>
        </w:rPr>
        <w:t> </w:t>
      </w:r>
      <w:r>
        <w:rPr/>
        <w:t>at all</w:t>
      </w:r>
      <w:r>
        <w:rPr>
          <w:spacing w:val="-1"/>
        </w:rPr>
        <w:t> </w:t>
      </w:r>
      <w:r>
        <w:rPr/>
        <w:t>access</w:t>
      </w:r>
      <w:r>
        <w:rPr>
          <w:spacing w:val="-1"/>
        </w:rPr>
        <w:t> </w:t>
      </w:r>
      <w:r>
        <w:rPr/>
        <w:t>points</w:t>
      </w:r>
      <w:r>
        <w:rPr>
          <w:spacing w:val="-2"/>
        </w:rPr>
        <w:t> </w:t>
      </w:r>
      <w:r>
        <w:rPr/>
        <w:t>to the</w:t>
      </w:r>
      <w:r>
        <w:rPr>
          <w:spacing w:val="-1"/>
        </w:rPr>
        <w:t> </w:t>
      </w:r>
      <w:r>
        <w:rPr/>
        <w:t>network</w:t>
      </w:r>
      <w:r>
        <w:rPr>
          <w:spacing w:val="-1"/>
        </w:rPr>
        <w:t> </w:t>
      </w:r>
      <w:r>
        <w:rPr/>
        <w:t>or data.</w:t>
      </w:r>
    </w:p>
    <w:p>
      <w:pPr>
        <w:pStyle w:val="BodyText"/>
        <w:spacing w:before="120"/>
        <w:ind w:left="118" w:right="507"/>
      </w:pPr>
      <w:r>
        <w:rPr/>
        <w:t>With respect to telemetry, both CISA and the agencies themselves require visibility, both relying on</w:t>
      </w:r>
      <w:r>
        <w:rPr>
          <w:spacing w:val="1"/>
        </w:rPr>
        <w:t> </w:t>
      </w:r>
      <w:r>
        <w:rPr/>
        <w:t>common data sources. Since visibility requirements will often align, the same telemetry may be used for</w:t>
      </w:r>
      <w:r>
        <w:rPr>
          <w:spacing w:val="-52"/>
        </w:rPr>
        <w:t> </w:t>
      </w:r>
      <w:r>
        <w:rPr/>
        <w:t>both CISA and agency purposes (if desired) to simplify collection. Whereas previously a 24-hour packet</w:t>
      </w:r>
      <w:r>
        <w:rPr>
          <w:spacing w:val="-53"/>
        </w:rPr>
        <w:t> </w:t>
      </w:r>
      <w:r>
        <w:rPr/>
        <w:t>capture was required, in this iteration of TIC there are no longer any explicit telemetry collection</w:t>
      </w:r>
      <w:r>
        <w:rPr>
          <w:spacing w:val="1"/>
        </w:rPr>
        <w:t> </w:t>
      </w:r>
      <w:r>
        <w:rPr/>
        <w:t>requirements specified related to duration or timeliness. Agencies remain free to address any unique</w:t>
      </w:r>
      <w:r>
        <w:rPr>
          <w:spacing w:val="1"/>
        </w:rPr>
        <w:t> </w:t>
      </w:r>
      <w:r>
        <w:rPr/>
        <w:t>telemetry</w:t>
      </w:r>
      <w:r>
        <w:rPr>
          <w:spacing w:val="-1"/>
        </w:rPr>
        <w:t> </w:t>
      </w:r>
      <w:r>
        <w:rPr/>
        <w:t>requirements</w:t>
      </w:r>
      <w:r>
        <w:rPr>
          <w:spacing w:val="-1"/>
        </w:rPr>
        <w:t> </w:t>
      </w:r>
      <w:r>
        <w:rPr/>
        <w:t>beyond</w:t>
      </w:r>
      <w:r>
        <w:rPr>
          <w:spacing w:val="-1"/>
        </w:rPr>
        <w:t> </w:t>
      </w:r>
      <w:r>
        <w:rPr/>
        <w:t>those</w:t>
      </w:r>
      <w:r>
        <w:rPr>
          <w:spacing w:val="-1"/>
        </w:rPr>
        <w:t> </w:t>
      </w:r>
      <w:r>
        <w:rPr/>
        <w:t>required</w:t>
      </w:r>
      <w:r>
        <w:rPr>
          <w:spacing w:val="-1"/>
        </w:rPr>
        <w:t> </w:t>
      </w:r>
      <w:r>
        <w:rPr/>
        <w:t>by CISA.</w:t>
      </w:r>
    </w:p>
    <w:p>
      <w:pPr>
        <w:pStyle w:val="BodyText"/>
        <w:spacing w:before="11"/>
        <w:rPr>
          <w:sz w:val="20"/>
        </w:rPr>
      </w:pPr>
    </w:p>
    <w:p>
      <w:pPr>
        <w:pStyle w:val="Heading2"/>
        <w:numPr>
          <w:ilvl w:val="1"/>
          <w:numId w:val="5"/>
        </w:numPr>
        <w:tabs>
          <w:tab w:pos="695" w:val="left" w:leader="none"/>
          <w:tab w:pos="696" w:val="left" w:leader="none"/>
        </w:tabs>
        <w:spacing w:line="240" w:lineRule="auto" w:before="0" w:after="0"/>
        <w:ind w:left="695" w:right="0" w:hanging="576"/>
        <w:jc w:val="left"/>
      </w:pPr>
      <w:bookmarkStart w:name="4.1 Universal Security Capabilities" w:id="24"/>
      <w:bookmarkEnd w:id="24"/>
      <w:r>
        <w:rPr/>
      </w:r>
      <w:bookmarkStart w:name="_bookmark13" w:id="25"/>
      <w:bookmarkEnd w:id="25"/>
      <w:r>
        <w:rPr/>
      </w:r>
      <w:bookmarkStart w:name="_bookmark13" w:id="26"/>
      <w:bookmarkEnd w:id="26"/>
      <w:r>
        <w:rPr/>
        <w:t>U</w:t>
      </w:r>
      <w:r>
        <w:rPr/>
        <w:t>niversal</w:t>
      </w:r>
      <w:r>
        <w:rPr>
          <w:spacing w:val="-7"/>
        </w:rPr>
        <w:t> </w:t>
      </w:r>
      <w:r>
        <w:rPr/>
        <w:t>Security</w:t>
      </w:r>
      <w:r>
        <w:rPr>
          <w:spacing w:val="-6"/>
        </w:rPr>
        <w:t> </w:t>
      </w:r>
      <w:r>
        <w:rPr/>
        <w:t>Capabilities</w:t>
      </w:r>
    </w:p>
    <w:p>
      <w:pPr>
        <w:pStyle w:val="BodyText"/>
        <w:spacing w:before="239"/>
        <w:ind w:left="119" w:right="434"/>
      </w:pPr>
      <w:r>
        <w:rPr/>
        <w:t>Universal security capabilities are enterprise-level capabilities that outline guiding principles for TIC use</w:t>
      </w:r>
      <w:r>
        <w:rPr>
          <w:spacing w:val="-52"/>
        </w:rPr>
        <w:t> </w:t>
      </w:r>
      <w:r>
        <w:rPr/>
        <w:t>cases. Universal security capabilities are selected to be broadly applicable; the same list of capabilities</w:t>
      </w:r>
      <w:r>
        <w:rPr>
          <w:spacing w:val="1"/>
        </w:rPr>
        <w:t> </w:t>
      </w:r>
      <w:r>
        <w:rPr/>
        <w:t>apply to every use case. However, certain use cases may provide unique guidance on specific capabilities</w:t>
      </w:r>
      <w:r>
        <w:rPr>
          <w:spacing w:val="-53"/>
        </w:rPr>
        <w:t> </w:t>
      </w:r>
      <w:r>
        <w:rPr/>
        <w:t>where</w:t>
      </w:r>
      <w:r>
        <w:rPr>
          <w:spacing w:val="-2"/>
        </w:rPr>
        <w:t> </w:t>
      </w:r>
      <w:r>
        <w:rPr/>
        <w:t>necessary.</w:t>
      </w:r>
    </w:p>
    <w:p>
      <w:pPr>
        <w:pStyle w:val="BodyText"/>
        <w:spacing w:before="120"/>
        <w:ind w:left="119" w:right="746"/>
      </w:pPr>
      <w:r>
        <w:rPr/>
        <w:t>Agencies have significant discretion regarding how to meet the individual security capabilities and</w:t>
      </w:r>
      <w:r>
        <w:rPr>
          <w:spacing w:val="1"/>
        </w:rPr>
        <w:t> </w:t>
      </w:r>
      <w:r>
        <w:rPr/>
        <w:t>address their particular needs. Agencies are free to determine the level of rigor necessary for applying</w:t>
      </w:r>
      <w:r>
        <w:rPr>
          <w:spacing w:val="-52"/>
        </w:rPr>
        <w:t> </w:t>
      </w:r>
      <w:r>
        <w:rPr/>
        <w:t>universal capabilities based on federal guidelines and their risk tolerance. While it is expected that</w:t>
      </w:r>
      <w:r>
        <w:rPr>
          <w:spacing w:val="1"/>
        </w:rPr>
        <w:t> </w:t>
      </w:r>
      <w:r>
        <w:rPr/>
        <w:t>agencies may often be able to employ a common solution to fulfill multiple roles or serve multiple</w:t>
      </w:r>
      <w:r>
        <w:rPr>
          <w:spacing w:val="1"/>
        </w:rPr>
        <w:t> </w:t>
      </w:r>
      <w:r>
        <w:rPr/>
        <w:t>purposes,</w:t>
      </w:r>
      <w:r>
        <w:rPr>
          <w:spacing w:val="-1"/>
        </w:rPr>
        <w:t> </w:t>
      </w:r>
      <w:r>
        <w:rPr/>
        <w:t>the</w:t>
      </w:r>
      <w:r>
        <w:rPr>
          <w:spacing w:val="-3"/>
        </w:rPr>
        <w:t> </w:t>
      </w:r>
      <w:r>
        <w:rPr/>
        <w:t>selection of</w:t>
      </w:r>
      <w:r>
        <w:rPr>
          <w:spacing w:val="-1"/>
        </w:rPr>
        <w:t> </w:t>
      </w:r>
      <w:r>
        <w:rPr/>
        <w:t>an</w:t>
      </w:r>
      <w:r>
        <w:rPr>
          <w:spacing w:val="-1"/>
        </w:rPr>
        <w:t> </w:t>
      </w:r>
      <w:r>
        <w:rPr/>
        <w:t>appropriate</w:t>
      </w:r>
      <w:r>
        <w:rPr>
          <w:spacing w:val="-2"/>
        </w:rPr>
        <w:t> </w:t>
      </w:r>
      <w:r>
        <w:rPr/>
        <w:t>set</w:t>
      </w:r>
      <w:r>
        <w:rPr>
          <w:spacing w:val="-1"/>
        </w:rPr>
        <w:t> </w:t>
      </w:r>
      <w:r>
        <w:rPr/>
        <w:t>of</w:t>
      </w:r>
      <w:r>
        <w:rPr>
          <w:spacing w:val="-1"/>
        </w:rPr>
        <w:t> </w:t>
      </w:r>
      <w:r>
        <w:rPr/>
        <w:t>solutions</w:t>
      </w:r>
      <w:r>
        <w:rPr>
          <w:spacing w:val="-1"/>
        </w:rPr>
        <w:t> </w:t>
      </w:r>
      <w:r>
        <w:rPr/>
        <w:t>is</w:t>
      </w:r>
      <w:r>
        <w:rPr>
          <w:spacing w:val="-2"/>
        </w:rPr>
        <w:t> </w:t>
      </w:r>
      <w:r>
        <w:rPr/>
        <w:t>left to</w:t>
      </w:r>
      <w:r>
        <w:rPr>
          <w:spacing w:val="-1"/>
        </w:rPr>
        <w:t> </w:t>
      </w:r>
      <w:r>
        <w:rPr/>
        <w:t>each</w:t>
      </w:r>
      <w:r>
        <w:rPr>
          <w:spacing w:val="-1"/>
        </w:rPr>
        <w:t> </w:t>
      </w:r>
      <w:r>
        <w:rPr/>
        <w:t>agency.</w:t>
      </w:r>
    </w:p>
    <w:p>
      <w:pPr>
        <w:spacing w:after="0"/>
        <w:sectPr>
          <w:headerReference w:type="default" r:id="rId17"/>
          <w:footerReference w:type="default" r:id="rId18"/>
          <w:pgSz w:w="12240" w:h="15840"/>
          <w:pgMar w:header="730" w:footer="764" w:top="960" w:bottom="960" w:left="1320" w:right="1080"/>
        </w:sectPr>
      </w:pPr>
    </w:p>
    <w:p>
      <w:pPr>
        <w:pStyle w:val="BodyText"/>
        <w:rPr>
          <w:sz w:val="20"/>
        </w:rPr>
      </w:pPr>
    </w:p>
    <w:p>
      <w:pPr>
        <w:pStyle w:val="BodyText"/>
        <w:spacing w:before="7"/>
        <w:rPr>
          <w:sz w:val="20"/>
        </w:rPr>
      </w:pPr>
    </w:p>
    <w:p>
      <w:pPr>
        <w:pStyle w:val="BodyText"/>
        <w:ind w:left="119" w:right="1301"/>
      </w:pPr>
      <w:r>
        <w:rPr/>
        <w:t>Table 3 below provides: (1) a list of the universal security capabilities, (2) a description of each</w:t>
      </w:r>
      <w:r>
        <w:rPr>
          <w:spacing w:val="-53"/>
        </w:rPr>
        <w:t> </w:t>
      </w:r>
      <w:r>
        <w:rPr/>
        <w:t>capability,</w:t>
      </w:r>
      <w:r>
        <w:rPr>
          <w:spacing w:val="-1"/>
        </w:rPr>
        <w:t> </w:t>
      </w:r>
      <w:r>
        <w:rPr/>
        <w:t>and</w:t>
      </w:r>
      <w:r>
        <w:rPr>
          <w:spacing w:val="-1"/>
        </w:rPr>
        <w:t> </w:t>
      </w:r>
      <w:r>
        <w:rPr/>
        <w:t>(3)</w:t>
      </w:r>
      <w:r>
        <w:rPr>
          <w:spacing w:val="-1"/>
        </w:rPr>
        <w:t> </w:t>
      </w:r>
      <w:r>
        <w:rPr/>
        <w:t>a</w:t>
      </w:r>
      <w:r>
        <w:rPr>
          <w:spacing w:val="-2"/>
        </w:rPr>
        <w:t> </w:t>
      </w:r>
      <w:r>
        <w:rPr/>
        <w:t>mapping</w:t>
      </w:r>
      <w:r>
        <w:rPr>
          <w:spacing w:val="-1"/>
        </w:rPr>
        <w:t> </w:t>
      </w:r>
      <w:r>
        <w:rPr/>
        <w:t>of</w:t>
      </w:r>
      <w:r>
        <w:rPr>
          <w:spacing w:val="-1"/>
        </w:rPr>
        <w:t> </w:t>
      </w:r>
      <w:r>
        <w:rPr/>
        <w:t>each</w:t>
      </w:r>
      <w:r>
        <w:rPr>
          <w:spacing w:val="-1"/>
        </w:rPr>
        <w:t> </w:t>
      </w:r>
      <w:r>
        <w:rPr/>
        <w:t>capability</w:t>
      </w:r>
      <w:r>
        <w:rPr>
          <w:spacing w:val="-1"/>
        </w:rPr>
        <w:t> </w:t>
      </w:r>
      <w:r>
        <w:rPr/>
        <w:t>to</w:t>
      </w:r>
      <w:r>
        <w:rPr>
          <w:spacing w:val="-2"/>
        </w:rPr>
        <w:t> </w:t>
      </w:r>
      <w:r>
        <w:rPr/>
        <w:t>relevant</w:t>
      </w:r>
      <w:r>
        <w:rPr>
          <w:spacing w:val="-2"/>
        </w:rPr>
        <w:t> </w:t>
      </w:r>
      <w:r>
        <w:rPr/>
        <w:t>NIST</w:t>
      </w:r>
      <w:r>
        <w:rPr>
          <w:spacing w:val="-1"/>
        </w:rPr>
        <w:t> </w:t>
      </w:r>
      <w:r>
        <w:rPr/>
        <w:t>CSF</w:t>
      </w:r>
      <w:r>
        <w:rPr>
          <w:spacing w:val="-1"/>
        </w:rPr>
        <w:t> </w:t>
      </w:r>
      <w:r>
        <w:rPr/>
        <w:t>categories.</w:t>
      </w:r>
    </w:p>
    <w:p>
      <w:pPr>
        <w:spacing w:before="200"/>
        <w:ind w:left="120" w:right="0" w:firstLine="0"/>
        <w:jc w:val="left"/>
        <w:rPr>
          <w:i/>
          <w:sz w:val="18"/>
        </w:rPr>
      </w:pPr>
      <w:bookmarkStart w:name="_bookmark14" w:id="27"/>
      <w:bookmarkEnd w:id="27"/>
      <w:r>
        <w:rPr/>
      </w:r>
      <w:r>
        <w:rPr>
          <w:i/>
          <w:sz w:val="18"/>
        </w:rPr>
        <w:t>Table</w:t>
      </w:r>
      <w:r>
        <w:rPr>
          <w:i/>
          <w:spacing w:val="-2"/>
          <w:sz w:val="18"/>
        </w:rPr>
        <w:t> </w:t>
      </w:r>
      <w:r>
        <w:rPr>
          <w:i/>
          <w:sz w:val="18"/>
        </w:rPr>
        <w:t>3:</w:t>
      </w:r>
      <w:r>
        <w:rPr>
          <w:i/>
          <w:spacing w:val="-3"/>
          <w:sz w:val="18"/>
        </w:rPr>
        <w:t> </w:t>
      </w:r>
      <w:r>
        <w:rPr>
          <w:i/>
          <w:sz w:val="18"/>
        </w:rPr>
        <w:t>Universal</w:t>
      </w:r>
      <w:r>
        <w:rPr>
          <w:i/>
          <w:spacing w:val="-3"/>
          <w:sz w:val="18"/>
        </w:rPr>
        <w:t> </w:t>
      </w:r>
      <w:r>
        <w:rPr>
          <w:i/>
          <w:sz w:val="18"/>
        </w:rPr>
        <w:t>Security</w:t>
      </w:r>
      <w:r>
        <w:rPr>
          <w:i/>
          <w:spacing w:val="-3"/>
          <w:sz w:val="18"/>
        </w:rPr>
        <w:t> </w:t>
      </w:r>
      <w:r>
        <w:rPr>
          <w:i/>
          <w:sz w:val="18"/>
        </w:rPr>
        <w:t>Capabilities</w:t>
      </w:r>
    </w:p>
    <w:p>
      <w:pPr>
        <w:pStyle w:val="BodyText"/>
        <w:spacing w:before="4"/>
        <w:rPr>
          <w:i/>
          <w:sz w:val="17"/>
        </w:rPr>
      </w:pPr>
    </w:p>
    <w:p>
      <w:pPr>
        <w:spacing w:before="0"/>
        <w:ind w:left="120" w:right="0" w:firstLine="0"/>
        <w:jc w:val="left"/>
        <w:rPr>
          <w:b/>
          <w:sz w:val="22"/>
        </w:rPr>
      </w:pPr>
      <w:r>
        <w:rPr>
          <w:b/>
          <w:sz w:val="22"/>
        </w:rPr>
        <w:t>Universal</w:t>
      </w:r>
      <w:r>
        <w:rPr>
          <w:b/>
          <w:spacing w:val="-7"/>
          <w:sz w:val="22"/>
        </w:rPr>
        <w:t> </w:t>
      </w:r>
      <w:r>
        <w:rPr>
          <w:b/>
          <w:sz w:val="22"/>
        </w:rPr>
        <w:t>Security</w:t>
      </w:r>
      <w:r>
        <w:rPr>
          <w:b/>
          <w:spacing w:val="-7"/>
          <w:sz w:val="22"/>
        </w:rPr>
        <w:t> </w:t>
      </w:r>
      <w:r>
        <w:rPr>
          <w:b/>
          <w:sz w:val="22"/>
        </w:rPr>
        <w:t>Capabilities</w:t>
      </w:r>
    </w:p>
    <w:p>
      <w:pPr>
        <w:pStyle w:val="BodyText"/>
        <w:spacing w:before="5"/>
        <w:rPr>
          <w:b/>
          <w:sz w:val="17"/>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07"/>
        <w:gridCol w:w="1591"/>
        <w:gridCol w:w="4843"/>
        <w:gridCol w:w="1584"/>
      </w:tblGrid>
      <w:tr>
        <w:trPr>
          <w:trHeight w:val="856" w:hRule="atLeast"/>
        </w:trPr>
        <w:tc>
          <w:tcPr>
            <w:tcW w:w="1607" w:type="dxa"/>
            <w:tcBorders>
              <w:top w:val="single" w:sz="4" w:space="0" w:color="0057B5"/>
              <w:bottom w:val="single" w:sz="4" w:space="0" w:color="0057B5"/>
            </w:tcBorders>
          </w:tcPr>
          <w:p>
            <w:pPr>
              <w:pStyle w:val="TableParagraph"/>
              <w:spacing w:before="0"/>
              <w:ind w:left="0"/>
              <w:rPr>
                <w:b/>
                <w:sz w:val="21"/>
              </w:rPr>
            </w:pPr>
          </w:p>
          <w:p>
            <w:pPr>
              <w:pStyle w:val="TableParagraph"/>
              <w:spacing w:before="0"/>
              <w:rPr>
                <w:b/>
                <w:sz w:val="22"/>
              </w:rPr>
            </w:pPr>
            <w:r>
              <w:rPr>
                <w:b/>
                <w:sz w:val="22"/>
              </w:rPr>
              <w:t>Capability</w:t>
            </w:r>
          </w:p>
        </w:tc>
        <w:tc>
          <w:tcPr>
            <w:tcW w:w="1591" w:type="dxa"/>
            <w:tcBorders>
              <w:top w:val="single" w:sz="4" w:space="0" w:color="0057B5"/>
              <w:bottom w:val="single" w:sz="4" w:space="0" w:color="0057B5"/>
            </w:tcBorders>
          </w:tcPr>
          <w:p>
            <w:pPr>
              <w:pStyle w:val="TableParagraph"/>
              <w:ind w:left="165" w:right="415"/>
              <w:rPr>
                <w:b/>
                <w:sz w:val="22"/>
              </w:rPr>
            </w:pPr>
            <w:r>
              <w:rPr>
                <w:b/>
                <w:sz w:val="22"/>
              </w:rPr>
              <w:t>Capability</w:t>
            </w:r>
            <w:r>
              <w:rPr>
                <w:b/>
                <w:spacing w:val="-53"/>
                <w:sz w:val="22"/>
              </w:rPr>
              <w:t> </w:t>
            </w:r>
            <w:r>
              <w:rPr>
                <w:b/>
                <w:sz w:val="22"/>
              </w:rPr>
              <w:t>Identifier</w:t>
            </w:r>
          </w:p>
        </w:tc>
        <w:tc>
          <w:tcPr>
            <w:tcW w:w="4843" w:type="dxa"/>
            <w:tcBorders>
              <w:top w:val="single" w:sz="4" w:space="0" w:color="0057B5"/>
              <w:bottom w:val="single" w:sz="4" w:space="0" w:color="0057B5"/>
            </w:tcBorders>
          </w:tcPr>
          <w:p>
            <w:pPr>
              <w:pStyle w:val="TableParagraph"/>
              <w:spacing w:before="0"/>
              <w:ind w:left="0"/>
              <w:rPr>
                <w:b/>
                <w:sz w:val="21"/>
              </w:rPr>
            </w:pPr>
          </w:p>
          <w:p>
            <w:pPr>
              <w:pStyle w:val="TableParagraph"/>
              <w:spacing w:before="0"/>
              <w:ind w:left="124"/>
              <w:rPr>
                <w:b/>
                <w:sz w:val="22"/>
              </w:rPr>
            </w:pPr>
            <w:r>
              <w:rPr>
                <w:b/>
                <w:sz w:val="22"/>
              </w:rPr>
              <w:t>Description</w:t>
            </w:r>
          </w:p>
        </w:tc>
        <w:tc>
          <w:tcPr>
            <w:tcW w:w="1584" w:type="dxa"/>
            <w:tcBorders>
              <w:top w:val="single" w:sz="4" w:space="0" w:color="0057B5"/>
              <w:bottom w:val="single" w:sz="4" w:space="0" w:color="0057B5"/>
            </w:tcBorders>
          </w:tcPr>
          <w:p>
            <w:pPr>
              <w:pStyle w:val="TableParagraph"/>
              <w:ind w:left="116"/>
              <w:rPr>
                <w:b/>
                <w:sz w:val="22"/>
              </w:rPr>
            </w:pPr>
            <w:r>
              <w:rPr>
                <w:b/>
                <w:sz w:val="22"/>
              </w:rPr>
              <w:t>NIST</w:t>
            </w:r>
            <w:r>
              <w:rPr>
                <w:b/>
                <w:spacing w:val="-3"/>
                <w:sz w:val="22"/>
              </w:rPr>
              <w:t> </w:t>
            </w:r>
            <w:r>
              <w:rPr>
                <w:b/>
                <w:sz w:val="22"/>
              </w:rPr>
              <w:t>CSF</w:t>
            </w:r>
          </w:p>
          <w:p>
            <w:pPr>
              <w:pStyle w:val="TableParagraph"/>
              <w:spacing w:before="0"/>
              <w:ind w:left="116"/>
              <w:rPr>
                <w:b/>
                <w:sz w:val="22"/>
              </w:rPr>
            </w:pPr>
            <w:r>
              <w:rPr>
                <w:b/>
                <w:sz w:val="22"/>
              </w:rPr>
              <w:t>Mapping</w:t>
            </w:r>
          </w:p>
        </w:tc>
      </w:tr>
      <w:tr>
        <w:trPr>
          <w:trHeight w:val="1259" w:hRule="atLeast"/>
        </w:trPr>
        <w:tc>
          <w:tcPr>
            <w:tcW w:w="1607" w:type="dxa"/>
            <w:tcBorders>
              <w:top w:val="single" w:sz="4" w:space="0" w:color="0057B5"/>
            </w:tcBorders>
            <w:shd w:val="clear" w:color="auto" w:fill="E7EAF3"/>
          </w:tcPr>
          <w:p>
            <w:pPr>
              <w:pStyle w:val="TableParagraph"/>
              <w:spacing w:before="104"/>
              <w:ind w:right="429"/>
              <w:rPr>
                <w:b/>
                <w:sz w:val="20"/>
              </w:rPr>
            </w:pPr>
            <w:r>
              <w:rPr>
                <w:b/>
                <w:sz w:val="20"/>
              </w:rPr>
              <w:t>Backup and</w:t>
            </w:r>
            <w:r>
              <w:rPr>
                <w:b/>
                <w:spacing w:val="-47"/>
                <w:sz w:val="20"/>
              </w:rPr>
              <w:t> </w:t>
            </w:r>
            <w:r>
              <w:rPr>
                <w:b/>
                <w:sz w:val="20"/>
              </w:rPr>
              <w:t>Recovery</w:t>
            </w:r>
          </w:p>
        </w:tc>
        <w:tc>
          <w:tcPr>
            <w:tcW w:w="1591" w:type="dxa"/>
            <w:tcBorders>
              <w:top w:val="single" w:sz="4" w:space="0" w:color="0057B5"/>
            </w:tcBorders>
            <w:shd w:val="clear" w:color="auto" w:fill="E7EAF3"/>
          </w:tcPr>
          <w:p>
            <w:pPr>
              <w:pStyle w:val="TableParagraph"/>
              <w:spacing w:before="104"/>
              <w:ind w:left="165"/>
              <w:rPr>
                <w:sz w:val="20"/>
              </w:rPr>
            </w:pPr>
            <w:r>
              <w:rPr>
                <w:sz w:val="20"/>
              </w:rPr>
              <w:t>3.UNI.BRECO</w:t>
            </w:r>
          </w:p>
        </w:tc>
        <w:tc>
          <w:tcPr>
            <w:tcW w:w="4843" w:type="dxa"/>
            <w:tcBorders>
              <w:top w:val="single" w:sz="4" w:space="0" w:color="0057B5"/>
            </w:tcBorders>
            <w:shd w:val="clear" w:color="auto" w:fill="E7EAF3"/>
          </w:tcPr>
          <w:p>
            <w:pPr>
              <w:pStyle w:val="TableParagraph"/>
              <w:spacing w:before="104"/>
              <w:ind w:left="124" w:right="161"/>
              <w:rPr>
                <w:sz w:val="20"/>
              </w:rPr>
            </w:pPr>
            <w:r>
              <w:rPr>
                <w:sz w:val="20"/>
              </w:rPr>
              <w:t>Backup and recovery entails keeping copies of</w:t>
            </w:r>
            <w:r>
              <w:rPr>
                <w:spacing w:val="1"/>
                <w:sz w:val="20"/>
              </w:rPr>
              <w:t> </w:t>
            </w:r>
            <w:r>
              <w:rPr>
                <w:sz w:val="20"/>
              </w:rPr>
              <w:t>configuration and data, as needed, to allow for the quick</w:t>
            </w:r>
            <w:r>
              <w:rPr>
                <w:spacing w:val="-47"/>
                <w:sz w:val="20"/>
              </w:rPr>
              <w:t> </w:t>
            </w:r>
            <w:r>
              <w:rPr>
                <w:sz w:val="20"/>
              </w:rPr>
              <w:t>restoration of service in the event of malicious incidents,</w:t>
            </w:r>
            <w:r>
              <w:rPr>
                <w:spacing w:val="-47"/>
                <w:sz w:val="20"/>
              </w:rPr>
              <w:t> </w:t>
            </w:r>
            <w:r>
              <w:rPr>
                <w:sz w:val="20"/>
              </w:rPr>
              <w:t>system</w:t>
            </w:r>
            <w:r>
              <w:rPr>
                <w:spacing w:val="-2"/>
                <w:sz w:val="20"/>
              </w:rPr>
              <w:t> </w:t>
            </w:r>
            <w:r>
              <w:rPr>
                <w:sz w:val="20"/>
              </w:rPr>
              <w:t>failures, or corruption.</w:t>
            </w:r>
          </w:p>
        </w:tc>
        <w:tc>
          <w:tcPr>
            <w:tcW w:w="1584" w:type="dxa"/>
            <w:tcBorders>
              <w:top w:val="single" w:sz="4" w:space="0" w:color="0057B5"/>
            </w:tcBorders>
            <w:shd w:val="clear" w:color="auto" w:fill="E7EAF3"/>
          </w:tcPr>
          <w:p>
            <w:pPr>
              <w:pStyle w:val="TableParagraph"/>
              <w:spacing w:before="104"/>
              <w:ind w:left="116"/>
              <w:rPr>
                <w:sz w:val="20"/>
              </w:rPr>
            </w:pPr>
            <w:r>
              <w:rPr>
                <w:sz w:val="20"/>
              </w:rPr>
              <w:t>ID.BE,</w:t>
            </w:r>
            <w:r>
              <w:rPr>
                <w:spacing w:val="-2"/>
                <w:sz w:val="20"/>
              </w:rPr>
              <w:t> </w:t>
            </w:r>
            <w:r>
              <w:rPr>
                <w:sz w:val="20"/>
              </w:rPr>
              <w:t>PR.IP,</w:t>
            </w:r>
          </w:p>
          <w:p>
            <w:pPr>
              <w:pStyle w:val="TableParagraph"/>
              <w:spacing w:before="1"/>
              <w:ind w:left="116" w:right="208"/>
              <w:rPr>
                <w:sz w:val="20"/>
              </w:rPr>
            </w:pPr>
            <w:r>
              <w:rPr>
                <w:sz w:val="20"/>
              </w:rPr>
              <w:t>PR.DS, RS.MI,</w:t>
            </w:r>
            <w:r>
              <w:rPr>
                <w:spacing w:val="-48"/>
                <w:sz w:val="20"/>
              </w:rPr>
              <w:t> </w:t>
            </w:r>
            <w:r>
              <w:rPr>
                <w:sz w:val="20"/>
              </w:rPr>
              <w:t>RC.RP</w:t>
            </w:r>
          </w:p>
        </w:tc>
      </w:tr>
      <w:tr>
        <w:trPr>
          <w:trHeight w:val="1499" w:hRule="atLeast"/>
        </w:trPr>
        <w:tc>
          <w:tcPr>
            <w:tcW w:w="1607" w:type="dxa"/>
          </w:tcPr>
          <w:p>
            <w:pPr>
              <w:pStyle w:val="TableParagraph"/>
              <w:spacing w:before="114"/>
              <w:ind w:right="319"/>
              <w:rPr>
                <w:b/>
                <w:sz w:val="20"/>
              </w:rPr>
            </w:pPr>
            <w:r>
              <w:rPr>
                <w:b/>
                <w:sz w:val="20"/>
              </w:rPr>
              <w:t>Central Log</w:t>
            </w:r>
            <w:r>
              <w:rPr>
                <w:b/>
                <w:spacing w:val="1"/>
                <w:sz w:val="20"/>
              </w:rPr>
              <w:t> </w:t>
            </w:r>
            <w:r>
              <w:rPr>
                <w:b/>
                <w:sz w:val="20"/>
              </w:rPr>
              <w:t>Management</w:t>
            </w:r>
            <w:r>
              <w:rPr>
                <w:b/>
                <w:spacing w:val="-47"/>
                <w:sz w:val="20"/>
              </w:rPr>
              <w:t> </w:t>
            </w:r>
            <w:r>
              <w:rPr>
                <w:b/>
                <w:sz w:val="20"/>
              </w:rPr>
              <w:t>with</w:t>
            </w:r>
            <w:r>
              <w:rPr>
                <w:b/>
                <w:spacing w:val="-12"/>
                <w:sz w:val="20"/>
              </w:rPr>
              <w:t> </w:t>
            </w:r>
            <w:r>
              <w:rPr>
                <w:b/>
                <w:sz w:val="20"/>
              </w:rPr>
              <w:t>Analysis</w:t>
            </w:r>
          </w:p>
        </w:tc>
        <w:tc>
          <w:tcPr>
            <w:tcW w:w="1591" w:type="dxa"/>
          </w:tcPr>
          <w:p>
            <w:pPr>
              <w:pStyle w:val="TableParagraph"/>
              <w:ind w:left="165"/>
              <w:rPr>
                <w:sz w:val="20"/>
              </w:rPr>
            </w:pPr>
            <w:r>
              <w:rPr>
                <w:sz w:val="20"/>
              </w:rPr>
              <w:t>3.UNI.CLMAN</w:t>
            </w:r>
          </w:p>
        </w:tc>
        <w:tc>
          <w:tcPr>
            <w:tcW w:w="4843" w:type="dxa"/>
          </w:tcPr>
          <w:p>
            <w:pPr>
              <w:pStyle w:val="TableParagraph"/>
              <w:spacing w:before="114"/>
              <w:ind w:left="124" w:right="266"/>
              <w:rPr>
                <w:sz w:val="20"/>
              </w:rPr>
            </w:pPr>
            <w:r>
              <w:rPr>
                <w:sz w:val="20"/>
              </w:rPr>
              <w:t>Central log management with analysis is the collection,</w:t>
            </w:r>
            <w:r>
              <w:rPr>
                <w:spacing w:val="-47"/>
                <w:sz w:val="20"/>
              </w:rPr>
              <w:t> </w:t>
            </w:r>
            <w:r>
              <w:rPr>
                <w:sz w:val="20"/>
              </w:rPr>
              <w:t>storage, and analysis of telemetry, where the collection</w:t>
            </w:r>
            <w:r>
              <w:rPr>
                <w:spacing w:val="-47"/>
                <w:sz w:val="20"/>
              </w:rPr>
              <w:t> </w:t>
            </w:r>
            <w:r>
              <w:rPr>
                <w:sz w:val="20"/>
              </w:rPr>
              <w:t>and storage are designed to facilitate data fusion and</w:t>
            </w:r>
            <w:r>
              <w:rPr>
                <w:spacing w:val="1"/>
                <w:sz w:val="20"/>
              </w:rPr>
              <w:t> </w:t>
            </w:r>
            <w:r>
              <w:rPr>
                <w:sz w:val="20"/>
              </w:rPr>
              <w:t>where the security analysis aids in discovery and</w:t>
            </w:r>
            <w:r>
              <w:rPr>
                <w:spacing w:val="1"/>
                <w:sz w:val="20"/>
              </w:rPr>
              <w:t> </w:t>
            </w:r>
            <w:r>
              <w:rPr>
                <w:sz w:val="20"/>
              </w:rPr>
              <w:t>response</w:t>
            </w:r>
            <w:r>
              <w:rPr>
                <w:spacing w:val="-1"/>
                <w:sz w:val="20"/>
              </w:rPr>
              <w:t> </w:t>
            </w:r>
            <w:r>
              <w:rPr>
                <w:sz w:val="20"/>
              </w:rPr>
              <w:t>to malicious activity.</w:t>
            </w:r>
          </w:p>
        </w:tc>
        <w:tc>
          <w:tcPr>
            <w:tcW w:w="1584" w:type="dxa"/>
          </w:tcPr>
          <w:p>
            <w:pPr>
              <w:pStyle w:val="TableParagraph"/>
              <w:spacing w:before="114"/>
              <w:ind w:left="116" w:right="186"/>
              <w:rPr>
                <w:sz w:val="20"/>
              </w:rPr>
            </w:pPr>
            <w:r>
              <w:rPr>
                <w:sz w:val="20"/>
              </w:rPr>
              <w:t>ID.AM, PR.PT,</w:t>
            </w:r>
            <w:r>
              <w:rPr>
                <w:spacing w:val="-47"/>
                <w:sz w:val="20"/>
              </w:rPr>
              <w:t> </w:t>
            </w:r>
            <w:r>
              <w:rPr>
                <w:sz w:val="20"/>
              </w:rPr>
              <w:t>DE.AE,</w:t>
            </w:r>
            <w:r>
              <w:rPr>
                <w:spacing w:val="-13"/>
                <w:sz w:val="20"/>
              </w:rPr>
              <w:t> </w:t>
            </w:r>
            <w:r>
              <w:rPr>
                <w:sz w:val="20"/>
              </w:rPr>
              <w:t>RS.AN</w:t>
            </w:r>
          </w:p>
        </w:tc>
      </w:tr>
      <w:tr>
        <w:trPr>
          <w:trHeight w:val="1269" w:hRule="atLeast"/>
        </w:trPr>
        <w:tc>
          <w:tcPr>
            <w:tcW w:w="1607" w:type="dxa"/>
            <w:shd w:val="clear" w:color="auto" w:fill="E7EAF3"/>
          </w:tcPr>
          <w:p>
            <w:pPr>
              <w:pStyle w:val="TableParagraph"/>
              <w:spacing w:before="114"/>
              <w:ind w:right="259"/>
              <w:rPr>
                <w:b/>
                <w:sz w:val="20"/>
              </w:rPr>
            </w:pPr>
            <w:r>
              <w:rPr>
                <w:b/>
                <w:spacing w:val="-1"/>
                <w:sz w:val="20"/>
              </w:rPr>
              <w:t>Configuration</w:t>
            </w:r>
            <w:r>
              <w:rPr>
                <w:b/>
                <w:spacing w:val="-47"/>
                <w:sz w:val="20"/>
              </w:rPr>
              <w:t> </w:t>
            </w:r>
            <w:r>
              <w:rPr>
                <w:b/>
                <w:sz w:val="20"/>
              </w:rPr>
              <w:t>Management</w:t>
            </w:r>
          </w:p>
        </w:tc>
        <w:tc>
          <w:tcPr>
            <w:tcW w:w="1591" w:type="dxa"/>
            <w:shd w:val="clear" w:color="auto" w:fill="E7EAF3"/>
          </w:tcPr>
          <w:p>
            <w:pPr>
              <w:pStyle w:val="TableParagraph"/>
              <w:ind w:left="165"/>
              <w:rPr>
                <w:sz w:val="20"/>
              </w:rPr>
            </w:pPr>
            <w:r>
              <w:rPr>
                <w:sz w:val="20"/>
              </w:rPr>
              <w:t>3.UNI.CMANA</w:t>
            </w:r>
          </w:p>
        </w:tc>
        <w:tc>
          <w:tcPr>
            <w:tcW w:w="4843" w:type="dxa"/>
            <w:shd w:val="clear" w:color="auto" w:fill="E7EAF3"/>
          </w:tcPr>
          <w:p>
            <w:pPr>
              <w:pStyle w:val="TableParagraph"/>
              <w:spacing w:before="114"/>
              <w:ind w:left="124" w:right="316"/>
              <w:rPr>
                <w:sz w:val="20"/>
              </w:rPr>
            </w:pPr>
            <w:r>
              <w:rPr>
                <w:sz w:val="20"/>
              </w:rPr>
              <w:t>Configuration management is the implementation of a</w:t>
            </w:r>
            <w:r>
              <w:rPr>
                <w:spacing w:val="1"/>
                <w:sz w:val="20"/>
              </w:rPr>
              <w:t> </w:t>
            </w:r>
            <w:r>
              <w:rPr>
                <w:sz w:val="20"/>
              </w:rPr>
              <w:t>formal plan for documenting and managing changes to</w:t>
            </w:r>
            <w:r>
              <w:rPr>
                <w:spacing w:val="-48"/>
                <w:sz w:val="20"/>
              </w:rPr>
              <w:t> </w:t>
            </w:r>
            <w:r>
              <w:rPr>
                <w:sz w:val="20"/>
              </w:rPr>
              <w:t>the environment, and monitoring for deviations,</w:t>
            </w:r>
            <w:r>
              <w:rPr>
                <w:spacing w:val="1"/>
                <w:sz w:val="20"/>
              </w:rPr>
              <w:t> </w:t>
            </w:r>
            <w:r>
              <w:rPr>
                <w:sz w:val="20"/>
              </w:rPr>
              <w:t>preferably</w:t>
            </w:r>
            <w:r>
              <w:rPr>
                <w:spacing w:val="-2"/>
                <w:sz w:val="20"/>
              </w:rPr>
              <w:t> </w:t>
            </w:r>
            <w:r>
              <w:rPr>
                <w:sz w:val="20"/>
              </w:rPr>
              <w:t>automated.</w:t>
            </w:r>
          </w:p>
        </w:tc>
        <w:tc>
          <w:tcPr>
            <w:tcW w:w="1584" w:type="dxa"/>
            <w:shd w:val="clear" w:color="auto" w:fill="E7EAF3"/>
          </w:tcPr>
          <w:p>
            <w:pPr>
              <w:pStyle w:val="TableParagraph"/>
              <w:spacing w:before="114"/>
              <w:ind w:left="116" w:right="231"/>
              <w:rPr>
                <w:sz w:val="20"/>
              </w:rPr>
            </w:pPr>
            <w:r>
              <w:rPr>
                <w:sz w:val="20"/>
              </w:rPr>
              <w:t>ID.BE, PR.DS,</w:t>
            </w:r>
            <w:r>
              <w:rPr>
                <w:spacing w:val="-47"/>
                <w:sz w:val="20"/>
              </w:rPr>
              <w:t> </w:t>
            </w:r>
            <w:r>
              <w:rPr>
                <w:sz w:val="20"/>
              </w:rPr>
              <w:t>PR.IP,</w:t>
            </w:r>
            <w:r>
              <w:rPr>
                <w:spacing w:val="-3"/>
                <w:sz w:val="20"/>
              </w:rPr>
              <w:t> </w:t>
            </w:r>
            <w:r>
              <w:rPr>
                <w:sz w:val="20"/>
              </w:rPr>
              <w:t>PR.MA</w:t>
            </w:r>
          </w:p>
        </w:tc>
      </w:tr>
      <w:tr>
        <w:trPr>
          <w:trHeight w:val="1729" w:hRule="atLeast"/>
        </w:trPr>
        <w:tc>
          <w:tcPr>
            <w:tcW w:w="1607" w:type="dxa"/>
          </w:tcPr>
          <w:p>
            <w:pPr>
              <w:pStyle w:val="TableParagraph"/>
              <w:ind w:right="318"/>
              <w:rPr>
                <w:b/>
                <w:sz w:val="20"/>
              </w:rPr>
            </w:pPr>
            <w:r>
              <w:rPr>
                <w:b/>
                <w:sz w:val="20"/>
              </w:rPr>
              <w:t>Incident</w:t>
            </w:r>
            <w:r>
              <w:rPr>
                <w:b/>
                <w:spacing w:val="1"/>
                <w:sz w:val="20"/>
              </w:rPr>
              <w:t> </w:t>
            </w:r>
            <w:r>
              <w:rPr>
                <w:b/>
                <w:sz w:val="20"/>
              </w:rPr>
              <w:t>Response</w:t>
            </w:r>
            <w:r>
              <w:rPr>
                <w:b/>
                <w:spacing w:val="1"/>
                <w:sz w:val="20"/>
              </w:rPr>
              <w:t> </w:t>
            </w:r>
            <w:r>
              <w:rPr>
                <w:b/>
                <w:sz w:val="20"/>
              </w:rPr>
              <w:t>Planning and</w:t>
            </w:r>
            <w:r>
              <w:rPr>
                <w:b/>
                <w:spacing w:val="-47"/>
                <w:sz w:val="20"/>
              </w:rPr>
              <w:t> </w:t>
            </w:r>
            <w:r>
              <w:rPr>
                <w:b/>
                <w:sz w:val="20"/>
              </w:rPr>
              <w:t>Incident</w:t>
            </w:r>
            <w:r>
              <w:rPr>
                <w:b/>
                <w:spacing w:val="1"/>
                <w:sz w:val="20"/>
              </w:rPr>
              <w:t> </w:t>
            </w:r>
            <w:r>
              <w:rPr>
                <w:b/>
                <w:sz w:val="20"/>
              </w:rPr>
              <w:t>Handling</w:t>
            </w:r>
          </w:p>
        </w:tc>
        <w:tc>
          <w:tcPr>
            <w:tcW w:w="1591" w:type="dxa"/>
          </w:tcPr>
          <w:p>
            <w:pPr>
              <w:pStyle w:val="TableParagraph"/>
              <w:ind w:left="165"/>
              <w:rPr>
                <w:sz w:val="20"/>
              </w:rPr>
            </w:pPr>
            <w:r>
              <w:rPr>
                <w:sz w:val="20"/>
              </w:rPr>
              <w:t>3.UNI.IRPIH</w:t>
            </w:r>
          </w:p>
        </w:tc>
        <w:tc>
          <w:tcPr>
            <w:tcW w:w="4843" w:type="dxa"/>
          </w:tcPr>
          <w:p>
            <w:pPr>
              <w:pStyle w:val="TableParagraph"/>
              <w:ind w:left="124" w:right="100"/>
              <w:rPr>
                <w:sz w:val="20"/>
              </w:rPr>
            </w:pPr>
            <w:r>
              <w:rPr>
                <w:sz w:val="20"/>
              </w:rPr>
              <w:t>Incident response planning and incident handling is the</w:t>
            </w:r>
            <w:r>
              <w:rPr>
                <w:spacing w:val="1"/>
                <w:sz w:val="20"/>
              </w:rPr>
              <w:t> </w:t>
            </w:r>
            <w:r>
              <w:rPr>
                <w:sz w:val="20"/>
              </w:rPr>
              <w:t>documentation and implementation of a set of</w:t>
            </w:r>
            <w:r>
              <w:rPr>
                <w:spacing w:val="1"/>
                <w:sz w:val="20"/>
              </w:rPr>
              <w:t> </w:t>
            </w:r>
            <w:r>
              <w:rPr>
                <w:sz w:val="20"/>
              </w:rPr>
              <w:t>instructions, procedures, or technical capabilities to sense</w:t>
            </w:r>
            <w:r>
              <w:rPr>
                <w:spacing w:val="-47"/>
                <w:sz w:val="20"/>
              </w:rPr>
              <w:t> </w:t>
            </w:r>
            <w:r>
              <w:rPr>
                <w:sz w:val="20"/>
              </w:rPr>
              <w:t>and detect, respond to, limit consequences of malicious</w:t>
            </w:r>
            <w:r>
              <w:rPr>
                <w:spacing w:val="1"/>
                <w:sz w:val="20"/>
              </w:rPr>
              <w:t> </w:t>
            </w:r>
            <w:r>
              <w:rPr>
                <w:sz w:val="20"/>
              </w:rPr>
              <w:t>cyberattacks, and restore the integrity of the network and</w:t>
            </w:r>
            <w:r>
              <w:rPr>
                <w:spacing w:val="-47"/>
                <w:sz w:val="20"/>
              </w:rPr>
              <w:t> </w:t>
            </w:r>
            <w:r>
              <w:rPr>
                <w:sz w:val="20"/>
              </w:rPr>
              <w:t>associated</w:t>
            </w:r>
            <w:r>
              <w:rPr>
                <w:spacing w:val="-2"/>
                <w:sz w:val="20"/>
              </w:rPr>
              <w:t> </w:t>
            </w:r>
            <w:r>
              <w:rPr>
                <w:sz w:val="20"/>
              </w:rPr>
              <w:t>systems.</w:t>
            </w:r>
          </w:p>
        </w:tc>
        <w:tc>
          <w:tcPr>
            <w:tcW w:w="1584" w:type="dxa"/>
          </w:tcPr>
          <w:p>
            <w:pPr>
              <w:pStyle w:val="TableParagraph"/>
              <w:spacing w:line="230" w:lineRule="exact"/>
              <w:ind w:left="116"/>
              <w:rPr>
                <w:sz w:val="20"/>
              </w:rPr>
            </w:pPr>
            <w:r>
              <w:rPr>
                <w:sz w:val="20"/>
              </w:rPr>
              <w:t>ID.GV,</w:t>
            </w:r>
            <w:r>
              <w:rPr>
                <w:spacing w:val="-3"/>
                <w:sz w:val="20"/>
              </w:rPr>
              <w:t> </w:t>
            </w:r>
            <w:r>
              <w:rPr>
                <w:sz w:val="20"/>
              </w:rPr>
              <w:t>ID.RA,</w:t>
            </w:r>
          </w:p>
          <w:p>
            <w:pPr>
              <w:pStyle w:val="TableParagraph"/>
              <w:spacing w:line="230" w:lineRule="exact" w:before="0"/>
              <w:ind w:left="116"/>
              <w:rPr>
                <w:sz w:val="20"/>
              </w:rPr>
            </w:pPr>
            <w:r>
              <w:rPr>
                <w:sz w:val="20"/>
              </w:rPr>
              <w:t>PR.IP,</w:t>
            </w:r>
            <w:r>
              <w:rPr>
                <w:spacing w:val="-3"/>
                <w:sz w:val="20"/>
              </w:rPr>
              <w:t> </w:t>
            </w:r>
            <w:r>
              <w:rPr>
                <w:sz w:val="20"/>
              </w:rPr>
              <w:t>DE.DP,</w:t>
            </w:r>
          </w:p>
          <w:p>
            <w:pPr>
              <w:pStyle w:val="TableParagraph"/>
              <w:spacing w:line="230" w:lineRule="exact" w:before="1"/>
              <w:ind w:left="116"/>
              <w:rPr>
                <w:sz w:val="20"/>
              </w:rPr>
            </w:pPr>
            <w:r>
              <w:rPr>
                <w:sz w:val="20"/>
              </w:rPr>
              <w:t>DE.AE,</w:t>
            </w:r>
            <w:r>
              <w:rPr>
                <w:spacing w:val="-3"/>
                <w:sz w:val="20"/>
              </w:rPr>
              <w:t> </w:t>
            </w:r>
            <w:r>
              <w:rPr>
                <w:sz w:val="20"/>
              </w:rPr>
              <w:t>RS.RP,</w:t>
            </w:r>
          </w:p>
          <w:p>
            <w:pPr>
              <w:pStyle w:val="TableParagraph"/>
              <w:spacing w:before="0"/>
              <w:ind w:left="116" w:right="142"/>
              <w:rPr>
                <w:sz w:val="20"/>
              </w:rPr>
            </w:pPr>
            <w:r>
              <w:rPr>
                <w:sz w:val="20"/>
              </w:rPr>
              <w:t>RS.CO, RS.AN,</w:t>
            </w:r>
            <w:r>
              <w:rPr>
                <w:spacing w:val="-47"/>
                <w:sz w:val="20"/>
              </w:rPr>
              <w:t> </w:t>
            </w:r>
            <w:r>
              <w:rPr>
                <w:sz w:val="20"/>
              </w:rPr>
              <w:t>RS.MI</w:t>
            </w:r>
          </w:p>
        </w:tc>
      </w:tr>
      <w:tr>
        <w:trPr>
          <w:trHeight w:val="1501" w:hRule="atLeast"/>
        </w:trPr>
        <w:tc>
          <w:tcPr>
            <w:tcW w:w="1607" w:type="dxa"/>
            <w:shd w:val="clear" w:color="auto" w:fill="E7EAF3"/>
          </w:tcPr>
          <w:p>
            <w:pPr>
              <w:pStyle w:val="TableParagraph"/>
              <w:rPr>
                <w:b/>
                <w:sz w:val="20"/>
              </w:rPr>
            </w:pPr>
            <w:r>
              <w:rPr>
                <w:b/>
                <w:sz w:val="20"/>
              </w:rPr>
              <w:t>Inventory</w:t>
            </w:r>
          </w:p>
        </w:tc>
        <w:tc>
          <w:tcPr>
            <w:tcW w:w="1591" w:type="dxa"/>
            <w:shd w:val="clear" w:color="auto" w:fill="E7EAF3"/>
          </w:tcPr>
          <w:p>
            <w:pPr>
              <w:pStyle w:val="TableParagraph"/>
              <w:ind w:left="165"/>
              <w:rPr>
                <w:sz w:val="20"/>
              </w:rPr>
            </w:pPr>
            <w:r>
              <w:rPr>
                <w:sz w:val="20"/>
              </w:rPr>
              <w:t>3.UNI.INVENT</w:t>
            </w:r>
          </w:p>
        </w:tc>
        <w:tc>
          <w:tcPr>
            <w:tcW w:w="4843" w:type="dxa"/>
            <w:shd w:val="clear" w:color="auto" w:fill="E7EAF3"/>
          </w:tcPr>
          <w:p>
            <w:pPr>
              <w:pStyle w:val="TableParagraph"/>
              <w:ind w:left="124" w:right="148"/>
              <w:rPr>
                <w:sz w:val="20"/>
              </w:rPr>
            </w:pPr>
            <w:r>
              <w:rPr>
                <w:sz w:val="20"/>
              </w:rPr>
              <w:t>Inventory entails developing, documenting, and</w:t>
            </w:r>
            <w:r>
              <w:rPr>
                <w:spacing w:val="1"/>
                <w:sz w:val="20"/>
              </w:rPr>
              <w:t> </w:t>
            </w:r>
            <w:r>
              <w:rPr>
                <w:sz w:val="20"/>
              </w:rPr>
              <w:t>maintaining a current inventory of all systems, networks,</w:t>
            </w:r>
            <w:r>
              <w:rPr>
                <w:spacing w:val="-48"/>
                <w:sz w:val="20"/>
              </w:rPr>
              <w:t> </w:t>
            </w:r>
            <w:r>
              <w:rPr>
                <w:sz w:val="20"/>
              </w:rPr>
              <w:t>and components so that only authorized devices are</w:t>
            </w:r>
            <w:r>
              <w:rPr>
                <w:spacing w:val="1"/>
                <w:sz w:val="20"/>
              </w:rPr>
              <w:t> </w:t>
            </w:r>
            <w:r>
              <w:rPr>
                <w:sz w:val="20"/>
              </w:rPr>
              <w:t>given access, and unauthorized and unmanaged devices</w:t>
            </w:r>
            <w:r>
              <w:rPr>
                <w:spacing w:val="1"/>
                <w:sz w:val="20"/>
              </w:rPr>
              <w:t> </w:t>
            </w:r>
            <w:r>
              <w:rPr>
                <w:sz w:val="20"/>
              </w:rPr>
              <w:t>are</w:t>
            </w:r>
            <w:r>
              <w:rPr>
                <w:spacing w:val="-1"/>
                <w:sz w:val="20"/>
              </w:rPr>
              <w:t> </w:t>
            </w:r>
            <w:r>
              <w:rPr>
                <w:sz w:val="20"/>
              </w:rPr>
              <w:t>found and</w:t>
            </w:r>
            <w:r>
              <w:rPr>
                <w:spacing w:val="-2"/>
                <w:sz w:val="20"/>
              </w:rPr>
              <w:t> </w:t>
            </w:r>
            <w:r>
              <w:rPr>
                <w:sz w:val="20"/>
              </w:rPr>
              <w:t>restricted</w:t>
            </w:r>
            <w:r>
              <w:rPr>
                <w:spacing w:val="1"/>
                <w:sz w:val="20"/>
              </w:rPr>
              <w:t> </w:t>
            </w:r>
            <w:r>
              <w:rPr>
                <w:sz w:val="20"/>
              </w:rPr>
              <w:t>from</w:t>
            </w:r>
            <w:r>
              <w:rPr>
                <w:spacing w:val="-2"/>
                <w:sz w:val="20"/>
              </w:rPr>
              <w:t> </w:t>
            </w:r>
            <w:r>
              <w:rPr>
                <w:sz w:val="20"/>
              </w:rPr>
              <w:t>gaining access.</w:t>
            </w:r>
          </w:p>
        </w:tc>
        <w:tc>
          <w:tcPr>
            <w:tcW w:w="1584" w:type="dxa"/>
            <w:shd w:val="clear" w:color="auto" w:fill="E7EAF3"/>
          </w:tcPr>
          <w:p>
            <w:pPr>
              <w:pStyle w:val="TableParagraph"/>
              <w:ind w:left="116" w:right="149"/>
              <w:rPr>
                <w:sz w:val="20"/>
              </w:rPr>
            </w:pPr>
            <w:r>
              <w:rPr>
                <w:spacing w:val="-1"/>
                <w:sz w:val="20"/>
              </w:rPr>
              <w:t>ID.AM, </w:t>
            </w:r>
            <w:r>
              <w:rPr>
                <w:sz w:val="20"/>
              </w:rPr>
              <w:t>PR.AC,</w:t>
            </w:r>
            <w:r>
              <w:rPr>
                <w:spacing w:val="-47"/>
                <w:sz w:val="20"/>
              </w:rPr>
              <w:t> </w:t>
            </w:r>
            <w:r>
              <w:rPr>
                <w:sz w:val="20"/>
              </w:rPr>
              <w:t>PR.DS,</w:t>
            </w:r>
            <w:r>
              <w:rPr>
                <w:spacing w:val="-1"/>
                <w:sz w:val="20"/>
              </w:rPr>
              <w:t> </w:t>
            </w:r>
            <w:r>
              <w:rPr>
                <w:sz w:val="20"/>
              </w:rPr>
              <w:t>PR.IP</w:t>
            </w:r>
          </w:p>
        </w:tc>
      </w:tr>
      <w:tr>
        <w:trPr>
          <w:trHeight w:val="1269" w:hRule="atLeast"/>
        </w:trPr>
        <w:tc>
          <w:tcPr>
            <w:tcW w:w="1607" w:type="dxa"/>
          </w:tcPr>
          <w:p>
            <w:pPr>
              <w:pStyle w:val="TableParagraph"/>
              <w:spacing w:before="114"/>
              <w:rPr>
                <w:b/>
                <w:sz w:val="20"/>
              </w:rPr>
            </w:pPr>
            <w:r>
              <w:rPr>
                <w:b/>
                <w:sz w:val="20"/>
              </w:rPr>
              <w:t>Least</w:t>
            </w:r>
            <w:r>
              <w:rPr>
                <w:b/>
                <w:spacing w:val="-4"/>
                <w:sz w:val="20"/>
              </w:rPr>
              <w:t> </w:t>
            </w:r>
            <w:r>
              <w:rPr>
                <w:b/>
                <w:sz w:val="20"/>
              </w:rPr>
              <w:t>Privilege</w:t>
            </w:r>
          </w:p>
        </w:tc>
        <w:tc>
          <w:tcPr>
            <w:tcW w:w="1591" w:type="dxa"/>
          </w:tcPr>
          <w:p>
            <w:pPr>
              <w:pStyle w:val="TableParagraph"/>
              <w:spacing w:before="114"/>
              <w:ind w:left="165"/>
              <w:rPr>
                <w:sz w:val="20"/>
              </w:rPr>
            </w:pPr>
            <w:r>
              <w:rPr>
                <w:sz w:val="20"/>
              </w:rPr>
              <w:t>3.UNI.LPRIV</w:t>
            </w:r>
          </w:p>
        </w:tc>
        <w:tc>
          <w:tcPr>
            <w:tcW w:w="4843" w:type="dxa"/>
          </w:tcPr>
          <w:p>
            <w:pPr>
              <w:pStyle w:val="TableParagraph"/>
              <w:spacing w:before="114"/>
              <w:ind w:left="124" w:right="189"/>
              <w:rPr>
                <w:sz w:val="20"/>
              </w:rPr>
            </w:pPr>
            <w:r>
              <w:rPr>
                <w:sz w:val="20"/>
              </w:rPr>
              <w:t>Least privilege is a design principle whereby each entity</w:t>
            </w:r>
            <w:r>
              <w:rPr>
                <w:spacing w:val="-47"/>
                <w:sz w:val="20"/>
              </w:rPr>
              <w:t> </w:t>
            </w:r>
            <w:r>
              <w:rPr>
                <w:sz w:val="20"/>
              </w:rPr>
              <w:t>is granted the minimum system resources and</w:t>
            </w:r>
            <w:r>
              <w:rPr>
                <w:spacing w:val="1"/>
                <w:sz w:val="20"/>
              </w:rPr>
              <w:t> </w:t>
            </w:r>
            <w:r>
              <w:rPr>
                <w:sz w:val="20"/>
              </w:rPr>
              <w:t>authorizations that the entity needs to perform its</w:t>
            </w:r>
            <w:r>
              <w:rPr>
                <w:spacing w:val="1"/>
                <w:sz w:val="20"/>
              </w:rPr>
              <w:t> </w:t>
            </w:r>
            <w:r>
              <w:rPr>
                <w:sz w:val="20"/>
              </w:rPr>
              <w:t>function.</w:t>
            </w:r>
          </w:p>
        </w:tc>
        <w:tc>
          <w:tcPr>
            <w:tcW w:w="1584" w:type="dxa"/>
          </w:tcPr>
          <w:p>
            <w:pPr>
              <w:pStyle w:val="TableParagraph"/>
              <w:spacing w:before="114"/>
              <w:ind w:left="116"/>
              <w:rPr>
                <w:sz w:val="20"/>
              </w:rPr>
            </w:pPr>
            <w:r>
              <w:rPr>
                <w:sz w:val="20"/>
              </w:rPr>
              <w:t>ID.AM,</w:t>
            </w:r>
            <w:r>
              <w:rPr>
                <w:spacing w:val="-3"/>
                <w:sz w:val="20"/>
              </w:rPr>
              <w:t> </w:t>
            </w:r>
            <w:r>
              <w:rPr>
                <w:sz w:val="20"/>
              </w:rPr>
              <w:t>PR.AC,</w:t>
            </w:r>
          </w:p>
          <w:p>
            <w:pPr>
              <w:pStyle w:val="TableParagraph"/>
              <w:spacing w:before="1"/>
              <w:ind w:left="116" w:right="297"/>
              <w:rPr>
                <w:sz w:val="20"/>
              </w:rPr>
            </w:pPr>
            <w:r>
              <w:rPr>
                <w:sz w:val="20"/>
              </w:rPr>
              <w:t>PR.IP, PR.PT,</w:t>
            </w:r>
            <w:r>
              <w:rPr>
                <w:spacing w:val="-47"/>
                <w:sz w:val="20"/>
              </w:rPr>
              <w:t> </w:t>
            </w:r>
            <w:r>
              <w:rPr>
                <w:sz w:val="20"/>
              </w:rPr>
              <w:t>DE.CM</w:t>
            </w:r>
          </w:p>
        </w:tc>
      </w:tr>
      <w:tr>
        <w:trPr>
          <w:trHeight w:val="810" w:hRule="atLeast"/>
        </w:trPr>
        <w:tc>
          <w:tcPr>
            <w:tcW w:w="1607" w:type="dxa"/>
            <w:shd w:val="clear" w:color="auto" w:fill="E7EAF3"/>
          </w:tcPr>
          <w:p>
            <w:pPr>
              <w:pStyle w:val="TableParagraph"/>
              <w:spacing w:before="114"/>
              <w:ind w:right="146"/>
              <w:rPr>
                <w:b/>
                <w:sz w:val="20"/>
              </w:rPr>
            </w:pPr>
            <w:r>
              <w:rPr>
                <w:b/>
                <w:sz w:val="20"/>
              </w:rPr>
              <w:t>Secure</w:t>
            </w:r>
            <w:r>
              <w:rPr>
                <w:b/>
                <w:spacing w:val="1"/>
                <w:sz w:val="20"/>
              </w:rPr>
              <w:t> </w:t>
            </w:r>
            <w:r>
              <w:rPr>
                <w:b/>
                <w:sz w:val="20"/>
              </w:rPr>
              <w:t>Administration</w:t>
            </w:r>
          </w:p>
        </w:tc>
        <w:tc>
          <w:tcPr>
            <w:tcW w:w="1591" w:type="dxa"/>
            <w:shd w:val="clear" w:color="auto" w:fill="E7EAF3"/>
          </w:tcPr>
          <w:p>
            <w:pPr>
              <w:pStyle w:val="TableParagraph"/>
              <w:ind w:left="165"/>
              <w:rPr>
                <w:sz w:val="20"/>
              </w:rPr>
            </w:pPr>
            <w:r>
              <w:rPr>
                <w:sz w:val="20"/>
              </w:rPr>
              <w:t>3.UNI.SADMI</w:t>
            </w:r>
          </w:p>
        </w:tc>
        <w:tc>
          <w:tcPr>
            <w:tcW w:w="4843" w:type="dxa"/>
            <w:shd w:val="clear" w:color="auto" w:fill="E7EAF3"/>
          </w:tcPr>
          <w:p>
            <w:pPr>
              <w:pStyle w:val="TableParagraph"/>
              <w:spacing w:before="114"/>
              <w:ind w:left="124" w:right="233"/>
              <w:rPr>
                <w:sz w:val="20"/>
              </w:rPr>
            </w:pPr>
            <w:r>
              <w:rPr>
                <w:sz w:val="20"/>
              </w:rPr>
              <w:t>Secure administration entails performing administrative</w:t>
            </w:r>
            <w:r>
              <w:rPr>
                <w:spacing w:val="-47"/>
                <w:sz w:val="20"/>
              </w:rPr>
              <w:t> </w:t>
            </w:r>
            <w:r>
              <w:rPr>
                <w:sz w:val="20"/>
              </w:rPr>
              <w:t>tasks</w:t>
            </w:r>
            <w:r>
              <w:rPr>
                <w:spacing w:val="-1"/>
                <w:sz w:val="20"/>
              </w:rPr>
              <w:t> </w:t>
            </w:r>
            <w:r>
              <w:rPr>
                <w:sz w:val="20"/>
              </w:rPr>
              <w:t>in</w:t>
            </w:r>
            <w:r>
              <w:rPr>
                <w:spacing w:val="-2"/>
                <w:sz w:val="20"/>
              </w:rPr>
              <w:t> </w:t>
            </w:r>
            <w:r>
              <w:rPr>
                <w:sz w:val="20"/>
              </w:rPr>
              <w:t>a</w:t>
            </w:r>
            <w:r>
              <w:rPr>
                <w:spacing w:val="-1"/>
                <w:sz w:val="20"/>
              </w:rPr>
              <w:t> </w:t>
            </w:r>
            <w:r>
              <w:rPr>
                <w:sz w:val="20"/>
              </w:rPr>
              <w:t>secure</w:t>
            </w:r>
            <w:r>
              <w:rPr>
                <w:spacing w:val="-1"/>
                <w:sz w:val="20"/>
              </w:rPr>
              <w:t> </w:t>
            </w:r>
            <w:r>
              <w:rPr>
                <w:sz w:val="20"/>
              </w:rPr>
              <w:t>manner,</w:t>
            </w:r>
            <w:r>
              <w:rPr>
                <w:spacing w:val="-1"/>
                <w:sz w:val="20"/>
              </w:rPr>
              <w:t> </w:t>
            </w:r>
            <w:r>
              <w:rPr>
                <w:sz w:val="20"/>
              </w:rPr>
              <w:t>using secure</w:t>
            </w:r>
            <w:r>
              <w:rPr>
                <w:spacing w:val="-2"/>
                <w:sz w:val="20"/>
              </w:rPr>
              <w:t> </w:t>
            </w:r>
            <w:r>
              <w:rPr>
                <w:sz w:val="20"/>
              </w:rPr>
              <w:t>protocols.</w:t>
            </w:r>
          </w:p>
        </w:tc>
        <w:tc>
          <w:tcPr>
            <w:tcW w:w="1584" w:type="dxa"/>
            <w:shd w:val="clear" w:color="auto" w:fill="E7EAF3"/>
          </w:tcPr>
          <w:p>
            <w:pPr>
              <w:pStyle w:val="TableParagraph"/>
              <w:spacing w:before="114"/>
              <w:ind w:left="116"/>
              <w:rPr>
                <w:sz w:val="20"/>
              </w:rPr>
            </w:pPr>
            <w:r>
              <w:rPr>
                <w:sz w:val="20"/>
              </w:rPr>
              <w:t>PR.MA</w:t>
            </w:r>
          </w:p>
        </w:tc>
      </w:tr>
      <w:tr>
        <w:trPr>
          <w:trHeight w:val="1040" w:hRule="atLeast"/>
        </w:trPr>
        <w:tc>
          <w:tcPr>
            <w:tcW w:w="1607" w:type="dxa"/>
            <w:tcBorders>
              <w:bottom w:val="single" w:sz="4" w:space="0" w:color="0057B5"/>
            </w:tcBorders>
          </w:tcPr>
          <w:p>
            <w:pPr>
              <w:pStyle w:val="TableParagraph"/>
              <w:spacing w:before="114"/>
              <w:ind w:right="194"/>
              <w:rPr>
                <w:b/>
                <w:sz w:val="20"/>
              </w:rPr>
            </w:pPr>
            <w:r>
              <w:rPr>
                <w:b/>
                <w:sz w:val="20"/>
              </w:rPr>
              <w:t>Strong</w:t>
            </w:r>
            <w:r>
              <w:rPr>
                <w:b/>
                <w:spacing w:val="1"/>
                <w:sz w:val="20"/>
              </w:rPr>
              <w:t> </w:t>
            </w:r>
            <w:r>
              <w:rPr>
                <w:b/>
                <w:spacing w:val="-1"/>
                <w:sz w:val="20"/>
              </w:rPr>
              <w:t>Authentication</w:t>
            </w:r>
          </w:p>
        </w:tc>
        <w:tc>
          <w:tcPr>
            <w:tcW w:w="1591" w:type="dxa"/>
            <w:tcBorders>
              <w:bottom w:val="single" w:sz="4" w:space="0" w:color="0057B5"/>
            </w:tcBorders>
          </w:tcPr>
          <w:p>
            <w:pPr>
              <w:pStyle w:val="TableParagraph"/>
              <w:ind w:left="165"/>
              <w:rPr>
                <w:sz w:val="20"/>
              </w:rPr>
            </w:pPr>
            <w:r>
              <w:rPr>
                <w:sz w:val="20"/>
              </w:rPr>
              <w:t>3.UNI.SAUTH</w:t>
            </w:r>
          </w:p>
        </w:tc>
        <w:tc>
          <w:tcPr>
            <w:tcW w:w="4843" w:type="dxa"/>
            <w:tcBorders>
              <w:bottom w:val="single" w:sz="4" w:space="0" w:color="0057B5"/>
            </w:tcBorders>
          </w:tcPr>
          <w:p>
            <w:pPr>
              <w:pStyle w:val="TableParagraph"/>
              <w:spacing w:before="114"/>
              <w:ind w:left="124" w:right="354"/>
              <w:rPr>
                <w:sz w:val="20"/>
              </w:rPr>
            </w:pPr>
            <w:r>
              <w:rPr>
                <w:sz w:val="20"/>
              </w:rPr>
              <w:t>Strong authentication verifies the identity of users,</w:t>
            </w:r>
            <w:r>
              <w:rPr>
                <w:spacing w:val="1"/>
                <w:sz w:val="20"/>
              </w:rPr>
              <w:t> </w:t>
            </w:r>
            <w:r>
              <w:rPr>
                <w:sz w:val="20"/>
              </w:rPr>
              <w:t>devices, or other entities through rigorous means (e.g.,</w:t>
            </w:r>
            <w:r>
              <w:rPr>
                <w:spacing w:val="-47"/>
                <w:sz w:val="20"/>
              </w:rPr>
              <w:t> </w:t>
            </w:r>
            <w:r>
              <w:rPr>
                <w:sz w:val="20"/>
              </w:rPr>
              <w:t>multi-factor</w:t>
            </w:r>
            <w:r>
              <w:rPr>
                <w:spacing w:val="-3"/>
                <w:sz w:val="20"/>
              </w:rPr>
              <w:t> </w:t>
            </w:r>
            <w:r>
              <w:rPr>
                <w:sz w:val="20"/>
              </w:rPr>
              <w:t>authentication)</w:t>
            </w:r>
            <w:r>
              <w:rPr>
                <w:spacing w:val="-3"/>
                <w:sz w:val="20"/>
              </w:rPr>
              <w:t> </w:t>
            </w:r>
            <w:r>
              <w:rPr>
                <w:sz w:val="20"/>
              </w:rPr>
              <w:t>before</w:t>
            </w:r>
            <w:r>
              <w:rPr>
                <w:spacing w:val="-3"/>
                <w:sz w:val="20"/>
              </w:rPr>
              <w:t> </w:t>
            </w:r>
            <w:r>
              <w:rPr>
                <w:sz w:val="20"/>
              </w:rPr>
              <w:t>granting</w:t>
            </w:r>
            <w:r>
              <w:rPr>
                <w:spacing w:val="-4"/>
                <w:sz w:val="20"/>
              </w:rPr>
              <w:t> </w:t>
            </w:r>
            <w:r>
              <w:rPr>
                <w:sz w:val="20"/>
              </w:rPr>
              <w:t>access.</w:t>
            </w:r>
          </w:p>
        </w:tc>
        <w:tc>
          <w:tcPr>
            <w:tcW w:w="1584" w:type="dxa"/>
            <w:tcBorders>
              <w:bottom w:val="single" w:sz="4" w:space="0" w:color="0057B5"/>
            </w:tcBorders>
          </w:tcPr>
          <w:p>
            <w:pPr>
              <w:pStyle w:val="TableParagraph"/>
              <w:spacing w:before="114"/>
              <w:ind w:left="116"/>
              <w:rPr>
                <w:sz w:val="20"/>
              </w:rPr>
            </w:pPr>
            <w:r>
              <w:rPr>
                <w:sz w:val="20"/>
              </w:rPr>
              <w:t>PR.AC</w:t>
            </w:r>
          </w:p>
        </w:tc>
      </w:tr>
    </w:tbl>
    <w:p>
      <w:pPr>
        <w:spacing w:after="0"/>
        <w:rPr>
          <w:sz w:val="20"/>
        </w:rPr>
        <w:sectPr>
          <w:pgSz w:w="12240" w:h="15840"/>
          <w:pgMar w:header="730" w:footer="764" w:top="960" w:bottom="960" w:left="1320" w:right="1080"/>
        </w:sectPr>
      </w:pPr>
    </w:p>
    <w:p>
      <w:pPr>
        <w:pStyle w:val="BodyText"/>
        <w:rPr>
          <w:b/>
          <w:sz w:val="20"/>
        </w:rPr>
      </w:pPr>
    </w:p>
    <w:p>
      <w:pPr>
        <w:pStyle w:val="BodyText"/>
        <w:spacing w:before="7"/>
        <w:rPr>
          <w:b/>
          <w:sz w:val="20"/>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54"/>
        <w:gridCol w:w="1549"/>
        <w:gridCol w:w="4837"/>
        <w:gridCol w:w="1585"/>
      </w:tblGrid>
      <w:tr>
        <w:trPr>
          <w:trHeight w:val="856" w:hRule="atLeast"/>
        </w:trPr>
        <w:tc>
          <w:tcPr>
            <w:tcW w:w="1654" w:type="dxa"/>
            <w:tcBorders>
              <w:top w:val="single" w:sz="4" w:space="0" w:color="0057B5"/>
              <w:bottom w:val="single" w:sz="4" w:space="0" w:color="0057B5"/>
            </w:tcBorders>
          </w:tcPr>
          <w:p>
            <w:pPr>
              <w:pStyle w:val="TableParagraph"/>
              <w:spacing w:before="0"/>
              <w:ind w:left="0"/>
              <w:rPr>
                <w:b/>
                <w:sz w:val="21"/>
              </w:rPr>
            </w:pPr>
          </w:p>
          <w:p>
            <w:pPr>
              <w:pStyle w:val="TableParagraph"/>
              <w:spacing w:before="0"/>
              <w:rPr>
                <w:b/>
                <w:sz w:val="22"/>
              </w:rPr>
            </w:pPr>
            <w:r>
              <w:rPr>
                <w:b/>
                <w:sz w:val="22"/>
              </w:rPr>
              <w:t>Capability</w:t>
            </w:r>
          </w:p>
        </w:tc>
        <w:tc>
          <w:tcPr>
            <w:tcW w:w="1549" w:type="dxa"/>
            <w:tcBorders>
              <w:top w:val="single" w:sz="4" w:space="0" w:color="0057B5"/>
              <w:bottom w:val="single" w:sz="4" w:space="0" w:color="0057B5"/>
            </w:tcBorders>
          </w:tcPr>
          <w:p>
            <w:pPr>
              <w:pStyle w:val="TableParagraph"/>
              <w:ind w:left="118" w:right="420"/>
              <w:rPr>
                <w:b/>
                <w:sz w:val="22"/>
              </w:rPr>
            </w:pPr>
            <w:r>
              <w:rPr>
                <w:b/>
                <w:sz w:val="22"/>
              </w:rPr>
              <w:t>Capability</w:t>
            </w:r>
            <w:r>
              <w:rPr>
                <w:b/>
                <w:spacing w:val="-53"/>
                <w:sz w:val="22"/>
              </w:rPr>
              <w:t> </w:t>
            </w:r>
            <w:r>
              <w:rPr>
                <w:b/>
                <w:sz w:val="22"/>
              </w:rPr>
              <w:t>Identifier</w:t>
            </w:r>
          </w:p>
        </w:tc>
        <w:tc>
          <w:tcPr>
            <w:tcW w:w="4837" w:type="dxa"/>
            <w:tcBorders>
              <w:top w:val="single" w:sz="4" w:space="0" w:color="0057B5"/>
              <w:bottom w:val="single" w:sz="4" w:space="0" w:color="0057B5"/>
            </w:tcBorders>
          </w:tcPr>
          <w:p>
            <w:pPr>
              <w:pStyle w:val="TableParagraph"/>
              <w:spacing w:before="0"/>
              <w:ind w:left="0"/>
              <w:rPr>
                <w:b/>
                <w:sz w:val="21"/>
              </w:rPr>
            </w:pPr>
          </w:p>
          <w:p>
            <w:pPr>
              <w:pStyle w:val="TableParagraph"/>
              <w:spacing w:before="0"/>
              <w:ind w:left="119"/>
              <w:rPr>
                <w:b/>
                <w:sz w:val="22"/>
              </w:rPr>
            </w:pPr>
            <w:r>
              <w:rPr>
                <w:b/>
                <w:sz w:val="22"/>
              </w:rPr>
              <w:t>Description</w:t>
            </w:r>
          </w:p>
        </w:tc>
        <w:tc>
          <w:tcPr>
            <w:tcW w:w="1585" w:type="dxa"/>
            <w:tcBorders>
              <w:top w:val="single" w:sz="4" w:space="0" w:color="0057B5"/>
              <w:bottom w:val="single" w:sz="4" w:space="0" w:color="0057B5"/>
            </w:tcBorders>
          </w:tcPr>
          <w:p>
            <w:pPr>
              <w:pStyle w:val="TableParagraph"/>
              <w:ind w:left="117"/>
              <w:rPr>
                <w:b/>
                <w:sz w:val="22"/>
              </w:rPr>
            </w:pPr>
            <w:r>
              <w:rPr>
                <w:b/>
                <w:sz w:val="22"/>
              </w:rPr>
              <w:t>NIST</w:t>
            </w:r>
            <w:r>
              <w:rPr>
                <w:b/>
                <w:spacing w:val="-3"/>
                <w:sz w:val="22"/>
              </w:rPr>
              <w:t> </w:t>
            </w:r>
            <w:r>
              <w:rPr>
                <w:b/>
                <w:sz w:val="22"/>
              </w:rPr>
              <w:t>CSF</w:t>
            </w:r>
          </w:p>
          <w:p>
            <w:pPr>
              <w:pStyle w:val="TableParagraph"/>
              <w:spacing w:before="0"/>
              <w:ind w:left="117"/>
              <w:rPr>
                <w:b/>
                <w:sz w:val="22"/>
              </w:rPr>
            </w:pPr>
            <w:r>
              <w:rPr>
                <w:b/>
                <w:sz w:val="22"/>
              </w:rPr>
              <w:t>Mapping</w:t>
            </w:r>
          </w:p>
        </w:tc>
      </w:tr>
      <w:tr>
        <w:trPr>
          <w:trHeight w:val="1490" w:hRule="atLeast"/>
        </w:trPr>
        <w:tc>
          <w:tcPr>
            <w:tcW w:w="1654" w:type="dxa"/>
            <w:tcBorders>
              <w:top w:val="single" w:sz="4" w:space="0" w:color="0057B5"/>
            </w:tcBorders>
            <w:shd w:val="clear" w:color="auto" w:fill="E7EAF3"/>
          </w:tcPr>
          <w:p>
            <w:pPr>
              <w:pStyle w:val="TableParagraph"/>
              <w:spacing w:before="104"/>
              <w:ind w:right="104"/>
              <w:rPr>
                <w:b/>
                <w:sz w:val="20"/>
              </w:rPr>
            </w:pPr>
            <w:r>
              <w:rPr>
                <w:b/>
                <w:sz w:val="20"/>
              </w:rPr>
              <w:t>Time</w:t>
            </w:r>
            <w:r>
              <w:rPr>
                <w:b/>
                <w:spacing w:val="1"/>
                <w:sz w:val="20"/>
              </w:rPr>
              <w:t> </w:t>
            </w:r>
            <w:r>
              <w:rPr>
                <w:b/>
                <w:sz w:val="20"/>
              </w:rPr>
              <w:t>Synchronization</w:t>
            </w:r>
          </w:p>
        </w:tc>
        <w:tc>
          <w:tcPr>
            <w:tcW w:w="1549" w:type="dxa"/>
            <w:tcBorders>
              <w:top w:val="single" w:sz="4" w:space="0" w:color="0057B5"/>
            </w:tcBorders>
            <w:shd w:val="clear" w:color="auto" w:fill="E7EAF3"/>
          </w:tcPr>
          <w:p>
            <w:pPr>
              <w:pStyle w:val="TableParagraph"/>
              <w:spacing w:before="104"/>
              <w:ind w:left="118"/>
              <w:rPr>
                <w:sz w:val="20"/>
              </w:rPr>
            </w:pPr>
            <w:r>
              <w:rPr>
                <w:sz w:val="20"/>
              </w:rPr>
              <w:t>3.UNI.TSYNC</w:t>
            </w:r>
          </w:p>
        </w:tc>
        <w:tc>
          <w:tcPr>
            <w:tcW w:w="4837" w:type="dxa"/>
            <w:tcBorders>
              <w:top w:val="single" w:sz="4" w:space="0" w:color="0057B5"/>
            </w:tcBorders>
            <w:shd w:val="clear" w:color="auto" w:fill="E7EAF3"/>
          </w:tcPr>
          <w:p>
            <w:pPr>
              <w:pStyle w:val="TableParagraph"/>
              <w:spacing w:before="104"/>
              <w:ind w:left="119" w:right="132"/>
              <w:rPr>
                <w:sz w:val="20"/>
              </w:rPr>
            </w:pPr>
            <w:r>
              <w:rPr>
                <w:sz w:val="20"/>
              </w:rPr>
              <w:t>Time synchronization is the coordination of system (e.g.,</w:t>
            </w:r>
            <w:r>
              <w:rPr>
                <w:spacing w:val="-47"/>
                <w:sz w:val="20"/>
              </w:rPr>
              <w:t> </w:t>
            </w:r>
            <w:r>
              <w:rPr>
                <w:sz w:val="20"/>
              </w:rPr>
              <w:t>servers, workstations, network devices) clocks to</w:t>
            </w:r>
            <w:r>
              <w:rPr>
                <w:spacing w:val="1"/>
                <w:sz w:val="20"/>
              </w:rPr>
              <w:t> </w:t>
            </w:r>
            <w:r>
              <w:rPr>
                <w:sz w:val="20"/>
              </w:rPr>
              <w:t>minimize the difference between system clock times and</w:t>
            </w:r>
            <w:r>
              <w:rPr>
                <w:spacing w:val="-47"/>
                <w:sz w:val="20"/>
              </w:rPr>
              <w:t> </w:t>
            </w:r>
            <w:r>
              <w:rPr>
                <w:sz w:val="20"/>
              </w:rPr>
              <w:t>enable accurate comparison of timestamps between</w:t>
            </w:r>
            <w:r>
              <w:rPr>
                <w:spacing w:val="1"/>
                <w:sz w:val="20"/>
              </w:rPr>
              <w:t> </w:t>
            </w:r>
            <w:r>
              <w:rPr>
                <w:sz w:val="20"/>
              </w:rPr>
              <w:t>systems.</w:t>
            </w:r>
          </w:p>
        </w:tc>
        <w:tc>
          <w:tcPr>
            <w:tcW w:w="1585" w:type="dxa"/>
            <w:tcBorders>
              <w:top w:val="single" w:sz="4" w:space="0" w:color="0057B5"/>
            </w:tcBorders>
            <w:shd w:val="clear" w:color="auto" w:fill="E7EAF3"/>
          </w:tcPr>
          <w:p>
            <w:pPr>
              <w:pStyle w:val="TableParagraph"/>
              <w:spacing w:before="104"/>
              <w:ind w:left="117"/>
              <w:rPr>
                <w:sz w:val="20"/>
              </w:rPr>
            </w:pPr>
            <w:r>
              <w:rPr>
                <w:sz w:val="20"/>
              </w:rPr>
              <w:t>PR.IP</w:t>
            </w:r>
          </w:p>
        </w:tc>
      </w:tr>
      <w:tr>
        <w:trPr>
          <w:trHeight w:val="1269" w:hRule="atLeast"/>
        </w:trPr>
        <w:tc>
          <w:tcPr>
            <w:tcW w:w="1654" w:type="dxa"/>
          </w:tcPr>
          <w:p>
            <w:pPr>
              <w:pStyle w:val="TableParagraph"/>
              <w:spacing w:before="114"/>
              <w:ind w:right="360"/>
              <w:rPr>
                <w:b/>
                <w:sz w:val="20"/>
              </w:rPr>
            </w:pPr>
            <w:r>
              <w:rPr>
                <w:b/>
                <w:sz w:val="20"/>
              </w:rPr>
              <w:t>Vulnerability</w:t>
            </w:r>
            <w:r>
              <w:rPr>
                <w:b/>
                <w:spacing w:val="-48"/>
                <w:sz w:val="20"/>
              </w:rPr>
              <w:t> </w:t>
            </w:r>
            <w:r>
              <w:rPr>
                <w:b/>
                <w:sz w:val="20"/>
              </w:rPr>
              <w:t>Management</w:t>
            </w:r>
          </w:p>
        </w:tc>
        <w:tc>
          <w:tcPr>
            <w:tcW w:w="1549" w:type="dxa"/>
          </w:tcPr>
          <w:p>
            <w:pPr>
              <w:pStyle w:val="TableParagraph"/>
              <w:spacing w:before="114"/>
              <w:ind w:left="118"/>
              <w:rPr>
                <w:sz w:val="20"/>
              </w:rPr>
            </w:pPr>
            <w:r>
              <w:rPr>
                <w:sz w:val="20"/>
              </w:rPr>
              <w:t>3.UNI.VMANG</w:t>
            </w:r>
          </w:p>
        </w:tc>
        <w:tc>
          <w:tcPr>
            <w:tcW w:w="4837" w:type="dxa"/>
          </w:tcPr>
          <w:p>
            <w:pPr>
              <w:pStyle w:val="TableParagraph"/>
              <w:spacing w:before="114"/>
              <w:ind w:left="119" w:right="233"/>
              <w:rPr>
                <w:sz w:val="20"/>
              </w:rPr>
            </w:pPr>
            <w:r>
              <w:rPr>
                <w:sz w:val="20"/>
              </w:rPr>
              <w:t>Vulnerability management is the practice of proactively</w:t>
            </w:r>
            <w:r>
              <w:rPr>
                <w:spacing w:val="-47"/>
                <w:sz w:val="20"/>
              </w:rPr>
              <w:t> </w:t>
            </w:r>
            <w:r>
              <w:rPr>
                <w:sz w:val="20"/>
              </w:rPr>
              <w:t>working to discover vulnerabilities by including the use</w:t>
            </w:r>
            <w:r>
              <w:rPr>
                <w:spacing w:val="-47"/>
                <w:sz w:val="20"/>
              </w:rPr>
              <w:t> </w:t>
            </w:r>
            <w:r>
              <w:rPr>
                <w:sz w:val="20"/>
              </w:rPr>
              <w:t>of both active and passive means of discovery and by</w:t>
            </w:r>
            <w:r>
              <w:rPr>
                <w:spacing w:val="1"/>
                <w:sz w:val="20"/>
              </w:rPr>
              <w:t> </w:t>
            </w:r>
            <w:r>
              <w:rPr>
                <w:sz w:val="20"/>
              </w:rPr>
              <w:t>taking</w:t>
            </w:r>
            <w:r>
              <w:rPr>
                <w:spacing w:val="-3"/>
                <w:sz w:val="20"/>
              </w:rPr>
              <w:t> </w:t>
            </w:r>
            <w:r>
              <w:rPr>
                <w:sz w:val="20"/>
              </w:rPr>
              <w:t>action</w:t>
            </w:r>
            <w:r>
              <w:rPr>
                <w:spacing w:val="-1"/>
                <w:sz w:val="20"/>
              </w:rPr>
              <w:t> </w:t>
            </w:r>
            <w:r>
              <w:rPr>
                <w:sz w:val="20"/>
              </w:rPr>
              <w:t>to</w:t>
            </w:r>
            <w:r>
              <w:rPr>
                <w:spacing w:val="-2"/>
                <w:sz w:val="20"/>
              </w:rPr>
              <w:t> </w:t>
            </w:r>
            <w:r>
              <w:rPr>
                <w:sz w:val="20"/>
              </w:rPr>
              <w:t>mitigate</w:t>
            </w:r>
            <w:r>
              <w:rPr>
                <w:spacing w:val="-2"/>
                <w:sz w:val="20"/>
              </w:rPr>
              <w:t> </w:t>
            </w:r>
            <w:r>
              <w:rPr>
                <w:sz w:val="20"/>
              </w:rPr>
              <w:t>discovered</w:t>
            </w:r>
            <w:r>
              <w:rPr>
                <w:spacing w:val="-3"/>
                <w:sz w:val="20"/>
              </w:rPr>
              <w:t> </w:t>
            </w:r>
            <w:r>
              <w:rPr>
                <w:sz w:val="20"/>
              </w:rPr>
              <w:t>vulnerabilities.</w:t>
            </w:r>
          </w:p>
        </w:tc>
        <w:tc>
          <w:tcPr>
            <w:tcW w:w="1585" w:type="dxa"/>
          </w:tcPr>
          <w:p>
            <w:pPr>
              <w:pStyle w:val="TableParagraph"/>
              <w:spacing w:before="114"/>
              <w:ind w:left="117" w:right="159"/>
              <w:rPr>
                <w:sz w:val="20"/>
              </w:rPr>
            </w:pPr>
            <w:r>
              <w:rPr>
                <w:sz w:val="20"/>
              </w:rPr>
              <w:t>ID.RA, PR.IP</w:t>
            </w:r>
            <w:r>
              <w:rPr>
                <w:spacing w:val="1"/>
                <w:sz w:val="20"/>
              </w:rPr>
              <w:t> </w:t>
            </w:r>
            <w:r>
              <w:rPr>
                <w:sz w:val="20"/>
              </w:rPr>
              <w:t>DE.AE,</w:t>
            </w:r>
            <w:r>
              <w:rPr>
                <w:spacing w:val="1"/>
                <w:sz w:val="20"/>
              </w:rPr>
              <w:t> </w:t>
            </w:r>
            <w:r>
              <w:rPr>
                <w:sz w:val="20"/>
              </w:rPr>
              <w:t>DE.CM,</w:t>
            </w:r>
            <w:r>
              <w:rPr>
                <w:spacing w:val="-12"/>
                <w:sz w:val="20"/>
              </w:rPr>
              <w:t> </w:t>
            </w:r>
            <w:r>
              <w:rPr>
                <w:sz w:val="20"/>
              </w:rPr>
              <w:t>DE.DP</w:t>
            </w:r>
          </w:p>
        </w:tc>
      </w:tr>
      <w:tr>
        <w:trPr>
          <w:trHeight w:val="1040" w:hRule="atLeast"/>
        </w:trPr>
        <w:tc>
          <w:tcPr>
            <w:tcW w:w="1654" w:type="dxa"/>
            <w:shd w:val="clear" w:color="auto" w:fill="E7EAF3"/>
          </w:tcPr>
          <w:p>
            <w:pPr>
              <w:pStyle w:val="TableParagraph"/>
              <w:spacing w:before="114"/>
              <w:ind w:right="383"/>
              <w:rPr>
                <w:b/>
                <w:sz w:val="20"/>
              </w:rPr>
            </w:pPr>
            <w:r>
              <w:rPr>
                <w:b/>
                <w:sz w:val="20"/>
              </w:rPr>
              <w:t>Patch</w:t>
            </w:r>
            <w:r>
              <w:rPr>
                <w:b/>
                <w:spacing w:val="1"/>
                <w:sz w:val="20"/>
              </w:rPr>
              <w:t> </w:t>
            </w:r>
            <w:r>
              <w:rPr>
                <w:b/>
                <w:sz w:val="20"/>
              </w:rPr>
              <w:t>Management</w:t>
            </w:r>
          </w:p>
        </w:tc>
        <w:tc>
          <w:tcPr>
            <w:tcW w:w="1549" w:type="dxa"/>
            <w:shd w:val="clear" w:color="auto" w:fill="E7EAF3"/>
          </w:tcPr>
          <w:p>
            <w:pPr>
              <w:pStyle w:val="TableParagraph"/>
              <w:ind w:left="118"/>
              <w:rPr>
                <w:sz w:val="20"/>
              </w:rPr>
            </w:pPr>
            <w:r>
              <w:rPr>
                <w:sz w:val="20"/>
              </w:rPr>
              <w:t>3.UNI.PMANA</w:t>
            </w:r>
          </w:p>
        </w:tc>
        <w:tc>
          <w:tcPr>
            <w:tcW w:w="4837" w:type="dxa"/>
            <w:shd w:val="clear" w:color="auto" w:fill="E7EAF3"/>
          </w:tcPr>
          <w:p>
            <w:pPr>
              <w:pStyle w:val="TableParagraph"/>
              <w:spacing w:before="114"/>
              <w:ind w:left="119" w:right="221"/>
              <w:rPr>
                <w:sz w:val="20"/>
              </w:rPr>
            </w:pPr>
            <w:r>
              <w:rPr>
                <w:sz w:val="20"/>
              </w:rPr>
              <w:t>Patch management is the identification, acquisition,</w:t>
            </w:r>
            <w:r>
              <w:rPr>
                <w:spacing w:val="1"/>
                <w:sz w:val="20"/>
              </w:rPr>
              <w:t> </w:t>
            </w:r>
            <w:r>
              <w:rPr>
                <w:sz w:val="20"/>
              </w:rPr>
              <w:t>installation, and verification of patches for products and</w:t>
            </w:r>
            <w:r>
              <w:rPr>
                <w:spacing w:val="-48"/>
                <w:sz w:val="20"/>
              </w:rPr>
              <w:t> </w:t>
            </w:r>
            <w:r>
              <w:rPr>
                <w:sz w:val="20"/>
              </w:rPr>
              <w:t>systems.</w:t>
            </w:r>
          </w:p>
        </w:tc>
        <w:tc>
          <w:tcPr>
            <w:tcW w:w="1585" w:type="dxa"/>
            <w:shd w:val="clear" w:color="auto" w:fill="E7EAF3"/>
          </w:tcPr>
          <w:p>
            <w:pPr>
              <w:pStyle w:val="TableParagraph"/>
              <w:spacing w:before="114"/>
              <w:ind w:left="117" w:right="242"/>
              <w:rPr>
                <w:sz w:val="20"/>
              </w:rPr>
            </w:pPr>
            <w:r>
              <w:rPr>
                <w:sz w:val="20"/>
              </w:rPr>
              <w:t>ID.AM, PR.IP,</w:t>
            </w:r>
            <w:r>
              <w:rPr>
                <w:spacing w:val="-47"/>
                <w:sz w:val="20"/>
              </w:rPr>
              <w:t> </w:t>
            </w:r>
            <w:r>
              <w:rPr>
                <w:sz w:val="20"/>
              </w:rPr>
              <w:t>PR.MA</w:t>
            </w:r>
          </w:p>
        </w:tc>
      </w:tr>
      <w:tr>
        <w:trPr>
          <w:trHeight w:val="1729" w:hRule="atLeast"/>
        </w:trPr>
        <w:tc>
          <w:tcPr>
            <w:tcW w:w="1654" w:type="dxa"/>
          </w:tcPr>
          <w:p>
            <w:pPr>
              <w:pStyle w:val="TableParagraph"/>
              <w:spacing w:before="114"/>
              <w:ind w:right="376"/>
              <w:rPr>
                <w:b/>
                <w:sz w:val="20"/>
              </w:rPr>
            </w:pPr>
            <w:r>
              <w:rPr>
                <w:b/>
                <w:sz w:val="20"/>
              </w:rPr>
              <w:t>Auditing and</w:t>
            </w:r>
            <w:r>
              <w:rPr>
                <w:b/>
                <w:spacing w:val="-47"/>
                <w:sz w:val="20"/>
              </w:rPr>
              <w:t> </w:t>
            </w:r>
            <w:r>
              <w:rPr>
                <w:b/>
                <w:sz w:val="20"/>
              </w:rPr>
              <w:t>Accounting</w:t>
            </w:r>
          </w:p>
        </w:tc>
        <w:tc>
          <w:tcPr>
            <w:tcW w:w="1549" w:type="dxa"/>
          </w:tcPr>
          <w:p>
            <w:pPr>
              <w:pStyle w:val="TableParagraph"/>
              <w:spacing w:before="114"/>
              <w:ind w:left="118"/>
              <w:rPr>
                <w:sz w:val="20"/>
              </w:rPr>
            </w:pPr>
            <w:r>
              <w:rPr>
                <w:sz w:val="20"/>
              </w:rPr>
              <w:t>3.UNI.AACCO</w:t>
            </w:r>
          </w:p>
        </w:tc>
        <w:tc>
          <w:tcPr>
            <w:tcW w:w="4837" w:type="dxa"/>
          </w:tcPr>
          <w:p>
            <w:pPr>
              <w:pStyle w:val="TableParagraph"/>
              <w:spacing w:before="114"/>
              <w:ind w:left="119" w:right="115"/>
              <w:rPr>
                <w:sz w:val="20"/>
              </w:rPr>
            </w:pPr>
            <w:r>
              <w:rPr>
                <w:sz w:val="20"/>
              </w:rPr>
              <w:t>Auditing and accounting includes capturing business</w:t>
            </w:r>
            <w:r>
              <w:rPr>
                <w:spacing w:val="1"/>
                <w:sz w:val="20"/>
              </w:rPr>
              <w:t> </w:t>
            </w:r>
            <w:r>
              <w:rPr>
                <w:sz w:val="20"/>
              </w:rPr>
              <w:t>records (e.g., logs and other telemetry), making them</w:t>
            </w:r>
            <w:r>
              <w:rPr>
                <w:spacing w:val="1"/>
                <w:sz w:val="20"/>
              </w:rPr>
              <w:t> </w:t>
            </w:r>
            <w:r>
              <w:rPr>
                <w:sz w:val="20"/>
              </w:rPr>
              <w:t>available for auditing and accounting as required, and</w:t>
            </w:r>
            <w:r>
              <w:rPr>
                <w:spacing w:val="1"/>
                <w:sz w:val="20"/>
              </w:rPr>
              <w:t> </w:t>
            </w:r>
            <w:r>
              <w:rPr>
                <w:sz w:val="20"/>
              </w:rPr>
              <w:t>designing an auditing system that considers insider threat</w:t>
            </w:r>
            <w:r>
              <w:rPr>
                <w:spacing w:val="-47"/>
                <w:sz w:val="20"/>
              </w:rPr>
              <w:t> </w:t>
            </w:r>
            <w:r>
              <w:rPr>
                <w:sz w:val="20"/>
              </w:rPr>
              <w:t>(e.g., separation of duties violation tracking) such that</w:t>
            </w:r>
            <w:r>
              <w:rPr>
                <w:spacing w:val="1"/>
                <w:sz w:val="20"/>
              </w:rPr>
              <w:t> </w:t>
            </w:r>
            <w:r>
              <w:rPr>
                <w:sz w:val="20"/>
              </w:rPr>
              <w:t>insider</w:t>
            </w:r>
            <w:r>
              <w:rPr>
                <w:spacing w:val="-2"/>
                <w:sz w:val="20"/>
              </w:rPr>
              <w:t> </w:t>
            </w:r>
            <w:r>
              <w:rPr>
                <w:sz w:val="20"/>
              </w:rPr>
              <w:t>abuse</w:t>
            </w:r>
            <w:r>
              <w:rPr>
                <w:spacing w:val="-1"/>
                <w:sz w:val="20"/>
              </w:rPr>
              <w:t> </w:t>
            </w:r>
            <w:r>
              <w:rPr>
                <w:sz w:val="20"/>
              </w:rPr>
              <w:t>or</w:t>
            </w:r>
            <w:r>
              <w:rPr>
                <w:spacing w:val="-1"/>
                <w:sz w:val="20"/>
              </w:rPr>
              <w:t> </w:t>
            </w:r>
            <w:r>
              <w:rPr>
                <w:sz w:val="20"/>
              </w:rPr>
              <w:t>misuse can</w:t>
            </w:r>
            <w:r>
              <w:rPr>
                <w:spacing w:val="-2"/>
                <w:sz w:val="20"/>
              </w:rPr>
              <w:t> </w:t>
            </w:r>
            <w:r>
              <w:rPr>
                <w:sz w:val="20"/>
              </w:rPr>
              <w:t>be detected.</w:t>
            </w:r>
          </w:p>
        </w:tc>
        <w:tc>
          <w:tcPr>
            <w:tcW w:w="1585" w:type="dxa"/>
          </w:tcPr>
          <w:p>
            <w:pPr>
              <w:pStyle w:val="TableParagraph"/>
              <w:spacing w:before="114"/>
              <w:ind w:left="117" w:right="219"/>
              <w:rPr>
                <w:sz w:val="20"/>
              </w:rPr>
            </w:pPr>
            <w:r>
              <w:rPr>
                <w:sz w:val="20"/>
              </w:rPr>
              <w:t>ID.SC, PR.AC,</w:t>
            </w:r>
            <w:r>
              <w:rPr>
                <w:spacing w:val="-47"/>
                <w:sz w:val="20"/>
              </w:rPr>
              <w:t> </w:t>
            </w:r>
            <w:r>
              <w:rPr>
                <w:sz w:val="20"/>
              </w:rPr>
              <w:t>PR.PT</w:t>
            </w:r>
          </w:p>
        </w:tc>
      </w:tr>
      <w:tr>
        <w:trPr>
          <w:trHeight w:val="1040" w:hRule="atLeast"/>
        </w:trPr>
        <w:tc>
          <w:tcPr>
            <w:tcW w:w="1654" w:type="dxa"/>
            <w:shd w:val="clear" w:color="auto" w:fill="E7EAF3"/>
          </w:tcPr>
          <w:p>
            <w:pPr>
              <w:pStyle w:val="TableParagraph"/>
              <w:rPr>
                <w:b/>
                <w:sz w:val="20"/>
              </w:rPr>
            </w:pPr>
            <w:r>
              <w:rPr>
                <w:b/>
                <w:sz w:val="20"/>
              </w:rPr>
              <w:t>Resilience</w:t>
            </w:r>
          </w:p>
        </w:tc>
        <w:tc>
          <w:tcPr>
            <w:tcW w:w="1549" w:type="dxa"/>
            <w:shd w:val="clear" w:color="auto" w:fill="E7EAF3"/>
          </w:tcPr>
          <w:p>
            <w:pPr>
              <w:pStyle w:val="TableParagraph"/>
              <w:ind w:left="118"/>
              <w:rPr>
                <w:sz w:val="20"/>
              </w:rPr>
            </w:pPr>
            <w:r>
              <w:rPr>
                <w:sz w:val="20"/>
              </w:rPr>
              <w:t>3.UNI.RESIL</w:t>
            </w:r>
          </w:p>
        </w:tc>
        <w:tc>
          <w:tcPr>
            <w:tcW w:w="4837" w:type="dxa"/>
            <w:shd w:val="clear" w:color="auto" w:fill="E7EAF3"/>
          </w:tcPr>
          <w:p>
            <w:pPr>
              <w:pStyle w:val="TableParagraph"/>
              <w:spacing w:before="114"/>
              <w:ind w:left="119" w:right="387"/>
              <w:rPr>
                <w:sz w:val="20"/>
              </w:rPr>
            </w:pPr>
            <w:r>
              <w:rPr>
                <w:sz w:val="20"/>
              </w:rPr>
              <w:t>Resilience entails ensuring that systems, services, and</w:t>
            </w:r>
            <w:r>
              <w:rPr>
                <w:spacing w:val="-48"/>
                <w:sz w:val="20"/>
              </w:rPr>
              <w:t> </w:t>
            </w:r>
            <w:r>
              <w:rPr>
                <w:sz w:val="20"/>
              </w:rPr>
              <w:t>protections maintain acceptable performance under</w:t>
            </w:r>
            <w:r>
              <w:rPr>
                <w:spacing w:val="1"/>
                <w:sz w:val="20"/>
              </w:rPr>
              <w:t> </w:t>
            </w:r>
            <w:r>
              <w:rPr>
                <w:sz w:val="20"/>
              </w:rPr>
              <w:t>adverse</w:t>
            </w:r>
            <w:r>
              <w:rPr>
                <w:spacing w:val="-1"/>
                <w:sz w:val="20"/>
              </w:rPr>
              <w:t> </w:t>
            </w:r>
            <w:r>
              <w:rPr>
                <w:sz w:val="20"/>
              </w:rPr>
              <w:t>conditions.</w:t>
            </w:r>
          </w:p>
        </w:tc>
        <w:tc>
          <w:tcPr>
            <w:tcW w:w="1585" w:type="dxa"/>
            <w:shd w:val="clear" w:color="auto" w:fill="E7EAF3"/>
          </w:tcPr>
          <w:p>
            <w:pPr>
              <w:pStyle w:val="TableParagraph"/>
              <w:spacing w:before="114"/>
              <w:ind w:left="117"/>
              <w:rPr>
                <w:sz w:val="20"/>
              </w:rPr>
            </w:pPr>
            <w:r>
              <w:rPr>
                <w:sz w:val="20"/>
              </w:rPr>
              <w:t>ID.BE,</w:t>
            </w:r>
            <w:r>
              <w:rPr>
                <w:spacing w:val="-2"/>
                <w:sz w:val="20"/>
              </w:rPr>
              <w:t> </w:t>
            </w:r>
            <w:r>
              <w:rPr>
                <w:sz w:val="20"/>
              </w:rPr>
              <w:t>PR.PT</w:t>
            </w:r>
          </w:p>
        </w:tc>
      </w:tr>
      <w:tr>
        <w:trPr>
          <w:trHeight w:val="1039" w:hRule="atLeast"/>
        </w:trPr>
        <w:tc>
          <w:tcPr>
            <w:tcW w:w="1654" w:type="dxa"/>
          </w:tcPr>
          <w:p>
            <w:pPr>
              <w:pStyle w:val="TableParagraph"/>
              <w:spacing w:before="114"/>
              <w:ind w:right="516"/>
              <w:rPr>
                <w:b/>
                <w:sz w:val="20"/>
              </w:rPr>
            </w:pPr>
            <w:r>
              <w:rPr>
                <w:b/>
                <w:sz w:val="20"/>
              </w:rPr>
              <w:t>Enterprise</w:t>
            </w:r>
            <w:r>
              <w:rPr>
                <w:b/>
                <w:spacing w:val="1"/>
                <w:sz w:val="20"/>
              </w:rPr>
              <w:t> </w:t>
            </w:r>
            <w:r>
              <w:rPr>
                <w:b/>
                <w:sz w:val="20"/>
              </w:rPr>
              <w:t>Threat</w:t>
            </w:r>
            <w:r>
              <w:rPr>
                <w:b/>
                <w:spacing w:val="1"/>
                <w:sz w:val="20"/>
              </w:rPr>
              <w:t> </w:t>
            </w:r>
            <w:r>
              <w:rPr>
                <w:b/>
                <w:sz w:val="20"/>
              </w:rPr>
              <w:t>Intelligence</w:t>
            </w:r>
          </w:p>
        </w:tc>
        <w:tc>
          <w:tcPr>
            <w:tcW w:w="1549" w:type="dxa"/>
          </w:tcPr>
          <w:p>
            <w:pPr>
              <w:pStyle w:val="TableParagraph"/>
              <w:spacing w:before="114"/>
              <w:ind w:left="118"/>
              <w:rPr>
                <w:sz w:val="20"/>
              </w:rPr>
            </w:pPr>
            <w:r>
              <w:rPr>
                <w:sz w:val="20"/>
              </w:rPr>
              <w:t>3.UNI.ETINT</w:t>
            </w:r>
          </w:p>
        </w:tc>
        <w:tc>
          <w:tcPr>
            <w:tcW w:w="4837" w:type="dxa"/>
          </w:tcPr>
          <w:p>
            <w:pPr>
              <w:pStyle w:val="TableParagraph"/>
              <w:spacing w:before="114"/>
              <w:ind w:left="119" w:right="661"/>
              <w:jc w:val="both"/>
              <w:rPr>
                <w:sz w:val="20"/>
              </w:rPr>
            </w:pPr>
            <w:r>
              <w:rPr>
                <w:sz w:val="20"/>
              </w:rPr>
              <w:t>Enterprise threat intelligence is the usage of threat</w:t>
            </w:r>
            <w:r>
              <w:rPr>
                <w:spacing w:val="-47"/>
                <w:sz w:val="20"/>
              </w:rPr>
              <w:t> </w:t>
            </w:r>
            <w:r>
              <w:rPr>
                <w:sz w:val="20"/>
              </w:rPr>
              <w:t>intelligence from private or government sources to</w:t>
            </w:r>
            <w:r>
              <w:rPr>
                <w:spacing w:val="-48"/>
                <w:sz w:val="20"/>
              </w:rPr>
              <w:t> </w:t>
            </w:r>
            <w:r>
              <w:rPr>
                <w:sz w:val="20"/>
              </w:rPr>
              <w:t>implement</w:t>
            </w:r>
            <w:r>
              <w:rPr>
                <w:spacing w:val="-3"/>
                <w:sz w:val="20"/>
              </w:rPr>
              <w:t> </w:t>
            </w:r>
            <w:r>
              <w:rPr>
                <w:sz w:val="20"/>
              </w:rPr>
              <w:t>mitigations</w:t>
            </w:r>
            <w:r>
              <w:rPr>
                <w:spacing w:val="-1"/>
                <w:sz w:val="20"/>
              </w:rPr>
              <w:t> </w:t>
            </w:r>
            <w:r>
              <w:rPr>
                <w:sz w:val="20"/>
              </w:rPr>
              <w:t>for</w:t>
            </w:r>
            <w:r>
              <w:rPr>
                <w:spacing w:val="-2"/>
                <w:sz w:val="20"/>
              </w:rPr>
              <w:t> </w:t>
            </w:r>
            <w:r>
              <w:rPr>
                <w:sz w:val="20"/>
              </w:rPr>
              <w:t>the</w:t>
            </w:r>
            <w:r>
              <w:rPr>
                <w:spacing w:val="-4"/>
                <w:sz w:val="20"/>
              </w:rPr>
              <w:t> </w:t>
            </w:r>
            <w:r>
              <w:rPr>
                <w:sz w:val="20"/>
              </w:rPr>
              <w:t>identified</w:t>
            </w:r>
            <w:r>
              <w:rPr>
                <w:spacing w:val="-3"/>
                <w:sz w:val="20"/>
              </w:rPr>
              <w:t> </w:t>
            </w:r>
            <w:r>
              <w:rPr>
                <w:sz w:val="20"/>
              </w:rPr>
              <w:t>risks.</w:t>
            </w:r>
          </w:p>
        </w:tc>
        <w:tc>
          <w:tcPr>
            <w:tcW w:w="1585" w:type="dxa"/>
          </w:tcPr>
          <w:p>
            <w:pPr>
              <w:pStyle w:val="TableParagraph"/>
              <w:spacing w:before="114"/>
              <w:ind w:left="117" w:right="159"/>
              <w:rPr>
                <w:sz w:val="20"/>
              </w:rPr>
            </w:pPr>
            <w:r>
              <w:rPr>
                <w:sz w:val="20"/>
              </w:rPr>
              <w:t>ID.RA, DE.AE,</w:t>
            </w:r>
            <w:r>
              <w:rPr>
                <w:spacing w:val="-47"/>
                <w:sz w:val="20"/>
              </w:rPr>
              <w:t> </w:t>
            </w:r>
            <w:r>
              <w:rPr>
                <w:sz w:val="20"/>
              </w:rPr>
              <w:t>DE.CM,</w:t>
            </w:r>
            <w:r>
              <w:rPr>
                <w:spacing w:val="-12"/>
                <w:sz w:val="20"/>
              </w:rPr>
              <w:t> </w:t>
            </w:r>
            <w:r>
              <w:rPr>
                <w:sz w:val="20"/>
              </w:rPr>
              <w:t>DE.DP</w:t>
            </w:r>
          </w:p>
        </w:tc>
      </w:tr>
      <w:tr>
        <w:trPr>
          <w:trHeight w:val="1380" w:hRule="atLeast"/>
        </w:trPr>
        <w:tc>
          <w:tcPr>
            <w:tcW w:w="1654" w:type="dxa"/>
            <w:shd w:val="clear" w:color="auto" w:fill="E7EAF3"/>
          </w:tcPr>
          <w:p>
            <w:pPr>
              <w:pStyle w:val="TableParagraph"/>
              <w:ind w:right="571"/>
              <w:rPr>
                <w:b/>
                <w:sz w:val="20"/>
              </w:rPr>
            </w:pPr>
            <w:r>
              <w:rPr>
                <w:b/>
                <w:sz w:val="20"/>
              </w:rPr>
              <w:t>Situational</w:t>
            </w:r>
            <w:r>
              <w:rPr>
                <w:b/>
                <w:spacing w:val="-47"/>
                <w:sz w:val="20"/>
              </w:rPr>
              <w:t> </w:t>
            </w:r>
            <w:r>
              <w:rPr>
                <w:b/>
                <w:sz w:val="20"/>
              </w:rPr>
              <w:t>Awareness</w:t>
            </w:r>
          </w:p>
        </w:tc>
        <w:tc>
          <w:tcPr>
            <w:tcW w:w="1549" w:type="dxa"/>
            <w:shd w:val="clear" w:color="auto" w:fill="E7EAF3"/>
          </w:tcPr>
          <w:p>
            <w:pPr>
              <w:pStyle w:val="TableParagraph"/>
              <w:ind w:left="118"/>
              <w:rPr>
                <w:sz w:val="20"/>
              </w:rPr>
            </w:pPr>
            <w:r>
              <w:rPr>
                <w:sz w:val="20"/>
              </w:rPr>
              <w:t>3.UNI.SAWAR</w:t>
            </w:r>
          </w:p>
        </w:tc>
        <w:tc>
          <w:tcPr>
            <w:tcW w:w="4837" w:type="dxa"/>
            <w:shd w:val="clear" w:color="auto" w:fill="E7EAF3"/>
          </w:tcPr>
          <w:p>
            <w:pPr>
              <w:pStyle w:val="TableParagraph"/>
              <w:ind w:left="119" w:right="99"/>
              <w:rPr>
                <w:sz w:val="20"/>
              </w:rPr>
            </w:pPr>
            <w:r>
              <w:rPr>
                <w:sz w:val="20"/>
              </w:rPr>
              <w:t>Situational awareness is maintaining effective awareness,</w:t>
            </w:r>
            <w:r>
              <w:rPr>
                <w:spacing w:val="-48"/>
                <w:sz w:val="20"/>
              </w:rPr>
              <w:t> </w:t>
            </w:r>
            <w:r>
              <w:rPr>
                <w:sz w:val="20"/>
              </w:rPr>
              <w:t>both</w:t>
            </w:r>
            <w:r>
              <w:rPr>
                <w:spacing w:val="-1"/>
                <w:sz w:val="20"/>
              </w:rPr>
              <w:t> </w:t>
            </w:r>
            <w:r>
              <w:rPr>
                <w:sz w:val="20"/>
              </w:rPr>
              <w:t>current</w:t>
            </w:r>
            <w:r>
              <w:rPr>
                <w:spacing w:val="-2"/>
                <w:sz w:val="20"/>
              </w:rPr>
              <w:t> </w:t>
            </w:r>
            <w:r>
              <w:rPr>
                <w:sz w:val="20"/>
              </w:rPr>
              <w:t>and</w:t>
            </w:r>
            <w:r>
              <w:rPr>
                <w:spacing w:val="-2"/>
                <w:sz w:val="20"/>
              </w:rPr>
              <w:t> </w:t>
            </w:r>
            <w:r>
              <w:rPr>
                <w:sz w:val="20"/>
              </w:rPr>
              <w:t>historical,</w:t>
            </w:r>
            <w:r>
              <w:rPr>
                <w:spacing w:val="-2"/>
                <w:sz w:val="20"/>
              </w:rPr>
              <w:t> </w:t>
            </w:r>
            <w:r>
              <w:rPr>
                <w:sz w:val="20"/>
              </w:rPr>
              <w:t>across</w:t>
            </w:r>
            <w:r>
              <w:rPr>
                <w:spacing w:val="-2"/>
                <w:sz w:val="20"/>
              </w:rPr>
              <w:t> </w:t>
            </w:r>
            <w:r>
              <w:rPr>
                <w:sz w:val="20"/>
              </w:rPr>
              <w:t>all</w:t>
            </w:r>
            <w:r>
              <w:rPr>
                <w:spacing w:val="-2"/>
                <w:sz w:val="20"/>
              </w:rPr>
              <w:t> </w:t>
            </w:r>
            <w:r>
              <w:rPr>
                <w:sz w:val="20"/>
              </w:rPr>
              <w:t>components.</w:t>
            </w:r>
          </w:p>
        </w:tc>
        <w:tc>
          <w:tcPr>
            <w:tcW w:w="1585" w:type="dxa"/>
            <w:shd w:val="clear" w:color="auto" w:fill="E7EAF3"/>
          </w:tcPr>
          <w:p>
            <w:pPr>
              <w:pStyle w:val="TableParagraph"/>
              <w:spacing w:line="230" w:lineRule="exact"/>
              <w:ind w:left="117"/>
              <w:rPr>
                <w:sz w:val="20"/>
              </w:rPr>
            </w:pPr>
            <w:r>
              <w:rPr>
                <w:sz w:val="20"/>
              </w:rPr>
              <w:t>ID.AM,</w:t>
            </w:r>
            <w:r>
              <w:rPr>
                <w:spacing w:val="-3"/>
                <w:sz w:val="20"/>
              </w:rPr>
              <w:t> </w:t>
            </w:r>
            <w:r>
              <w:rPr>
                <w:sz w:val="20"/>
              </w:rPr>
              <w:t>ID.RA,</w:t>
            </w:r>
          </w:p>
          <w:p>
            <w:pPr>
              <w:pStyle w:val="TableParagraph"/>
              <w:spacing w:before="0"/>
              <w:ind w:left="117" w:right="114"/>
              <w:rPr>
                <w:sz w:val="20"/>
              </w:rPr>
            </w:pPr>
            <w:r>
              <w:rPr>
                <w:sz w:val="20"/>
              </w:rPr>
              <w:t>PR.DS, PR.IP,</w:t>
            </w:r>
            <w:r>
              <w:rPr>
                <w:spacing w:val="1"/>
                <w:sz w:val="20"/>
              </w:rPr>
              <w:t> </w:t>
            </w:r>
            <w:r>
              <w:rPr>
                <w:sz w:val="20"/>
              </w:rPr>
              <w:t>DE.AE,</w:t>
            </w:r>
            <w:r>
              <w:rPr>
                <w:spacing w:val="1"/>
                <w:sz w:val="20"/>
              </w:rPr>
              <w:t> </w:t>
            </w:r>
            <w:r>
              <w:rPr>
                <w:sz w:val="20"/>
              </w:rPr>
              <w:t>DE.CM, DE.DP,</w:t>
            </w:r>
            <w:r>
              <w:rPr>
                <w:spacing w:val="-47"/>
                <w:sz w:val="20"/>
              </w:rPr>
              <w:t> </w:t>
            </w:r>
            <w:r>
              <w:rPr>
                <w:sz w:val="20"/>
              </w:rPr>
              <w:t>RS.CO</w:t>
            </w:r>
          </w:p>
        </w:tc>
      </w:tr>
      <w:tr>
        <w:trPr>
          <w:trHeight w:val="1040" w:hRule="atLeast"/>
        </w:trPr>
        <w:tc>
          <w:tcPr>
            <w:tcW w:w="1654" w:type="dxa"/>
          </w:tcPr>
          <w:p>
            <w:pPr>
              <w:pStyle w:val="TableParagraph"/>
              <w:ind w:right="99"/>
              <w:rPr>
                <w:b/>
                <w:sz w:val="20"/>
              </w:rPr>
            </w:pPr>
            <w:r>
              <w:rPr>
                <w:b/>
                <w:sz w:val="20"/>
              </w:rPr>
              <w:t>Dynamic Threat</w:t>
            </w:r>
            <w:r>
              <w:rPr>
                <w:b/>
                <w:spacing w:val="-47"/>
                <w:sz w:val="20"/>
              </w:rPr>
              <w:t> </w:t>
            </w:r>
            <w:r>
              <w:rPr>
                <w:b/>
                <w:sz w:val="20"/>
              </w:rPr>
              <w:t>Discovery</w:t>
            </w:r>
          </w:p>
        </w:tc>
        <w:tc>
          <w:tcPr>
            <w:tcW w:w="1549" w:type="dxa"/>
          </w:tcPr>
          <w:p>
            <w:pPr>
              <w:pStyle w:val="TableParagraph"/>
              <w:ind w:left="118"/>
              <w:rPr>
                <w:sz w:val="20"/>
              </w:rPr>
            </w:pPr>
            <w:r>
              <w:rPr>
                <w:sz w:val="20"/>
              </w:rPr>
              <w:t>3.UNI.DTDIS</w:t>
            </w:r>
          </w:p>
        </w:tc>
        <w:tc>
          <w:tcPr>
            <w:tcW w:w="4837" w:type="dxa"/>
          </w:tcPr>
          <w:p>
            <w:pPr>
              <w:pStyle w:val="TableParagraph"/>
              <w:ind w:left="119" w:right="210"/>
              <w:rPr>
                <w:sz w:val="20"/>
              </w:rPr>
            </w:pPr>
            <w:r>
              <w:rPr>
                <w:sz w:val="20"/>
              </w:rPr>
              <w:t>Dynamic threat discovery is the practice of using</w:t>
            </w:r>
            <w:r>
              <w:rPr>
                <w:spacing w:val="1"/>
                <w:sz w:val="20"/>
              </w:rPr>
              <w:t> </w:t>
            </w:r>
            <w:r>
              <w:rPr>
                <w:sz w:val="20"/>
              </w:rPr>
              <w:t>dynamic approaches (e.g., heuristics, baselining, etc.) to</w:t>
            </w:r>
            <w:r>
              <w:rPr>
                <w:spacing w:val="-47"/>
                <w:sz w:val="20"/>
              </w:rPr>
              <w:t> </w:t>
            </w:r>
            <w:r>
              <w:rPr>
                <w:sz w:val="20"/>
              </w:rPr>
              <w:t>discover</w:t>
            </w:r>
            <w:r>
              <w:rPr>
                <w:spacing w:val="-2"/>
                <w:sz w:val="20"/>
              </w:rPr>
              <w:t> </w:t>
            </w:r>
            <w:r>
              <w:rPr>
                <w:sz w:val="20"/>
              </w:rPr>
              <w:t>new</w:t>
            </w:r>
            <w:r>
              <w:rPr>
                <w:spacing w:val="-1"/>
                <w:sz w:val="20"/>
              </w:rPr>
              <w:t> </w:t>
            </w:r>
            <w:r>
              <w:rPr>
                <w:sz w:val="20"/>
              </w:rPr>
              <w:t>malicious activity.</w:t>
            </w:r>
          </w:p>
        </w:tc>
        <w:tc>
          <w:tcPr>
            <w:tcW w:w="1585" w:type="dxa"/>
          </w:tcPr>
          <w:p>
            <w:pPr>
              <w:pStyle w:val="TableParagraph"/>
              <w:ind w:left="117" w:right="159"/>
              <w:rPr>
                <w:sz w:val="20"/>
              </w:rPr>
            </w:pPr>
            <w:r>
              <w:rPr>
                <w:sz w:val="20"/>
              </w:rPr>
              <w:t>ID.RA, DE.AE,</w:t>
            </w:r>
            <w:r>
              <w:rPr>
                <w:spacing w:val="-47"/>
                <w:sz w:val="20"/>
              </w:rPr>
              <w:t> </w:t>
            </w:r>
            <w:r>
              <w:rPr>
                <w:sz w:val="20"/>
              </w:rPr>
              <w:t>DE.CM,</w:t>
            </w:r>
            <w:r>
              <w:rPr>
                <w:spacing w:val="-12"/>
                <w:sz w:val="20"/>
              </w:rPr>
              <w:t> </w:t>
            </w:r>
            <w:r>
              <w:rPr>
                <w:sz w:val="20"/>
              </w:rPr>
              <w:t>DE.DP</w:t>
            </w:r>
          </w:p>
        </w:tc>
      </w:tr>
      <w:tr>
        <w:trPr>
          <w:trHeight w:val="1269" w:hRule="atLeast"/>
        </w:trPr>
        <w:tc>
          <w:tcPr>
            <w:tcW w:w="1654" w:type="dxa"/>
            <w:tcBorders>
              <w:bottom w:val="single" w:sz="4" w:space="0" w:color="0057B5"/>
            </w:tcBorders>
            <w:shd w:val="clear" w:color="auto" w:fill="E7EAF3"/>
          </w:tcPr>
          <w:p>
            <w:pPr>
              <w:pStyle w:val="TableParagraph"/>
              <w:spacing w:before="114"/>
              <w:ind w:right="394"/>
              <w:rPr>
                <w:b/>
                <w:sz w:val="20"/>
              </w:rPr>
            </w:pPr>
            <w:r>
              <w:rPr>
                <w:b/>
                <w:sz w:val="20"/>
              </w:rPr>
              <w:t>Policy</w:t>
            </w:r>
            <w:r>
              <w:rPr>
                <w:b/>
                <w:spacing w:val="1"/>
                <w:sz w:val="20"/>
              </w:rPr>
              <w:t> </w:t>
            </w:r>
            <w:r>
              <w:rPr>
                <w:b/>
                <w:sz w:val="20"/>
              </w:rPr>
              <w:t>Enforcement</w:t>
            </w:r>
            <w:r>
              <w:rPr>
                <w:b/>
                <w:spacing w:val="-47"/>
                <w:sz w:val="20"/>
              </w:rPr>
              <w:t> </w:t>
            </w:r>
            <w:r>
              <w:rPr>
                <w:b/>
                <w:sz w:val="20"/>
              </w:rPr>
              <w:t>Parity</w:t>
            </w:r>
          </w:p>
        </w:tc>
        <w:tc>
          <w:tcPr>
            <w:tcW w:w="1549" w:type="dxa"/>
            <w:tcBorders>
              <w:bottom w:val="single" w:sz="4" w:space="0" w:color="0057B5"/>
            </w:tcBorders>
            <w:shd w:val="clear" w:color="auto" w:fill="E7EAF3"/>
          </w:tcPr>
          <w:p>
            <w:pPr>
              <w:pStyle w:val="TableParagraph"/>
              <w:ind w:left="118"/>
              <w:rPr>
                <w:sz w:val="20"/>
              </w:rPr>
            </w:pPr>
            <w:r>
              <w:rPr>
                <w:sz w:val="20"/>
              </w:rPr>
              <w:t>3.UNI.PEPAR</w:t>
            </w:r>
          </w:p>
        </w:tc>
        <w:tc>
          <w:tcPr>
            <w:tcW w:w="4837" w:type="dxa"/>
            <w:tcBorders>
              <w:bottom w:val="single" w:sz="4" w:space="0" w:color="0057B5"/>
            </w:tcBorders>
            <w:shd w:val="clear" w:color="auto" w:fill="E7EAF3"/>
          </w:tcPr>
          <w:p>
            <w:pPr>
              <w:pStyle w:val="TableParagraph"/>
              <w:spacing w:before="114"/>
              <w:ind w:left="119" w:right="293"/>
              <w:rPr>
                <w:sz w:val="20"/>
              </w:rPr>
            </w:pPr>
            <w:r>
              <w:rPr>
                <w:sz w:val="20"/>
              </w:rPr>
              <w:t>Policy enforcement parity entails consistently applying</w:t>
            </w:r>
            <w:r>
              <w:rPr>
                <w:spacing w:val="-47"/>
                <w:sz w:val="20"/>
              </w:rPr>
              <w:t> </w:t>
            </w:r>
            <w:r>
              <w:rPr>
                <w:sz w:val="20"/>
              </w:rPr>
              <w:t>security protections and other policies, independent of</w:t>
            </w:r>
            <w:r>
              <w:rPr>
                <w:spacing w:val="1"/>
                <w:sz w:val="20"/>
              </w:rPr>
              <w:t> </w:t>
            </w:r>
            <w:r>
              <w:rPr>
                <w:sz w:val="20"/>
              </w:rPr>
              <w:t>the communication mechanism, forwarding path, or</w:t>
            </w:r>
            <w:r>
              <w:rPr>
                <w:spacing w:val="1"/>
                <w:sz w:val="20"/>
              </w:rPr>
              <w:t> </w:t>
            </w:r>
            <w:r>
              <w:rPr>
                <w:sz w:val="20"/>
              </w:rPr>
              <w:t>endpoints</w:t>
            </w:r>
            <w:r>
              <w:rPr>
                <w:spacing w:val="-2"/>
                <w:sz w:val="20"/>
              </w:rPr>
              <w:t> </w:t>
            </w:r>
            <w:r>
              <w:rPr>
                <w:sz w:val="20"/>
              </w:rPr>
              <w:t>used.</w:t>
            </w:r>
          </w:p>
        </w:tc>
        <w:tc>
          <w:tcPr>
            <w:tcW w:w="1585" w:type="dxa"/>
            <w:tcBorders>
              <w:bottom w:val="single" w:sz="4" w:space="0" w:color="0057B5"/>
            </w:tcBorders>
            <w:shd w:val="clear" w:color="auto" w:fill="E7EAF3"/>
          </w:tcPr>
          <w:p>
            <w:pPr>
              <w:pStyle w:val="TableParagraph"/>
              <w:spacing w:before="114"/>
              <w:ind w:left="117" w:right="275"/>
              <w:rPr>
                <w:sz w:val="20"/>
              </w:rPr>
            </w:pPr>
            <w:r>
              <w:rPr>
                <w:sz w:val="20"/>
              </w:rPr>
              <w:t>PR.DS, PR.IP,</w:t>
            </w:r>
            <w:r>
              <w:rPr>
                <w:spacing w:val="-47"/>
                <w:sz w:val="20"/>
              </w:rPr>
              <w:t> </w:t>
            </w:r>
            <w:r>
              <w:rPr>
                <w:sz w:val="20"/>
              </w:rPr>
              <w:t>PR.MA</w:t>
            </w:r>
          </w:p>
        </w:tc>
      </w:tr>
    </w:tbl>
    <w:p>
      <w:pPr>
        <w:spacing w:after="0"/>
        <w:rPr>
          <w:sz w:val="20"/>
        </w:rPr>
        <w:sectPr>
          <w:pgSz w:w="12240" w:h="15840"/>
          <w:pgMar w:header="730" w:footer="764" w:top="960" w:bottom="960" w:left="1320" w:right="1080"/>
        </w:sectPr>
      </w:pPr>
    </w:p>
    <w:p>
      <w:pPr>
        <w:pStyle w:val="BodyText"/>
        <w:rPr>
          <w:b/>
          <w:sz w:val="20"/>
        </w:rPr>
      </w:pPr>
    </w:p>
    <w:p>
      <w:pPr>
        <w:pStyle w:val="BodyText"/>
        <w:spacing w:before="7"/>
        <w:rPr>
          <w:b/>
          <w:sz w:val="20"/>
        </w:rPr>
      </w:pP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30"/>
        <w:gridCol w:w="1534"/>
        <w:gridCol w:w="4787"/>
        <w:gridCol w:w="1668"/>
      </w:tblGrid>
      <w:tr>
        <w:trPr>
          <w:trHeight w:val="856" w:hRule="atLeast"/>
        </w:trPr>
        <w:tc>
          <w:tcPr>
            <w:tcW w:w="1630" w:type="dxa"/>
            <w:tcBorders>
              <w:top w:val="single" w:sz="4" w:space="0" w:color="0057B5"/>
              <w:bottom w:val="single" w:sz="4" w:space="0" w:color="0057B5"/>
            </w:tcBorders>
          </w:tcPr>
          <w:p>
            <w:pPr>
              <w:pStyle w:val="TableParagraph"/>
              <w:spacing w:before="0"/>
              <w:ind w:left="0"/>
              <w:rPr>
                <w:b/>
                <w:sz w:val="21"/>
              </w:rPr>
            </w:pPr>
          </w:p>
          <w:p>
            <w:pPr>
              <w:pStyle w:val="TableParagraph"/>
              <w:spacing w:before="0"/>
              <w:ind w:left="122"/>
              <w:rPr>
                <w:b/>
                <w:sz w:val="22"/>
              </w:rPr>
            </w:pPr>
            <w:r>
              <w:rPr>
                <w:b/>
                <w:sz w:val="22"/>
              </w:rPr>
              <w:t>Capability</w:t>
            </w:r>
          </w:p>
        </w:tc>
        <w:tc>
          <w:tcPr>
            <w:tcW w:w="1534" w:type="dxa"/>
            <w:tcBorders>
              <w:top w:val="single" w:sz="4" w:space="0" w:color="0057B5"/>
              <w:bottom w:val="single" w:sz="4" w:space="0" w:color="0057B5"/>
            </w:tcBorders>
          </w:tcPr>
          <w:p>
            <w:pPr>
              <w:pStyle w:val="TableParagraph"/>
              <w:ind w:left="135" w:right="388"/>
              <w:rPr>
                <w:b/>
                <w:sz w:val="22"/>
              </w:rPr>
            </w:pPr>
            <w:r>
              <w:rPr>
                <w:b/>
                <w:sz w:val="22"/>
              </w:rPr>
              <w:t>Capability</w:t>
            </w:r>
            <w:r>
              <w:rPr>
                <w:b/>
                <w:spacing w:val="-53"/>
                <w:sz w:val="22"/>
              </w:rPr>
              <w:t> </w:t>
            </w:r>
            <w:r>
              <w:rPr>
                <w:b/>
                <w:sz w:val="22"/>
              </w:rPr>
              <w:t>Identifier</w:t>
            </w:r>
          </w:p>
        </w:tc>
        <w:tc>
          <w:tcPr>
            <w:tcW w:w="4787" w:type="dxa"/>
            <w:tcBorders>
              <w:top w:val="single" w:sz="4" w:space="0" w:color="0057B5"/>
              <w:bottom w:val="single" w:sz="4" w:space="0" w:color="0057B5"/>
            </w:tcBorders>
          </w:tcPr>
          <w:p>
            <w:pPr>
              <w:pStyle w:val="TableParagraph"/>
              <w:spacing w:before="0"/>
              <w:ind w:left="0"/>
              <w:rPr>
                <w:b/>
                <w:sz w:val="21"/>
              </w:rPr>
            </w:pPr>
          </w:p>
          <w:p>
            <w:pPr>
              <w:pStyle w:val="TableParagraph"/>
              <w:spacing w:before="0"/>
              <w:ind w:left="151"/>
              <w:rPr>
                <w:b/>
                <w:sz w:val="22"/>
              </w:rPr>
            </w:pPr>
            <w:r>
              <w:rPr>
                <w:b/>
                <w:sz w:val="22"/>
              </w:rPr>
              <w:t>Description</w:t>
            </w:r>
          </w:p>
        </w:tc>
        <w:tc>
          <w:tcPr>
            <w:tcW w:w="1668" w:type="dxa"/>
            <w:tcBorders>
              <w:top w:val="single" w:sz="4" w:space="0" w:color="0057B5"/>
              <w:bottom w:val="single" w:sz="4" w:space="0" w:color="0057B5"/>
            </w:tcBorders>
          </w:tcPr>
          <w:p>
            <w:pPr>
              <w:pStyle w:val="TableParagraph"/>
              <w:ind w:left="199"/>
              <w:rPr>
                <w:b/>
                <w:sz w:val="22"/>
              </w:rPr>
            </w:pPr>
            <w:r>
              <w:rPr>
                <w:b/>
                <w:sz w:val="22"/>
              </w:rPr>
              <w:t>NIST</w:t>
            </w:r>
            <w:r>
              <w:rPr>
                <w:b/>
                <w:spacing w:val="-3"/>
                <w:sz w:val="22"/>
              </w:rPr>
              <w:t> </w:t>
            </w:r>
            <w:r>
              <w:rPr>
                <w:b/>
                <w:sz w:val="22"/>
              </w:rPr>
              <w:t>CSF</w:t>
            </w:r>
          </w:p>
          <w:p>
            <w:pPr>
              <w:pStyle w:val="TableParagraph"/>
              <w:spacing w:before="0"/>
              <w:ind w:left="199"/>
              <w:rPr>
                <w:b/>
                <w:sz w:val="22"/>
              </w:rPr>
            </w:pPr>
            <w:r>
              <w:rPr>
                <w:b/>
                <w:sz w:val="22"/>
              </w:rPr>
              <w:t>Mapping</w:t>
            </w:r>
          </w:p>
        </w:tc>
      </w:tr>
      <w:tr>
        <w:trPr>
          <w:trHeight w:val="1719" w:hRule="atLeast"/>
        </w:trPr>
        <w:tc>
          <w:tcPr>
            <w:tcW w:w="1630" w:type="dxa"/>
            <w:tcBorders>
              <w:top w:val="single" w:sz="4" w:space="0" w:color="0057B5"/>
            </w:tcBorders>
          </w:tcPr>
          <w:p>
            <w:pPr>
              <w:pStyle w:val="TableParagraph"/>
              <w:spacing w:before="104"/>
              <w:ind w:left="122" w:right="134"/>
              <w:rPr>
                <w:b/>
                <w:sz w:val="20"/>
              </w:rPr>
            </w:pPr>
            <w:r>
              <w:rPr>
                <w:b/>
                <w:sz w:val="20"/>
              </w:rPr>
              <w:t>Effective Use of</w:t>
            </w:r>
            <w:r>
              <w:rPr>
                <w:b/>
                <w:spacing w:val="-47"/>
                <w:sz w:val="20"/>
              </w:rPr>
              <w:t> </w:t>
            </w:r>
            <w:r>
              <w:rPr>
                <w:b/>
                <w:sz w:val="20"/>
              </w:rPr>
              <w:t>Shared</w:t>
            </w:r>
            <w:r>
              <w:rPr>
                <w:b/>
                <w:spacing w:val="-7"/>
                <w:sz w:val="20"/>
              </w:rPr>
              <w:t> </w:t>
            </w:r>
            <w:r>
              <w:rPr>
                <w:b/>
                <w:sz w:val="20"/>
              </w:rPr>
              <w:t>Services</w:t>
            </w:r>
          </w:p>
        </w:tc>
        <w:tc>
          <w:tcPr>
            <w:tcW w:w="1534" w:type="dxa"/>
            <w:tcBorders>
              <w:top w:val="single" w:sz="4" w:space="0" w:color="0057B5"/>
            </w:tcBorders>
          </w:tcPr>
          <w:p>
            <w:pPr>
              <w:pStyle w:val="TableParagraph"/>
              <w:spacing w:before="104"/>
              <w:ind w:left="135"/>
              <w:rPr>
                <w:sz w:val="20"/>
              </w:rPr>
            </w:pPr>
            <w:r>
              <w:rPr>
                <w:sz w:val="20"/>
              </w:rPr>
              <w:t>3.UNI.EUSSE</w:t>
            </w:r>
          </w:p>
        </w:tc>
        <w:tc>
          <w:tcPr>
            <w:tcW w:w="4787" w:type="dxa"/>
            <w:tcBorders>
              <w:top w:val="single" w:sz="4" w:space="0" w:color="0057B5"/>
            </w:tcBorders>
          </w:tcPr>
          <w:p>
            <w:pPr>
              <w:pStyle w:val="TableParagraph"/>
              <w:spacing w:before="104"/>
              <w:ind w:left="151" w:right="400"/>
              <w:rPr>
                <w:sz w:val="20"/>
              </w:rPr>
            </w:pPr>
            <w:r>
              <w:rPr>
                <w:sz w:val="20"/>
              </w:rPr>
              <w:t>Effective use of shared services means that shared</w:t>
            </w:r>
            <w:r>
              <w:rPr>
                <w:spacing w:val="1"/>
                <w:sz w:val="20"/>
              </w:rPr>
              <w:t> </w:t>
            </w:r>
            <w:r>
              <w:rPr>
                <w:sz w:val="20"/>
              </w:rPr>
              <w:t>services are employed, where applicable, and</w:t>
            </w:r>
            <w:r>
              <w:rPr>
                <w:spacing w:val="1"/>
                <w:sz w:val="20"/>
              </w:rPr>
              <w:t> </w:t>
            </w:r>
            <w:r>
              <w:rPr>
                <w:sz w:val="20"/>
              </w:rPr>
              <w:t>individually tailored and measured to independently</w:t>
            </w:r>
            <w:r>
              <w:rPr>
                <w:spacing w:val="-47"/>
                <w:sz w:val="20"/>
              </w:rPr>
              <w:t> </w:t>
            </w:r>
            <w:r>
              <w:rPr>
                <w:sz w:val="20"/>
              </w:rPr>
              <w:t>validate service conformance, and offer effective</w:t>
            </w:r>
            <w:r>
              <w:rPr>
                <w:spacing w:val="1"/>
                <w:sz w:val="20"/>
              </w:rPr>
              <w:t> </w:t>
            </w:r>
            <w:r>
              <w:rPr>
                <w:sz w:val="20"/>
              </w:rPr>
              <w:t>protections for tenants against malicious actors, both</w:t>
            </w:r>
            <w:r>
              <w:rPr>
                <w:spacing w:val="-47"/>
                <w:sz w:val="20"/>
              </w:rPr>
              <w:t> </w:t>
            </w:r>
            <w:r>
              <w:rPr>
                <w:sz w:val="20"/>
              </w:rPr>
              <w:t>external</w:t>
            </w:r>
            <w:r>
              <w:rPr>
                <w:spacing w:val="-2"/>
                <w:sz w:val="20"/>
              </w:rPr>
              <w:t> </w:t>
            </w:r>
            <w:r>
              <w:rPr>
                <w:sz w:val="20"/>
              </w:rPr>
              <w:t>and internal</w:t>
            </w:r>
            <w:r>
              <w:rPr>
                <w:spacing w:val="-2"/>
                <w:sz w:val="20"/>
              </w:rPr>
              <w:t> </w:t>
            </w:r>
            <w:r>
              <w:rPr>
                <w:sz w:val="20"/>
              </w:rPr>
              <w:t>to</w:t>
            </w:r>
            <w:r>
              <w:rPr>
                <w:spacing w:val="-2"/>
                <w:sz w:val="20"/>
              </w:rPr>
              <w:t> </w:t>
            </w:r>
            <w:r>
              <w:rPr>
                <w:sz w:val="20"/>
              </w:rPr>
              <w:t>the</w:t>
            </w:r>
            <w:r>
              <w:rPr>
                <w:spacing w:val="-2"/>
                <w:sz w:val="20"/>
              </w:rPr>
              <w:t> </w:t>
            </w:r>
            <w:r>
              <w:rPr>
                <w:sz w:val="20"/>
              </w:rPr>
              <w:t>service</w:t>
            </w:r>
            <w:r>
              <w:rPr>
                <w:spacing w:val="-2"/>
                <w:sz w:val="20"/>
              </w:rPr>
              <w:t> </w:t>
            </w:r>
            <w:r>
              <w:rPr>
                <w:sz w:val="20"/>
              </w:rPr>
              <w:t>provider.</w:t>
            </w:r>
          </w:p>
        </w:tc>
        <w:tc>
          <w:tcPr>
            <w:tcW w:w="1668" w:type="dxa"/>
            <w:tcBorders>
              <w:top w:val="single" w:sz="4" w:space="0" w:color="0057B5"/>
            </w:tcBorders>
          </w:tcPr>
          <w:p>
            <w:pPr>
              <w:pStyle w:val="TableParagraph"/>
              <w:spacing w:before="104"/>
              <w:ind w:left="199"/>
              <w:rPr>
                <w:sz w:val="20"/>
              </w:rPr>
            </w:pPr>
            <w:r>
              <w:rPr>
                <w:sz w:val="20"/>
              </w:rPr>
              <w:t>ID.AM,</w:t>
            </w:r>
            <w:r>
              <w:rPr>
                <w:spacing w:val="-3"/>
                <w:sz w:val="20"/>
              </w:rPr>
              <w:t> </w:t>
            </w:r>
            <w:r>
              <w:rPr>
                <w:sz w:val="20"/>
              </w:rPr>
              <w:t>ID.GV,</w:t>
            </w:r>
          </w:p>
          <w:p>
            <w:pPr>
              <w:pStyle w:val="TableParagraph"/>
              <w:spacing w:before="1"/>
              <w:ind w:left="199" w:right="221"/>
              <w:rPr>
                <w:sz w:val="20"/>
              </w:rPr>
            </w:pPr>
            <w:r>
              <w:rPr>
                <w:sz w:val="20"/>
              </w:rPr>
              <w:t>ID.RM, ID.SC,</w:t>
            </w:r>
            <w:r>
              <w:rPr>
                <w:spacing w:val="-47"/>
                <w:sz w:val="20"/>
              </w:rPr>
              <w:t> </w:t>
            </w:r>
            <w:r>
              <w:rPr>
                <w:sz w:val="20"/>
              </w:rPr>
              <w:t>PR.AT,</w:t>
            </w:r>
            <w:r>
              <w:rPr>
                <w:spacing w:val="-12"/>
                <w:sz w:val="20"/>
              </w:rPr>
              <w:t> </w:t>
            </w:r>
            <w:r>
              <w:rPr>
                <w:sz w:val="20"/>
              </w:rPr>
              <w:t>RS.CO</w:t>
            </w:r>
          </w:p>
        </w:tc>
      </w:tr>
      <w:tr>
        <w:trPr>
          <w:trHeight w:val="1270" w:hRule="atLeast"/>
        </w:trPr>
        <w:tc>
          <w:tcPr>
            <w:tcW w:w="1630" w:type="dxa"/>
            <w:shd w:val="clear" w:color="auto" w:fill="E7EAF3"/>
          </w:tcPr>
          <w:p>
            <w:pPr>
              <w:pStyle w:val="TableParagraph"/>
              <w:ind w:left="122" w:right="145"/>
              <w:rPr>
                <w:b/>
                <w:sz w:val="20"/>
              </w:rPr>
            </w:pPr>
            <w:r>
              <w:rPr>
                <w:b/>
                <w:sz w:val="20"/>
              </w:rPr>
              <w:t>Integrated</w:t>
            </w:r>
            <w:r>
              <w:rPr>
                <w:b/>
                <w:spacing w:val="1"/>
                <w:sz w:val="20"/>
              </w:rPr>
              <w:t> </w:t>
            </w:r>
            <w:r>
              <w:rPr>
                <w:b/>
                <w:sz w:val="20"/>
              </w:rPr>
              <w:t>Desktop,</w:t>
            </w:r>
            <w:r>
              <w:rPr>
                <w:b/>
                <w:spacing w:val="1"/>
                <w:sz w:val="20"/>
              </w:rPr>
              <w:t> </w:t>
            </w:r>
            <w:r>
              <w:rPr>
                <w:b/>
                <w:sz w:val="20"/>
              </w:rPr>
              <w:t>Mobile, and</w:t>
            </w:r>
            <w:r>
              <w:rPr>
                <w:b/>
                <w:spacing w:val="1"/>
                <w:sz w:val="20"/>
              </w:rPr>
              <w:t> </w:t>
            </w:r>
            <w:r>
              <w:rPr>
                <w:b/>
                <w:sz w:val="20"/>
              </w:rPr>
              <w:t>Remote</w:t>
            </w:r>
            <w:r>
              <w:rPr>
                <w:b/>
                <w:spacing w:val="-7"/>
                <w:sz w:val="20"/>
              </w:rPr>
              <w:t> </w:t>
            </w:r>
            <w:r>
              <w:rPr>
                <w:b/>
                <w:sz w:val="20"/>
              </w:rPr>
              <w:t>Policies</w:t>
            </w:r>
          </w:p>
        </w:tc>
        <w:tc>
          <w:tcPr>
            <w:tcW w:w="1534" w:type="dxa"/>
            <w:shd w:val="clear" w:color="auto" w:fill="E7EAF3"/>
          </w:tcPr>
          <w:p>
            <w:pPr>
              <w:pStyle w:val="TableParagraph"/>
              <w:ind w:left="135"/>
              <w:rPr>
                <w:sz w:val="20"/>
              </w:rPr>
            </w:pPr>
            <w:r>
              <w:rPr>
                <w:sz w:val="20"/>
              </w:rPr>
              <w:t>3.UNI.IDMRP</w:t>
            </w:r>
          </w:p>
        </w:tc>
        <w:tc>
          <w:tcPr>
            <w:tcW w:w="4787" w:type="dxa"/>
            <w:shd w:val="clear" w:color="auto" w:fill="E7EAF3"/>
          </w:tcPr>
          <w:p>
            <w:pPr>
              <w:pStyle w:val="TableParagraph"/>
              <w:ind w:left="151" w:right="289"/>
              <w:rPr>
                <w:sz w:val="20"/>
              </w:rPr>
            </w:pPr>
            <w:r>
              <w:rPr>
                <w:sz w:val="20"/>
              </w:rPr>
              <w:t>This entails the definition and enforcement of policies</w:t>
            </w:r>
            <w:r>
              <w:rPr>
                <w:spacing w:val="-48"/>
                <w:sz w:val="20"/>
              </w:rPr>
              <w:t> </w:t>
            </w:r>
            <w:r>
              <w:rPr>
                <w:sz w:val="20"/>
              </w:rPr>
              <w:t>that apply to a given agency entity independent of its</w:t>
            </w:r>
            <w:r>
              <w:rPr>
                <w:spacing w:val="1"/>
                <w:sz w:val="20"/>
              </w:rPr>
              <w:t> </w:t>
            </w:r>
            <w:r>
              <w:rPr>
                <w:sz w:val="20"/>
              </w:rPr>
              <w:t>location.</w:t>
            </w:r>
          </w:p>
        </w:tc>
        <w:tc>
          <w:tcPr>
            <w:tcW w:w="1668" w:type="dxa"/>
            <w:shd w:val="clear" w:color="auto" w:fill="E7EAF3"/>
          </w:tcPr>
          <w:p>
            <w:pPr>
              <w:pStyle w:val="TableParagraph"/>
              <w:spacing w:line="230" w:lineRule="exact"/>
              <w:ind w:left="199"/>
              <w:rPr>
                <w:sz w:val="20"/>
              </w:rPr>
            </w:pPr>
            <w:r>
              <w:rPr>
                <w:sz w:val="20"/>
              </w:rPr>
              <w:t>ID.AM,</w:t>
            </w:r>
            <w:r>
              <w:rPr>
                <w:spacing w:val="-3"/>
                <w:sz w:val="20"/>
              </w:rPr>
              <w:t> </w:t>
            </w:r>
            <w:r>
              <w:rPr>
                <w:sz w:val="20"/>
              </w:rPr>
              <w:t>PR.AC,</w:t>
            </w:r>
          </w:p>
          <w:p>
            <w:pPr>
              <w:pStyle w:val="TableParagraph"/>
              <w:spacing w:before="0"/>
              <w:ind w:left="199" w:right="276"/>
              <w:rPr>
                <w:sz w:val="20"/>
              </w:rPr>
            </w:pPr>
            <w:r>
              <w:rPr>
                <w:sz w:val="20"/>
              </w:rPr>
              <w:t>PR.DS, PR.IP,</w:t>
            </w:r>
            <w:r>
              <w:rPr>
                <w:spacing w:val="-47"/>
                <w:sz w:val="20"/>
              </w:rPr>
              <w:t> </w:t>
            </w:r>
            <w:r>
              <w:rPr>
                <w:sz w:val="20"/>
              </w:rPr>
              <w:t>PR.MA</w:t>
            </w:r>
          </w:p>
        </w:tc>
      </w:tr>
      <w:tr>
        <w:trPr>
          <w:trHeight w:val="1269" w:hRule="atLeast"/>
        </w:trPr>
        <w:tc>
          <w:tcPr>
            <w:tcW w:w="1630" w:type="dxa"/>
            <w:tcBorders>
              <w:bottom w:val="single" w:sz="4" w:space="0" w:color="0057B5"/>
            </w:tcBorders>
          </w:tcPr>
          <w:p>
            <w:pPr>
              <w:pStyle w:val="TableParagraph"/>
              <w:spacing w:before="114"/>
              <w:ind w:left="122" w:right="116"/>
              <w:rPr>
                <w:b/>
                <w:sz w:val="20"/>
              </w:rPr>
            </w:pPr>
            <w:r>
              <w:rPr>
                <w:b/>
                <w:sz w:val="20"/>
              </w:rPr>
              <w:t>User Awareness</w:t>
            </w:r>
            <w:r>
              <w:rPr>
                <w:b/>
                <w:spacing w:val="-47"/>
                <w:sz w:val="20"/>
              </w:rPr>
              <w:t> </w:t>
            </w:r>
            <w:r>
              <w:rPr>
                <w:b/>
                <w:sz w:val="20"/>
              </w:rPr>
              <w:t>and</w:t>
            </w:r>
            <w:r>
              <w:rPr>
                <w:b/>
                <w:spacing w:val="-2"/>
                <w:sz w:val="20"/>
              </w:rPr>
              <w:t> </w:t>
            </w:r>
            <w:r>
              <w:rPr>
                <w:b/>
                <w:sz w:val="20"/>
              </w:rPr>
              <w:t>Training</w:t>
            </w:r>
          </w:p>
        </w:tc>
        <w:tc>
          <w:tcPr>
            <w:tcW w:w="1534" w:type="dxa"/>
            <w:tcBorders>
              <w:bottom w:val="single" w:sz="4" w:space="0" w:color="0057B5"/>
            </w:tcBorders>
          </w:tcPr>
          <w:p>
            <w:pPr>
              <w:pStyle w:val="TableParagraph"/>
              <w:spacing w:before="114"/>
              <w:ind w:left="135"/>
              <w:rPr>
                <w:sz w:val="20"/>
              </w:rPr>
            </w:pPr>
            <w:r>
              <w:rPr>
                <w:sz w:val="20"/>
              </w:rPr>
              <w:t>3.UNI.UATRA</w:t>
            </w:r>
          </w:p>
        </w:tc>
        <w:tc>
          <w:tcPr>
            <w:tcW w:w="4787" w:type="dxa"/>
            <w:tcBorders>
              <w:bottom w:val="single" w:sz="4" w:space="0" w:color="0057B5"/>
            </w:tcBorders>
          </w:tcPr>
          <w:p>
            <w:pPr>
              <w:pStyle w:val="TableParagraph"/>
              <w:spacing w:before="114"/>
              <w:ind w:left="151" w:right="1"/>
              <w:rPr>
                <w:sz w:val="20"/>
              </w:rPr>
            </w:pPr>
            <w:r>
              <w:rPr>
                <w:sz w:val="20"/>
              </w:rPr>
              <w:t>User awareness and training entails that all users are</w:t>
            </w:r>
            <w:r>
              <w:rPr>
                <w:spacing w:val="1"/>
                <w:sz w:val="20"/>
              </w:rPr>
              <w:t> </w:t>
            </w:r>
            <w:r>
              <w:rPr>
                <w:sz w:val="20"/>
              </w:rPr>
              <w:t>informed of their roles and responsibilities and</w:t>
            </w:r>
            <w:r>
              <w:rPr>
                <w:spacing w:val="1"/>
                <w:sz w:val="20"/>
              </w:rPr>
              <w:t> </w:t>
            </w:r>
            <w:r>
              <w:rPr>
                <w:sz w:val="20"/>
              </w:rPr>
              <w:t>appropriate cybersecurity education is provisioned to</w:t>
            </w:r>
            <w:r>
              <w:rPr>
                <w:spacing w:val="1"/>
                <w:sz w:val="20"/>
              </w:rPr>
              <w:t> </w:t>
            </w:r>
            <w:r>
              <w:rPr>
                <w:sz w:val="20"/>
              </w:rPr>
              <w:t>enable</w:t>
            </w:r>
            <w:r>
              <w:rPr>
                <w:spacing w:val="-3"/>
                <w:sz w:val="20"/>
              </w:rPr>
              <w:t> </w:t>
            </w:r>
            <w:r>
              <w:rPr>
                <w:sz w:val="20"/>
              </w:rPr>
              <w:t>users</w:t>
            </w:r>
            <w:r>
              <w:rPr>
                <w:spacing w:val="-2"/>
                <w:sz w:val="20"/>
              </w:rPr>
              <w:t> </w:t>
            </w:r>
            <w:r>
              <w:rPr>
                <w:sz w:val="20"/>
              </w:rPr>
              <w:t>to</w:t>
            </w:r>
            <w:r>
              <w:rPr>
                <w:spacing w:val="-3"/>
                <w:sz w:val="20"/>
              </w:rPr>
              <w:t> </w:t>
            </w:r>
            <w:r>
              <w:rPr>
                <w:sz w:val="20"/>
              </w:rPr>
              <w:t>perform</w:t>
            </w:r>
            <w:r>
              <w:rPr>
                <w:spacing w:val="-2"/>
                <w:sz w:val="20"/>
              </w:rPr>
              <w:t> </w:t>
            </w:r>
            <w:r>
              <w:rPr>
                <w:sz w:val="20"/>
              </w:rPr>
              <w:t>their</w:t>
            </w:r>
            <w:r>
              <w:rPr>
                <w:spacing w:val="-4"/>
                <w:sz w:val="20"/>
              </w:rPr>
              <w:t> </w:t>
            </w:r>
            <w:r>
              <w:rPr>
                <w:sz w:val="20"/>
              </w:rPr>
              <w:t>duties</w:t>
            </w:r>
            <w:r>
              <w:rPr>
                <w:spacing w:val="-2"/>
                <w:sz w:val="20"/>
              </w:rPr>
              <w:t> </w:t>
            </w:r>
            <w:r>
              <w:rPr>
                <w:sz w:val="20"/>
              </w:rPr>
              <w:t>in</w:t>
            </w:r>
            <w:r>
              <w:rPr>
                <w:spacing w:val="-1"/>
                <w:sz w:val="20"/>
              </w:rPr>
              <w:t> </w:t>
            </w:r>
            <w:r>
              <w:rPr>
                <w:sz w:val="20"/>
              </w:rPr>
              <w:t>a</w:t>
            </w:r>
            <w:r>
              <w:rPr>
                <w:spacing w:val="-2"/>
                <w:sz w:val="20"/>
              </w:rPr>
              <w:t> </w:t>
            </w:r>
            <w:r>
              <w:rPr>
                <w:sz w:val="20"/>
              </w:rPr>
              <w:t>secure</w:t>
            </w:r>
            <w:r>
              <w:rPr>
                <w:spacing w:val="-3"/>
                <w:sz w:val="20"/>
              </w:rPr>
              <w:t> </w:t>
            </w:r>
            <w:r>
              <w:rPr>
                <w:sz w:val="20"/>
              </w:rPr>
              <w:t>manner.</w:t>
            </w:r>
          </w:p>
        </w:tc>
        <w:tc>
          <w:tcPr>
            <w:tcW w:w="1668" w:type="dxa"/>
            <w:tcBorders>
              <w:bottom w:val="single" w:sz="4" w:space="0" w:color="0057B5"/>
            </w:tcBorders>
          </w:tcPr>
          <w:p>
            <w:pPr>
              <w:pStyle w:val="TableParagraph"/>
              <w:spacing w:before="114"/>
              <w:ind w:left="199"/>
              <w:rPr>
                <w:sz w:val="20"/>
              </w:rPr>
            </w:pPr>
            <w:r>
              <w:rPr>
                <w:sz w:val="20"/>
              </w:rPr>
              <w:t>ID.AM,</w:t>
            </w:r>
            <w:r>
              <w:rPr>
                <w:spacing w:val="-3"/>
                <w:sz w:val="20"/>
              </w:rPr>
              <w:t> </w:t>
            </w:r>
            <w:r>
              <w:rPr>
                <w:sz w:val="20"/>
              </w:rPr>
              <w:t>ID.BE,</w:t>
            </w:r>
          </w:p>
          <w:p>
            <w:pPr>
              <w:pStyle w:val="TableParagraph"/>
              <w:spacing w:before="1"/>
              <w:ind w:left="199" w:right="194"/>
              <w:rPr>
                <w:sz w:val="20"/>
              </w:rPr>
            </w:pPr>
            <w:r>
              <w:rPr>
                <w:spacing w:val="-1"/>
                <w:sz w:val="20"/>
              </w:rPr>
              <w:t>ID.GV, </w:t>
            </w:r>
            <w:r>
              <w:rPr>
                <w:sz w:val="20"/>
              </w:rPr>
              <w:t>PR.AT,</w:t>
            </w:r>
            <w:r>
              <w:rPr>
                <w:spacing w:val="-47"/>
                <w:sz w:val="20"/>
              </w:rPr>
              <w:t> </w:t>
            </w:r>
            <w:r>
              <w:rPr>
                <w:sz w:val="20"/>
              </w:rPr>
              <w:t>RS.CO</w:t>
            </w:r>
          </w:p>
        </w:tc>
      </w:tr>
    </w:tbl>
    <w:p>
      <w:pPr>
        <w:pStyle w:val="BodyText"/>
        <w:spacing w:before="4"/>
        <w:rPr>
          <w:b/>
          <w:sz w:val="13"/>
        </w:rPr>
      </w:pPr>
    </w:p>
    <w:p>
      <w:pPr>
        <w:pStyle w:val="Heading2"/>
        <w:numPr>
          <w:ilvl w:val="1"/>
          <w:numId w:val="5"/>
        </w:numPr>
        <w:tabs>
          <w:tab w:pos="695" w:val="left" w:leader="none"/>
          <w:tab w:pos="696" w:val="left" w:leader="none"/>
        </w:tabs>
        <w:spacing w:line="240" w:lineRule="auto" w:before="88" w:after="0"/>
        <w:ind w:left="695" w:right="0" w:hanging="576"/>
        <w:jc w:val="left"/>
      </w:pPr>
      <w:bookmarkStart w:name="4.2 Policy Enforcement Point Capabilitie" w:id="28"/>
      <w:bookmarkEnd w:id="28"/>
      <w:r>
        <w:rPr/>
      </w:r>
      <w:bookmarkStart w:name="_bookmark15" w:id="29"/>
      <w:bookmarkEnd w:id="29"/>
      <w:r>
        <w:rPr/>
      </w:r>
      <w:bookmarkStart w:name="_bookmark15" w:id="30"/>
      <w:bookmarkEnd w:id="30"/>
      <w:r>
        <w:rPr/>
        <w:t>Poli</w:t>
      </w:r>
      <w:r>
        <w:rPr/>
        <w:t>cy</w:t>
      </w:r>
      <w:r>
        <w:rPr>
          <w:spacing w:val="-5"/>
        </w:rPr>
        <w:t> </w:t>
      </w:r>
      <w:r>
        <w:rPr/>
        <w:t>Enforcement</w:t>
      </w:r>
      <w:r>
        <w:rPr>
          <w:spacing w:val="-6"/>
        </w:rPr>
        <w:t> </w:t>
      </w:r>
      <w:r>
        <w:rPr/>
        <w:t>Point</w:t>
      </w:r>
      <w:r>
        <w:rPr>
          <w:spacing w:val="-6"/>
        </w:rPr>
        <w:t> </w:t>
      </w:r>
      <w:r>
        <w:rPr/>
        <w:t>Capabilities</w:t>
      </w:r>
    </w:p>
    <w:p>
      <w:pPr>
        <w:pStyle w:val="BodyText"/>
        <w:spacing w:before="239"/>
        <w:ind w:left="119" w:right="455"/>
      </w:pPr>
      <w:r>
        <w:rPr/>
        <w:t>PEP security capabilities are network-level capabilities that inform the technical implementation for</w:t>
      </w:r>
      <w:r>
        <w:rPr>
          <w:spacing w:val="1"/>
        </w:rPr>
        <w:t> </w:t>
      </w:r>
      <w:r>
        <w:rPr/>
        <w:t>relevant</w:t>
      </w:r>
      <w:r>
        <w:rPr>
          <w:spacing w:val="-3"/>
        </w:rPr>
        <w:t> </w:t>
      </w:r>
      <w:r>
        <w:rPr/>
        <w:t>use</w:t>
      </w:r>
      <w:r>
        <w:rPr>
          <w:spacing w:val="-4"/>
        </w:rPr>
        <w:t> </w:t>
      </w:r>
      <w:r>
        <w:rPr/>
        <w:t>cases.</w:t>
      </w:r>
      <w:r>
        <w:rPr>
          <w:spacing w:val="-3"/>
        </w:rPr>
        <w:t> </w:t>
      </w:r>
      <w:r>
        <w:rPr/>
        <w:t>In</w:t>
      </w:r>
      <w:r>
        <w:rPr>
          <w:spacing w:val="-3"/>
        </w:rPr>
        <w:t> </w:t>
      </w:r>
      <w:r>
        <w:rPr/>
        <w:t>contrast</w:t>
      </w:r>
      <w:r>
        <w:rPr>
          <w:spacing w:val="-3"/>
        </w:rPr>
        <w:t> </w:t>
      </w:r>
      <w:r>
        <w:rPr/>
        <w:t>to</w:t>
      </w:r>
      <w:r>
        <w:rPr>
          <w:spacing w:val="-3"/>
        </w:rPr>
        <w:t> </w:t>
      </w:r>
      <w:r>
        <w:rPr/>
        <w:t>the</w:t>
      </w:r>
      <w:r>
        <w:rPr>
          <w:spacing w:val="-4"/>
        </w:rPr>
        <w:t> </w:t>
      </w:r>
      <w:r>
        <w:rPr/>
        <w:t>universal</w:t>
      </w:r>
      <w:r>
        <w:rPr>
          <w:spacing w:val="-3"/>
        </w:rPr>
        <w:t> </w:t>
      </w:r>
      <w:r>
        <w:rPr/>
        <w:t>security</w:t>
      </w:r>
      <w:r>
        <w:rPr>
          <w:spacing w:val="-3"/>
        </w:rPr>
        <w:t> </w:t>
      </w:r>
      <w:r>
        <w:rPr/>
        <w:t>capabilities,</w:t>
      </w:r>
      <w:r>
        <w:rPr>
          <w:spacing w:val="-3"/>
        </w:rPr>
        <w:t> </w:t>
      </w:r>
      <w:r>
        <w:rPr/>
        <w:t>which</w:t>
      </w:r>
      <w:r>
        <w:rPr>
          <w:spacing w:val="-3"/>
        </w:rPr>
        <w:t> </w:t>
      </w:r>
      <w:r>
        <w:rPr/>
        <w:t>are</w:t>
      </w:r>
      <w:r>
        <w:rPr>
          <w:spacing w:val="-4"/>
        </w:rPr>
        <w:t> </w:t>
      </w:r>
      <w:r>
        <w:rPr/>
        <w:t>expected</w:t>
      </w:r>
      <w:r>
        <w:rPr>
          <w:spacing w:val="-3"/>
        </w:rPr>
        <w:t> </w:t>
      </w:r>
      <w:r>
        <w:rPr/>
        <w:t>to</w:t>
      </w:r>
      <w:r>
        <w:rPr>
          <w:spacing w:val="-3"/>
        </w:rPr>
        <w:t> </w:t>
      </w:r>
      <w:r>
        <w:rPr/>
        <w:t>apply</w:t>
      </w:r>
      <w:r>
        <w:rPr>
          <w:spacing w:val="-3"/>
        </w:rPr>
        <w:t> </w:t>
      </w:r>
      <w:r>
        <w:rPr/>
        <w:t>in</w:t>
      </w:r>
      <w:r>
        <w:rPr>
          <w:spacing w:val="-3"/>
        </w:rPr>
        <w:t> </w:t>
      </w:r>
      <w:r>
        <w:rPr/>
        <w:t>each</w:t>
      </w:r>
      <w:r>
        <w:rPr>
          <w:spacing w:val="-52"/>
        </w:rPr>
        <w:t> </w:t>
      </w:r>
      <w:r>
        <w:rPr/>
        <w:t>use case, PEP security capabilities may or may not be applicable based on the use case scope. PEP</w:t>
      </w:r>
      <w:r>
        <w:rPr>
          <w:spacing w:val="1"/>
        </w:rPr>
        <w:t> </w:t>
      </w:r>
      <w:r>
        <w:rPr/>
        <w:t>security</w:t>
      </w:r>
      <w:r>
        <w:rPr>
          <w:spacing w:val="-1"/>
        </w:rPr>
        <w:t> </w:t>
      </w:r>
      <w:r>
        <w:rPr/>
        <w:t>capabilities</w:t>
      </w:r>
      <w:r>
        <w:rPr>
          <w:spacing w:val="-1"/>
        </w:rPr>
        <w:t> </w:t>
      </w:r>
      <w:r>
        <w:rPr/>
        <w:t>are</w:t>
      </w:r>
      <w:r>
        <w:rPr>
          <w:spacing w:val="-2"/>
        </w:rPr>
        <w:t> </w:t>
      </w:r>
      <w:r>
        <w:rPr/>
        <w:t>divided into</w:t>
      </w:r>
      <w:r>
        <w:rPr>
          <w:spacing w:val="-1"/>
        </w:rPr>
        <w:t> </w:t>
      </w:r>
      <w:r>
        <w:rPr/>
        <w:t>groups</w:t>
      </w:r>
      <w:r>
        <w:rPr>
          <w:spacing w:val="-1"/>
        </w:rPr>
        <w:t> </w:t>
      </w:r>
      <w:r>
        <w:rPr/>
        <w:t>around</w:t>
      </w:r>
      <w:r>
        <w:rPr>
          <w:spacing w:val="-1"/>
        </w:rPr>
        <w:t> </w:t>
      </w:r>
      <w:r>
        <w:rPr/>
        <w:t>shared themes.</w:t>
      </w:r>
    </w:p>
    <w:p>
      <w:pPr>
        <w:pStyle w:val="BodyText"/>
        <w:spacing w:before="120"/>
        <w:ind w:left="120" w:right="383" w:hanging="1"/>
      </w:pPr>
      <w:r>
        <w:rPr/>
        <w:t>The PEP security capability groups listing is not exhaustive. Additional groups may be developed to</w:t>
      </w:r>
      <w:r>
        <w:rPr>
          <w:spacing w:val="1"/>
        </w:rPr>
        <w:t> </w:t>
      </w:r>
      <w:r>
        <w:rPr/>
        <w:t>reflect new use cases. Each PEP security capability group table provides the following: (1) a list of PEP</w:t>
      </w:r>
      <w:r>
        <w:rPr>
          <w:spacing w:val="1"/>
        </w:rPr>
        <w:t> </w:t>
      </w:r>
      <w:r>
        <w:rPr/>
        <w:t>capabilities,</w:t>
      </w:r>
      <w:r>
        <w:rPr>
          <w:spacing w:val="-3"/>
        </w:rPr>
        <w:t> </w:t>
      </w:r>
      <w:r>
        <w:rPr/>
        <w:t>(2)</w:t>
      </w:r>
      <w:r>
        <w:rPr>
          <w:spacing w:val="-3"/>
        </w:rPr>
        <w:t> </w:t>
      </w:r>
      <w:r>
        <w:rPr/>
        <w:t>a</w:t>
      </w:r>
      <w:r>
        <w:rPr>
          <w:spacing w:val="-3"/>
        </w:rPr>
        <w:t> </w:t>
      </w:r>
      <w:r>
        <w:rPr/>
        <w:t>description</w:t>
      </w:r>
      <w:r>
        <w:rPr>
          <w:spacing w:val="-3"/>
        </w:rPr>
        <w:t> </w:t>
      </w:r>
      <w:r>
        <w:rPr/>
        <w:t>of</w:t>
      </w:r>
      <w:r>
        <w:rPr>
          <w:spacing w:val="-3"/>
        </w:rPr>
        <w:t> </w:t>
      </w:r>
      <w:r>
        <w:rPr/>
        <w:t>each</w:t>
      </w:r>
      <w:r>
        <w:rPr>
          <w:spacing w:val="-2"/>
        </w:rPr>
        <w:t> </w:t>
      </w:r>
      <w:r>
        <w:rPr/>
        <w:t>capability,</w:t>
      </w:r>
      <w:r>
        <w:rPr>
          <w:spacing w:val="-3"/>
        </w:rPr>
        <w:t> </w:t>
      </w:r>
      <w:r>
        <w:rPr/>
        <w:t>and</w:t>
      </w:r>
      <w:r>
        <w:rPr>
          <w:spacing w:val="-2"/>
        </w:rPr>
        <w:t> </w:t>
      </w:r>
      <w:r>
        <w:rPr/>
        <w:t>(3)</w:t>
      </w:r>
      <w:r>
        <w:rPr>
          <w:spacing w:val="-3"/>
        </w:rPr>
        <w:t> </w:t>
      </w:r>
      <w:r>
        <w:rPr/>
        <w:t>a</w:t>
      </w:r>
      <w:r>
        <w:rPr>
          <w:spacing w:val="-4"/>
        </w:rPr>
        <w:t> </w:t>
      </w:r>
      <w:r>
        <w:rPr/>
        <w:t>mapping</w:t>
      </w:r>
      <w:r>
        <w:rPr>
          <w:spacing w:val="-4"/>
        </w:rPr>
        <w:t> </w:t>
      </w:r>
      <w:r>
        <w:rPr/>
        <w:t>to</w:t>
      </w:r>
      <w:r>
        <w:rPr>
          <w:spacing w:val="-3"/>
        </w:rPr>
        <w:t> </w:t>
      </w:r>
      <w:r>
        <w:rPr/>
        <w:t>relevant</w:t>
      </w:r>
      <w:r>
        <w:rPr>
          <w:spacing w:val="-2"/>
        </w:rPr>
        <w:t> </w:t>
      </w:r>
      <w:r>
        <w:rPr/>
        <w:t>NIST</w:t>
      </w:r>
      <w:r>
        <w:rPr>
          <w:spacing w:val="-3"/>
        </w:rPr>
        <w:t> </w:t>
      </w:r>
      <w:r>
        <w:rPr/>
        <w:t>CSF</w:t>
      </w:r>
      <w:r>
        <w:rPr>
          <w:spacing w:val="-3"/>
        </w:rPr>
        <w:t> </w:t>
      </w:r>
      <w:r>
        <w:rPr/>
        <w:t>categories.</w:t>
      </w:r>
      <w:r>
        <w:rPr>
          <w:spacing w:val="-2"/>
        </w:rPr>
        <w:t> </w:t>
      </w:r>
      <w:r>
        <w:rPr/>
        <w:t>The</w:t>
      </w:r>
      <w:r>
        <w:rPr>
          <w:spacing w:val="-52"/>
        </w:rPr>
        <w:t> </w:t>
      </w:r>
      <w:r>
        <w:rPr/>
        <w:t>PEP</w:t>
      </w:r>
      <w:r>
        <w:rPr>
          <w:spacing w:val="-1"/>
        </w:rPr>
        <w:t> </w:t>
      </w:r>
      <w:r>
        <w:rPr/>
        <w:t>capability groups</w:t>
      </w:r>
      <w:r>
        <w:rPr>
          <w:spacing w:val="-2"/>
        </w:rPr>
        <w:t> </w:t>
      </w:r>
      <w:r>
        <w:rPr/>
        <w:t>correspond to</w:t>
      </w:r>
      <w:r>
        <w:rPr>
          <w:spacing w:val="-1"/>
        </w:rPr>
        <w:t> </w:t>
      </w:r>
      <w:r>
        <w:rPr/>
        <w:t>the</w:t>
      </w:r>
      <w:r>
        <w:rPr>
          <w:spacing w:val="-2"/>
        </w:rPr>
        <w:t> </w:t>
      </w:r>
      <w:r>
        <w:rPr/>
        <w:t>following security</w:t>
      </w:r>
      <w:r>
        <w:rPr>
          <w:spacing w:val="-1"/>
        </w:rPr>
        <w:t> </w:t>
      </w:r>
      <w:r>
        <w:rPr/>
        <w:t>functions:</w:t>
      </w:r>
    </w:p>
    <w:p>
      <w:pPr>
        <w:spacing w:after="0"/>
        <w:sectPr>
          <w:pgSz w:w="12240" w:h="15840"/>
          <w:pgMar w:header="730" w:footer="764" w:top="960" w:bottom="960" w:left="1320" w:right="1080"/>
        </w:sectPr>
      </w:pPr>
    </w:p>
    <w:p>
      <w:pPr>
        <w:pStyle w:val="ListParagraph"/>
        <w:numPr>
          <w:ilvl w:val="2"/>
          <w:numId w:val="5"/>
        </w:numPr>
        <w:tabs>
          <w:tab w:pos="840" w:val="left" w:leader="none"/>
          <w:tab w:pos="841" w:val="left" w:leader="none"/>
        </w:tabs>
        <w:spacing w:line="240" w:lineRule="auto" w:before="121" w:after="0"/>
        <w:ind w:left="840" w:right="0" w:hanging="361"/>
        <w:jc w:val="left"/>
        <w:rPr>
          <w:sz w:val="22"/>
        </w:rPr>
      </w:pPr>
      <w:r>
        <w:rPr>
          <w:sz w:val="22"/>
        </w:rPr>
        <w:t>Files,</w:t>
      </w:r>
    </w:p>
    <w:p>
      <w:pPr>
        <w:pStyle w:val="ListParagraph"/>
        <w:numPr>
          <w:ilvl w:val="2"/>
          <w:numId w:val="5"/>
        </w:numPr>
        <w:tabs>
          <w:tab w:pos="839" w:val="left" w:leader="none"/>
          <w:tab w:pos="841" w:val="left" w:leader="none"/>
        </w:tabs>
        <w:spacing w:line="240" w:lineRule="auto" w:before="19" w:after="0"/>
        <w:ind w:left="840" w:right="0" w:hanging="361"/>
        <w:jc w:val="left"/>
        <w:rPr>
          <w:sz w:val="22"/>
        </w:rPr>
      </w:pPr>
      <w:r>
        <w:rPr>
          <w:sz w:val="22"/>
        </w:rPr>
        <w:t>Email,</w:t>
      </w:r>
    </w:p>
    <w:p>
      <w:pPr>
        <w:pStyle w:val="ListParagraph"/>
        <w:numPr>
          <w:ilvl w:val="2"/>
          <w:numId w:val="5"/>
        </w:numPr>
        <w:tabs>
          <w:tab w:pos="839" w:val="left" w:leader="none"/>
          <w:tab w:pos="841" w:val="left" w:leader="none"/>
        </w:tabs>
        <w:spacing w:line="240" w:lineRule="auto" w:before="19" w:after="0"/>
        <w:ind w:left="840" w:right="0" w:hanging="361"/>
        <w:jc w:val="left"/>
        <w:rPr>
          <w:sz w:val="22"/>
        </w:rPr>
      </w:pPr>
      <w:r>
        <w:rPr>
          <w:sz w:val="22"/>
        </w:rPr>
        <w:t>Web,</w:t>
      </w:r>
    </w:p>
    <w:p>
      <w:pPr>
        <w:pStyle w:val="ListParagraph"/>
        <w:numPr>
          <w:ilvl w:val="2"/>
          <w:numId w:val="5"/>
        </w:numPr>
        <w:tabs>
          <w:tab w:pos="839" w:val="left" w:leader="none"/>
          <w:tab w:pos="841" w:val="left" w:leader="none"/>
        </w:tabs>
        <w:spacing w:line="240" w:lineRule="auto" w:before="19" w:after="0"/>
        <w:ind w:left="840" w:right="0" w:hanging="361"/>
        <w:jc w:val="left"/>
        <w:rPr>
          <w:sz w:val="22"/>
        </w:rPr>
      </w:pPr>
      <w:r>
        <w:rPr>
          <w:sz w:val="22"/>
        </w:rPr>
        <w:t>Networking,</w:t>
      </w:r>
    </w:p>
    <w:p>
      <w:pPr>
        <w:pStyle w:val="ListParagraph"/>
        <w:numPr>
          <w:ilvl w:val="2"/>
          <w:numId w:val="5"/>
        </w:numPr>
        <w:tabs>
          <w:tab w:pos="839" w:val="left" w:leader="none"/>
          <w:tab w:pos="840" w:val="left" w:leader="none"/>
        </w:tabs>
        <w:spacing w:line="240" w:lineRule="auto" w:before="20" w:after="0"/>
        <w:ind w:left="839" w:right="0" w:hanging="361"/>
        <w:jc w:val="left"/>
        <w:rPr>
          <w:sz w:val="22"/>
        </w:rPr>
      </w:pPr>
      <w:r>
        <w:rPr>
          <w:sz w:val="22"/>
        </w:rPr>
        <w:t>Resiliency,</w:t>
      </w:r>
    </w:p>
    <w:p>
      <w:pPr>
        <w:pStyle w:val="ListParagraph"/>
        <w:numPr>
          <w:ilvl w:val="2"/>
          <w:numId w:val="5"/>
        </w:numPr>
        <w:tabs>
          <w:tab w:pos="839" w:val="left" w:leader="none"/>
          <w:tab w:pos="840" w:val="left" w:leader="none"/>
        </w:tabs>
        <w:spacing w:line="240" w:lineRule="auto" w:before="18" w:after="0"/>
        <w:ind w:left="839" w:right="0" w:hanging="361"/>
        <w:jc w:val="left"/>
        <w:rPr>
          <w:sz w:val="22"/>
        </w:rPr>
      </w:pPr>
      <w:r>
        <w:rPr>
          <w:sz w:val="22"/>
        </w:rPr>
        <w:t>Domain</w:t>
      </w:r>
      <w:r>
        <w:rPr>
          <w:spacing w:val="-3"/>
          <w:sz w:val="22"/>
        </w:rPr>
        <w:t> </w:t>
      </w:r>
      <w:r>
        <w:rPr>
          <w:sz w:val="22"/>
        </w:rPr>
        <w:t>Name</w:t>
      </w:r>
      <w:r>
        <w:rPr>
          <w:spacing w:val="-4"/>
          <w:sz w:val="22"/>
        </w:rPr>
        <w:t> </w:t>
      </w:r>
      <w:r>
        <w:rPr>
          <w:sz w:val="22"/>
        </w:rPr>
        <w:t>System</w:t>
      </w:r>
      <w:r>
        <w:rPr>
          <w:spacing w:val="-3"/>
          <w:sz w:val="22"/>
        </w:rPr>
        <w:t> </w:t>
      </w:r>
      <w:r>
        <w:rPr>
          <w:sz w:val="22"/>
        </w:rPr>
        <w:t>(DNS),</w:t>
      </w:r>
    </w:p>
    <w:p>
      <w:pPr>
        <w:spacing w:before="101"/>
        <w:ind w:left="120" w:right="0" w:firstLine="0"/>
        <w:jc w:val="left"/>
        <w:rPr>
          <w:i/>
          <w:sz w:val="18"/>
        </w:rPr>
      </w:pPr>
      <w:bookmarkStart w:name="_bookmark16" w:id="31"/>
      <w:bookmarkEnd w:id="31"/>
      <w:r>
        <w:rPr/>
      </w:r>
      <w:r>
        <w:rPr>
          <w:i/>
          <w:sz w:val="18"/>
        </w:rPr>
        <w:t>Table</w:t>
      </w:r>
      <w:r>
        <w:rPr>
          <w:i/>
          <w:spacing w:val="-2"/>
          <w:sz w:val="18"/>
        </w:rPr>
        <w:t> </w:t>
      </w:r>
      <w:r>
        <w:rPr>
          <w:i/>
          <w:sz w:val="18"/>
        </w:rPr>
        <w:t>4:</w:t>
      </w:r>
      <w:r>
        <w:rPr>
          <w:i/>
          <w:spacing w:val="-3"/>
          <w:sz w:val="18"/>
        </w:rPr>
        <w:t> </w:t>
      </w:r>
      <w:r>
        <w:rPr>
          <w:i/>
          <w:sz w:val="18"/>
        </w:rPr>
        <w:t>Files</w:t>
      </w:r>
      <w:r>
        <w:rPr>
          <w:i/>
          <w:spacing w:val="-2"/>
          <w:sz w:val="18"/>
        </w:rPr>
        <w:t> </w:t>
      </w:r>
      <w:r>
        <w:rPr>
          <w:i/>
          <w:sz w:val="18"/>
        </w:rPr>
        <w:t>PEP</w:t>
      </w:r>
      <w:r>
        <w:rPr>
          <w:i/>
          <w:spacing w:val="-2"/>
          <w:sz w:val="18"/>
        </w:rPr>
        <w:t> </w:t>
      </w:r>
      <w:r>
        <w:rPr>
          <w:i/>
          <w:sz w:val="18"/>
        </w:rPr>
        <w:t>Security</w:t>
      </w:r>
      <w:r>
        <w:rPr>
          <w:i/>
          <w:spacing w:val="-1"/>
          <w:sz w:val="18"/>
        </w:rPr>
        <w:t> </w:t>
      </w:r>
      <w:r>
        <w:rPr>
          <w:i/>
          <w:sz w:val="18"/>
        </w:rPr>
        <w:t>Capabilities</w:t>
      </w:r>
    </w:p>
    <w:p>
      <w:pPr>
        <w:pStyle w:val="BodyText"/>
        <w:spacing w:before="4"/>
        <w:rPr>
          <w:i/>
          <w:sz w:val="17"/>
        </w:rPr>
      </w:pPr>
    </w:p>
    <w:p>
      <w:pPr>
        <w:pStyle w:val="Heading3"/>
      </w:pPr>
      <w:r>
        <w:rPr/>
        <w:t>Files</w:t>
      </w:r>
      <w:r>
        <w:rPr>
          <w:spacing w:val="-5"/>
        </w:rPr>
        <w:t> </w:t>
      </w:r>
      <w:r>
        <w:rPr/>
        <w:t>PEP</w:t>
      </w:r>
      <w:r>
        <w:rPr>
          <w:spacing w:val="-4"/>
        </w:rPr>
        <w:t> </w:t>
      </w:r>
      <w:r>
        <w:rPr/>
        <w:t>Security</w:t>
      </w:r>
      <w:r>
        <w:rPr>
          <w:spacing w:val="-4"/>
        </w:rPr>
        <w:t> </w:t>
      </w:r>
      <w:r>
        <w:rPr/>
        <w:t>Capabilities</w:t>
      </w:r>
    </w:p>
    <w:p>
      <w:pPr>
        <w:pStyle w:val="ListParagraph"/>
        <w:numPr>
          <w:ilvl w:val="0"/>
          <w:numId w:val="6"/>
        </w:numPr>
        <w:tabs>
          <w:tab w:pos="480" w:val="left" w:leader="none"/>
          <w:tab w:pos="481" w:val="left" w:leader="none"/>
        </w:tabs>
        <w:spacing w:line="240" w:lineRule="auto" w:before="120" w:after="0"/>
        <w:ind w:left="480" w:right="0" w:hanging="361"/>
        <w:jc w:val="left"/>
        <w:rPr>
          <w:sz w:val="22"/>
        </w:rPr>
      </w:pPr>
      <w:r>
        <w:rPr>
          <w:w w:val="99"/>
          <w:sz w:val="22"/>
        </w:rPr>
        <w:br w:type="column"/>
      </w:r>
      <w:r>
        <w:rPr>
          <w:sz w:val="22"/>
        </w:rPr>
        <w:t>Intrusion</w:t>
      </w:r>
      <w:r>
        <w:rPr>
          <w:spacing w:val="-4"/>
          <w:sz w:val="22"/>
        </w:rPr>
        <w:t> </w:t>
      </w:r>
      <w:r>
        <w:rPr>
          <w:sz w:val="22"/>
        </w:rPr>
        <w:t>Detection,</w:t>
      </w:r>
    </w:p>
    <w:p>
      <w:pPr>
        <w:pStyle w:val="ListParagraph"/>
        <w:numPr>
          <w:ilvl w:val="0"/>
          <w:numId w:val="6"/>
        </w:numPr>
        <w:tabs>
          <w:tab w:pos="480" w:val="left" w:leader="none"/>
          <w:tab w:pos="481" w:val="left" w:leader="none"/>
        </w:tabs>
        <w:spacing w:line="240" w:lineRule="auto" w:before="20" w:after="0"/>
        <w:ind w:left="480" w:right="0" w:hanging="361"/>
        <w:jc w:val="left"/>
        <w:rPr>
          <w:sz w:val="22"/>
        </w:rPr>
      </w:pPr>
      <w:r>
        <w:rPr>
          <w:sz w:val="22"/>
        </w:rPr>
        <w:t>Enterprise,</w:t>
      </w:r>
    </w:p>
    <w:p>
      <w:pPr>
        <w:pStyle w:val="ListParagraph"/>
        <w:numPr>
          <w:ilvl w:val="0"/>
          <w:numId w:val="6"/>
        </w:numPr>
        <w:tabs>
          <w:tab w:pos="480" w:val="left" w:leader="none"/>
          <w:tab w:pos="481" w:val="left" w:leader="none"/>
        </w:tabs>
        <w:spacing w:line="256" w:lineRule="auto" w:before="18" w:after="0"/>
        <w:ind w:left="480" w:right="1355" w:hanging="360"/>
        <w:jc w:val="left"/>
        <w:rPr>
          <w:sz w:val="22"/>
        </w:rPr>
      </w:pPr>
      <w:r>
        <w:rPr>
          <w:sz w:val="22"/>
        </w:rPr>
        <w:t>Unified Communications and</w:t>
      </w:r>
      <w:r>
        <w:rPr>
          <w:spacing w:val="-52"/>
          <w:sz w:val="22"/>
        </w:rPr>
        <w:t> </w:t>
      </w:r>
      <w:r>
        <w:rPr>
          <w:sz w:val="22"/>
        </w:rPr>
        <w:t>Collaboration</w:t>
      </w:r>
      <w:r>
        <w:rPr>
          <w:spacing w:val="-2"/>
          <w:sz w:val="22"/>
        </w:rPr>
        <w:t> </w:t>
      </w:r>
      <w:r>
        <w:rPr>
          <w:sz w:val="22"/>
        </w:rPr>
        <w:t>(UCC),</w:t>
      </w:r>
      <w:r>
        <w:rPr>
          <w:spacing w:val="-1"/>
          <w:sz w:val="22"/>
        </w:rPr>
        <w:t> </w:t>
      </w:r>
      <w:r>
        <w:rPr>
          <w:sz w:val="22"/>
        </w:rPr>
        <w:t>and</w:t>
      </w:r>
    </w:p>
    <w:p>
      <w:pPr>
        <w:pStyle w:val="ListParagraph"/>
        <w:numPr>
          <w:ilvl w:val="0"/>
          <w:numId w:val="6"/>
        </w:numPr>
        <w:tabs>
          <w:tab w:pos="479" w:val="left" w:leader="none"/>
          <w:tab w:pos="480" w:val="left" w:leader="none"/>
        </w:tabs>
        <w:spacing w:line="240" w:lineRule="auto" w:before="3" w:after="0"/>
        <w:ind w:left="479" w:right="0" w:hanging="360"/>
        <w:jc w:val="left"/>
        <w:rPr>
          <w:sz w:val="22"/>
        </w:rPr>
      </w:pPr>
      <w:r>
        <w:rPr>
          <w:sz w:val="22"/>
        </w:rPr>
        <w:t>Data</w:t>
      </w:r>
      <w:r>
        <w:rPr>
          <w:spacing w:val="-4"/>
          <w:sz w:val="22"/>
        </w:rPr>
        <w:t> </w:t>
      </w:r>
      <w:r>
        <w:rPr>
          <w:sz w:val="22"/>
        </w:rPr>
        <w:t>Protection.</w:t>
      </w:r>
    </w:p>
    <w:p>
      <w:pPr>
        <w:spacing w:after="0" w:line="240" w:lineRule="auto"/>
        <w:jc w:val="left"/>
        <w:rPr>
          <w:sz w:val="22"/>
        </w:rPr>
        <w:sectPr>
          <w:type w:val="continuous"/>
          <w:pgSz w:w="12240" w:h="15840"/>
          <w:pgMar w:header="730" w:footer="764" w:top="720" w:bottom="280" w:left="1320" w:right="1080"/>
          <w:cols w:num="2" w:equalWidth="0">
            <w:col w:w="3568" w:space="1831"/>
            <w:col w:w="4441"/>
          </w:cols>
        </w:sectPr>
      </w:pPr>
    </w:p>
    <w:p>
      <w:pPr>
        <w:pStyle w:val="BodyText"/>
        <w:spacing w:before="4"/>
        <w:rPr>
          <w:sz w:val="17"/>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87"/>
        <w:gridCol w:w="1872"/>
        <w:gridCol w:w="4319"/>
        <w:gridCol w:w="1680"/>
      </w:tblGrid>
      <w:tr>
        <w:trPr>
          <w:trHeight w:val="856" w:hRule="atLeast"/>
        </w:trPr>
        <w:tc>
          <w:tcPr>
            <w:tcW w:w="1487" w:type="dxa"/>
            <w:tcBorders>
              <w:top w:val="single" w:sz="4" w:space="0" w:color="0057B5"/>
              <w:bottom w:val="single" w:sz="4" w:space="0" w:color="0057B5"/>
            </w:tcBorders>
          </w:tcPr>
          <w:p>
            <w:pPr>
              <w:pStyle w:val="TableParagraph"/>
              <w:spacing w:before="0"/>
              <w:ind w:left="0"/>
              <w:rPr>
                <w:sz w:val="21"/>
              </w:rPr>
            </w:pPr>
          </w:p>
          <w:p>
            <w:pPr>
              <w:pStyle w:val="TableParagraph"/>
              <w:spacing w:before="0"/>
              <w:ind w:left="115"/>
              <w:rPr>
                <w:b/>
                <w:sz w:val="22"/>
              </w:rPr>
            </w:pPr>
            <w:r>
              <w:rPr>
                <w:b/>
                <w:sz w:val="22"/>
              </w:rPr>
              <w:t>Capability</w:t>
            </w:r>
          </w:p>
        </w:tc>
        <w:tc>
          <w:tcPr>
            <w:tcW w:w="1872" w:type="dxa"/>
            <w:tcBorders>
              <w:top w:val="single" w:sz="4" w:space="0" w:color="0057B5"/>
              <w:bottom w:val="single" w:sz="4" w:space="0" w:color="0057B5"/>
            </w:tcBorders>
          </w:tcPr>
          <w:p>
            <w:pPr>
              <w:pStyle w:val="TableParagraph"/>
              <w:ind w:left="183" w:right="678"/>
              <w:rPr>
                <w:b/>
                <w:sz w:val="22"/>
              </w:rPr>
            </w:pPr>
            <w:r>
              <w:rPr>
                <w:b/>
                <w:sz w:val="22"/>
              </w:rPr>
              <w:t>Capability</w:t>
            </w:r>
            <w:r>
              <w:rPr>
                <w:b/>
                <w:spacing w:val="-53"/>
                <w:sz w:val="22"/>
              </w:rPr>
              <w:t> </w:t>
            </w:r>
            <w:r>
              <w:rPr>
                <w:b/>
                <w:sz w:val="22"/>
              </w:rPr>
              <w:t>Identifier</w:t>
            </w:r>
          </w:p>
        </w:tc>
        <w:tc>
          <w:tcPr>
            <w:tcW w:w="4319" w:type="dxa"/>
            <w:tcBorders>
              <w:top w:val="single" w:sz="4" w:space="0" w:color="0057B5"/>
              <w:bottom w:val="single" w:sz="4" w:space="0" w:color="0057B5"/>
            </w:tcBorders>
          </w:tcPr>
          <w:p>
            <w:pPr>
              <w:pStyle w:val="TableParagraph"/>
              <w:spacing w:before="0"/>
              <w:ind w:left="0"/>
              <w:rPr>
                <w:sz w:val="21"/>
              </w:rPr>
            </w:pPr>
          </w:p>
          <w:p>
            <w:pPr>
              <w:pStyle w:val="TableParagraph"/>
              <w:spacing w:before="0"/>
              <w:ind w:left="140"/>
              <w:rPr>
                <w:b/>
                <w:sz w:val="22"/>
              </w:rPr>
            </w:pPr>
            <w:r>
              <w:rPr>
                <w:b/>
                <w:sz w:val="22"/>
              </w:rPr>
              <w:t>Description</w:t>
            </w:r>
          </w:p>
        </w:tc>
        <w:tc>
          <w:tcPr>
            <w:tcW w:w="1680" w:type="dxa"/>
            <w:tcBorders>
              <w:top w:val="single" w:sz="4" w:space="0" w:color="0057B5"/>
              <w:bottom w:val="single" w:sz="4" w:space="0" w:color="0057B5"/>
            </w:tcBorders>
          </w:tcPr>
          <w:p>
            <w:pPr>
              <w:pStyle w:val="TableParagraph"/>
              <w:spacing w:before="175"/>
              <w:ind w:left="344"/>
              <w:rPr>
                <w:b/>
                <w:sz w:val="22"/>
              </w:rPr>
            </w:pPr>
            <w:r>
              <w:rPr>
                <w:b/>
                <w:sz w:val="22"/>
              </w:rPr>
              <w:t>NIST</w:t>
            </w:r>
            <w:r>
              <w:rPr>
                <w:b/>
                <w:spacing w:val="-3"/>
                <w:sz w:val="22"/>
              </w:rPr>
              <w:t> </w:t>
            </w:r>
            <w:r>
              <w:rPr>
                <w:b/>
                <w:sz w:val="22"/>
              </w:rPr>
              <w:t>CSF</w:t>
            </w:r>
          </w:p>
          <w:p>
            <w:pPr>
              <w:pStyle w:val="TableParagraph"/>
              <w:spacing w:before="0"/>
              <w:ind w:left="344"/>
              <w:rPr>
                <w:b/>
                <w:sz w:val="22"/>
              </w:rPr>
            </w:pPr>
            <w:r>
              <w:rPr>
                <w:b/>
                <w:sz w:val="22"/>
              </w:rPr>
              <w:t>Mapping</w:t>
            </w:r>
          </w:p>
        </w:tc>
      </w:tr>
      <w:tr>
        <w:trPr>
          <w:trHeight w:val="1139" w:hRule="atLeast"/>
        </w:trPr>
        <w:tc>
          <w:tcPr>
            <w:tcW w:w="1487" w:type="dxa"/>
            <w:tcBorders>
              <w:top w:val="single" w:sz="4" w:space="0" w:color="0057B5"/>
              <w:bottom w:val="single" w:sz="4" w:space="0" w:color="0057B5"/>
            </w:tcBorders>
            <w:shd w:val="clear" w:color="auto" w:fill="E7EAF3"/>
          </w:tcPr>
          <w:p>
            <w:pPr>
              <w:pStyle w:val="TableParagraph"/>
              <w:spacing w:before="106"/>
              <w:ind w:left="115"/>
              <w:rPr>
                <w:b/>
                <w:sz w:val="20"/>
              </w:rPr>
            </w:pPr>
            <w:r>
              <w:rPr>
                <w:b/>
                <w:sz w:val="20"/>
              </w:rPr>
              <w:t>Anti-malware</w:t>
            </w:r>
          </w:p>
        </w:tc>
        <w:tc>
          <w:tcPr>
            <w:tcW w:w="1872" w:type="dxa"/>
            <w:tcBorders>
              <w:top w:val="single" w:sz="4" w:space="0" w:color="0057B5"/>
              <w:bottom w:val="single" w:sz="4" w:space="0" w:color="0057B5"/>
            </w:tcBorders>
            <w:shd w:val="clear" w:color="auto" w:fill="E7EAF3"/>
          </w:tcPr>
          <w:p>
            <w:pPr>
              <w:pStyle w:val="TableParagraph"/>
              <w:spacing w:before="106"/>
              <w:ind w:left="183"/>
              <w:rPr>
                <w:sz w:val="20"/>
              </w:rPr>
            </w:pPr>
            <w:r>
              <w:rPr>
                <w:sz w:val="20"/>
              </w:rPr>
              <w:t>3.PEP.FI.AMALW</w:t>
            </w:r>
          </w:p>
        </w:tc>
        <w:tc>
          <w:tcPr>
            <w:tcW w:w="4319" w:type="dxa"/>
            <w:tcBorders>
              <w:top w:val="single" w:sz="4" w:space="0" w:color="0057B5"/>
              <w:bottom w:val="single" w:sz="4" w:space="0" w:color="0057B5"/>
            </w:tcBorders>
            <w:shd w:val="clear" w:color="auto" w:fill="E7EAF3"/>
          </w:tcPr>
          <w:p>
            <w:pPr>
              <w:pStyle w:val="TableParagraph"/>
              <w:spacing w:before="104"/>
              <w:ind w:left="140" w:right="321"/>
              <w:rPr>
                <w:sz w:val="20"/>
              </w:rPr>
            </w:pPr>
            <w:r>
              <w:rPr>
                <w:sz w:val="20"/>
              </w:rPr>
              <w:t>Anti-malware protections detect the presence of</w:t>
            </w:r>
            <w:r>
              <w:rPr>
                <w:spacing w:val="-48"/>
                <w:sz w:val="20"/>
              </w:rPr>
              <w:t> </w:t>
            </w:r>
            <w:r>
              <w:rPr>
                <w:sz w:val="20"/>
              </w:rPr>
              <w:t>malicious code and facilitate its quarantine or</w:t>
            </w:r>
            <w:r>
              <w:rPr>
                <w:spacing w:val="1"/>
                <w:sz w:val="20"/>
              </w:rPr>
              <w:t> </w:t>
            </w:r>
            <w:r>
              <w:rPr>
                <w:sz w:val="20"/>
              </w:rPr>
              <w:t>removal.</w:t>
            </w:r>
          </w:p>
        </w:tc>
        <w:tc>
          <w:tcPr>
            <w:tcW w:w="1680" w:type="dxa"/>
            <w:tcBorders>
              <w:top w:val="single" w:sz="4" w:space="0" w:color="0057B5"/>
              <w:bottom w:val="single" w:sz="4" w:space="0" w:color="0057B5"/>
            </w:tcBorders>
            <w:shd w:val="clear" w:color="auto" w:fill="E7EAF3"/>
          </w:tcPr>
          <w:p>
            <w:pPr>
              <w:pStyle w:val="TableParagraph"/>
              <w:spacing w:before="104"/>
              <w:ind w:left="344"/>
              <w:rPr>
                <w:sz w:val="20"/>
              </w:rPr>
            </w:pPr>
            <w:r>
              <w:rPr>
                <w:sz w:val="20"/>
              </w:rPr>
              <w:t>PR.DS,</w:t>
            </w:r>
          </w:p>
          <w:p>
            <w:pPr>
              <w:pStyle w:val="TableParagraph"/>
              <w:spacing w:before="1"/>
              <w:ind w:left="344"/>
              <w:rPr>
                <w:sz w:val="20"/>
              </w:rPr>
            </w:pPr>
            <w:r>
              <w:rPr>
                <w:sz w:val="20"/>
              </w:rPr>
              <w:t>PR.PT,</w:t>
            </w:r>
          </w:p>
          <w:p>
            <w:pPr>
              <w:pStyle w:val="TableParagraph"/>
              <w:spacing w:before="0"/>
              <w:ind w:left="344" w:right="166"/>
              <w:rPr>
                <w:sz w:val="20"/>
              </w:rPr>
            </w:pPr>
            <w:r>
              <w:rPr>
                <w:sz w:val="20"/>
              </w:rPr>
              <w:t>DE.CM,</w:t>
            </w:r>
            <w:r>
              <w:rPr>
                <w:spacing w:val="1"/>
                <w:sz w:val="20"/>
              </w:rPr>
              <w:t> </w:t>
            </w:r>
            <w:r>
              <w:rPr>
                <w:sz w:val="20"/>
              </w:rPr>
              <w:t>DE.DP</w:t>
            </w:r>
            <w:r>
              <w:rPr>
                <w:spacing w:val="-12"/>
                <w:sz w:val="20"/>
              </w:rPr>
              <w:t> </w:t>
            </w:r>
            <w:r>
              <w:rPr>
                <w:sz w:val="20"/>
              </w:rPr>
              <w:t>RS.MI</w:t>
            </w:r>
          </w:p>
        </w:tc>
      </w:tr>
    </w:tbl>
    <w:p>
      <w:pPr>
        <w:spacing w:after="0"/>
        <w:rPr>
          <w:sz w:val="20"/>
        </w:rPr>
        <w:sectPr>
          <w:type w:val="continuous"/>
          <w:pgSz w:w="12240" w:h="15840"/>
          <w:pgMar w:header="730" w:footer="764" w:top="720" w:bottom="280" w:left="1320" w:right="1080"/>
        </w:sectPr>
      </w:pPr>
    </w:p>
    <w:p>
      <w:pPr>
        <w:pStyle w:val="BodyText"/>
        <w:rPr>
          <w:sz w:val="20"/>
        </w:rPr>
      </w:pPr>
    </w:p>
    <w:p>
      <w:pPr>
        <w:pStyle w:val="BodyText"/>
        <w:spacing w:before="7"/>
        <w:rPr>
          <w:sz w:val="20"/>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57"/>
        <w:gridCol w:w="1802"/>
        <w:gridCol w:w="4405"/>
        <w:gridCol w:w="1611"/>
      </w:tblGrid>
      <w:tr>
        <w:trPr>
          <w:trHeight w:val="856" w:hRule="atLeast"/>
        </w:trPr>
        <w:tc>
          <w:tcPr>
            <w:tcW w:w="1557" w:type="dxa"/>
            <w:tcBorders>
              <w:top w:val="single" w:sz="4" w:space="0" w:color="0057B5"/>
              <w:bottom w:val="single" w:sz="4" w:space="0" w:color="0057B5"/>
            </w:tcBorders>
          </w:tcPr>
          <w:p>
            <w:pPr>
              <w:pStyle w:val="TableParagraph"/>
              <w:spacing w:before="0"/>
              <w:ind w:left="0"/>
              <w:rPr>
                <w:sz w:val="21"/>
              </w:rPr>
            </w:pPr>
          </w:p>
          <w:p>
            <w:pPr>
              <w:pStyle w:val="TableParagraph"/>
              <w:spacing w:before="0"/>
              <w:rPr>
                <w:b/>
                <w:sz w:val="22"/>
              </w:rPr>
            </w:pPr>
            <w:r>
              <w:rPr>
                <w:b/>
                <w:sz w:val="22"/>
              </w:rPr>
              <w:t>Capability</w:t>
            </w:r>
          </w:p>
        </w:tc>
        <w:tc>
          <w:tcPr>
            <w:tcW w:w="1802" w:type="dxa"/>
            <w:tcBorders>
              <w:top w:val="single" w:sz="4" w:space="0" w:color="0057B5"/>
              <w:bottom w:val="single" w:sz="4" w:space="0" w:color="0057B5"/>
            </w:tcBorders>
          </w:tcPr>
          <w:p>
            <w:pPr>
              <w:pStyle w:val="TableParagraph"/>
              <w:ind w:left="127" w:right="664"/>
              <w:rPr>
                <w:b/>
                <w:sz w:val="22"/>
              </w:rPr>
            </w:pPr>
            <w:r>
              <w:rPr>
                <w:b/>
                <w:sz w:val="22"/>
              </w:rPr>
              <w:t>Capability</w:t>
            </w:r>
            <w:r>
              <w:rPr>
                <w:b/>
                <w:spacing w:val="-52"/>
                <w:sz w:val="22"/>
              </w:rPr>
              <w:t> </w:t>
            </w:r>
            <w:r>
              <w:rPr>
                <w:b/>
                <w:sz w:val="22"/>
              </w:rPr>
              <w:t>Identifier</w:t>
            </w:r>
          </w:p>
        </w:tc>
        <w:tc>
          <w:tcPr>
            <w:tcW w:w="4405" w:type="dxa"/>
            <w:tcBorders>
              <w:top w:val="single" w:sz="4" w:space="0" w:color="0057B5"/>
              <w:bottom w:val="single" w:sz="4" w:space="0" w:color="0057B5"/>
            </w:tcBorders>
          </w:tcPr>
          <w:p>
            <w:pPr>
              <w:pStyle w:val="TableParagraph"/>
              <w:spacing w:before="0"/>
              <w:ind w:left="0"/>
              <w:rPr>
                <w:sz w:val="21"/>
              </w:rPr>
            </w:pPr>
          </w:p>
          <w:p>
            <w:pPr>
              <w:pStyle w:val="TableParagraph"/>
              <w:spacing w:before="0"/>
              <w:ind w:left="154"/>
              <w:rPr>
                <w:b/>
                <w:sz w:val="22"/>
              </w:rPr>
            </w:pPr>
            <w:r>
              <w:rPr>
                <w:b/>
                <w:sz w:val="22"/>
              </w:rPr>
              <w:t>Description</w:t>
            </w:r>
          </w:p>
        </w:tc>
        <w:tc>
          <w:tcPr>
            <w:tcW w:w="1611" w:type="dxa"/>
            <w:tcBorders>
              <w:top w:val="single" w:sz="4" w:space="0" w:color="0057B5"/>
              <w:bottom w:val="single" w:sz="4" w:space="0" w:color="0057B5"/>
            </w:tcBorders>
          </w:tcPr>
          <w:p>
            <w:pPr>
              <w:pStyle w:val="TableParagraph"/>
              <w:spacing w:before="175"/>
              <w:ind w:left="272"/>
              <w:rPr>
                <w:b/>
                <w:sz w:val="22"/>
              </w:rPr>
            </w:pPr>
            <w:r>
              <w:rPr>
                <w:b/>
                <w:sz w:val="22"/>
              </w:rPr>
              <w:t>NIST</w:t>
            </w:r>
            <w:r>
              <w:rPr>
                <w:b/>
                <w:spacing w:val="-3"/>
                <w:sz w:val="22"/>
              </w:rPr>
              <w:t> </w:t>
            </w:r>
            <w:r>
              <w:rPr>
                <w:b/>
                <w:sz w:val="22"/>
              </w:rPr>
              <w:t>CSF</w:t>
            </w:r>
          </w:p>
          <w:p>
            <w:pPr>
              <w:pStyle w:val="TableParagraph"/>
              <w:spacing w:before="0"/>
              <w:ind w:left="272"/>
              <w:rPr>
                <w:b/>
                <w:sz w:val="22"/>
              </w:rPr>
            </w:pPr>
            <w:r>
              <w:rPr>
                <w:b/>
                <w:sz w:val="22"/>
              </w:rPr>
              <w:t>Mapping</w:t>
            </w:r>
          </w:p>
        </w:tc>
      </w:tr>
      <w:tr>
        <w:trPr>
          <w:trHeight w:val="1029" w:hRule="atLeast"/>
        </w:trPr>
        <w:tc>
          <w:tcPr>
            <w:tcW w:w="1557" w:type="dxa"/>
            <w:tcBorders>
              <w:top w:val="single" w:sz="4" w:space="0" w:color="0057B5"/>
            </w:tcBorders>
          </w:tcPr>
          <w:p>
            <w:pPr>
              <w:pStyle w:val="TableParagraph"/>
              <w:spacing w:before="104"/>
              <w:ind w:right="122"/>
              <w:rPr>
                <w:b/>
                <w:sz w:val="20"/>
              </w:rPr>
            </w:pPr>
            <w:r>
              <w:rPr>
                <w:b/>
                <w:sz w:val="20"/>
              </w:rPr>
              <w:t>Content</w:t>
            </w:r>
            <w:r>
              <w:rPr>
                <w:b/>
                <w:spacing w:val="1"/>
                <w:sz w:val="20"/>
              </w:rPr>
              <w:t> </w:t>
            </w:r>
            <w:r>
              <w:rPr>
                <w:b/>
                <w:sz w:val="20"/>
              </w:rPr>
              <w:t>Disarm and</w:t>
            </w:r>
            <w:r>
              <w:rPr>
                <w:b/>
                <w:spacing w:val="1"/>
                <w:sz w:val="20"/>
              </w:rPr>
              <w:t> </w:t>
            </w:r>
            <w:r>
              <w:rPr>
                <w:b/>
                <w:spacing w:val="-1"/>
                <w:sz w:val="20"/>
              </w:rPr>
              <w:t>Reconstruction</w:t>
            </w:r>
          </w:p>
        </w:tc>
        <w:tc>
          <w:tcPr>
            <w:tcW w:w="1802" w:type="dxa"/>
            <w:tcBorders>
              <w:top w:val="single" w:sz="4" w:space="0" w:color="0057B5"/>
            </w:tcBorders>
          </w:tcPr>
          <w:p>
            <w:pPr>
              <w:pStyle w:val="TableParagraph"/>
              <w:spacing w:before="104"/>
              <w:ind w:left="30" w:right="135"/>
              <w:jc w:val="center"/>
              <w:rPr>
                <w:sz w:val="20"/>
              </w:rPr>
            </w:pPr>
            <w:r>
              <w:rPr>
                <w:sz w:val="20"/>
              </w:rPr>
              <w:t>3.PEP.FI.CDREC</w:t>
            </w:r>
          </w:p>
        </w:tc>
        <w:tc>
          <w:tcPr>
            <w:tcW w:w="4405" w:type="dxa"/>
            <w:tcBorders>
              <w:top w:val="single" w:sz="4" w:space="0" w:color="0057B5"/>
            </w:tcBorders>
          </w:tcPr>
          <w:p>
            <w:pPr>
              <w:pStyle w:val="TableParagraph"/>
              <w:spacing w:before="104"/>
              <w:ind w:left="154" w:right="255"/>
              <w:rPr>
                <w:sz w:val="20"/>
              </w:rPr>
            </w:pPr>
            <w:r>
              <w:rPr>
                <w:sz w:val="20"/>
              </w:rPr>
              <w:t>Content disarm and reconstruction technology</w:t>
            </w:r>
            <w:r>
              <w:rPr>
                <w:spacing w:val="1"/>
                <w:sz w:val="20"/>
              </w:rPr>
              <w:t> </w:t>
            </w:r>
            <w:r>
              <w:rPr>
                <w:sz w:val="20"/>
              </w:rPr>
              <w:t>detects the presence of unapproved active content</w:t>
            </w:r>
            <w:r>
              <w:rPr>
                <w:spacing w:val="-47"/>
                <w:sz w:val="20"/>
              </w:rPr>
              <w:t> </w:t>
            </w:r>
            <w:r>
              <w:rPr>
                <w:sz w:val="20"/>
              </w:rPr>
              <w:t>and</w:t>
            </w:r>
            <w:r>
              <w:rPr>
                <w:spacing w:val="-2"/>
                <w:sz w:val="20"/>
              </w:rPr>
              <w:t> </w:t>
            </w:r>
            <w:r>
              <w:rPr>
                <w:sz w:val="20"/>
              </w:rPr>
              <w:t>facilitates its removal.</w:t>
            </w:r>
          </w:p>
        </w:tc>
        <w:tc>
          <w:tcPr>
            <w:tcW w:w="1611" w:type="dxa"/>
            <w:tcBorders>
              <w:top w:val="single" w:sz="4" w:space="0" w:color="0057B5"/>
            </w:tcBorders>
          </w:tcPr>
          <w:p>
            <w:pPr>
              <w:pStyle w:val="TableParagraph"/>
              <w:spacing w:before="104"/>
              <w:ind w:left="272"/>
              <w:rPr>
                <w:sz w:val="20"/>
              </w:rPr>
            </w:pPr>
            <w:r>
              <w:rPr>
                <w:sz w:val="20"/>
              </w:rPr>
              <w:t>PR.PT,</w:t>
            </w:r>
          </w:p>
          <w:p>
            <w:pPr>
              <w:pStyle w:val="TableParagraph"/>
              <w:spacing w:before="1"/>
              <w:ind w:left="272" w:right="641"/>
              <w:rPr>
                <w:sz w:val="20"/>
              </w:rPr>
            </w:pPr>
            <w:r>
              <w:rPr>
                <w:sz w:val="20"/>
              </w:rPr>
              <w:t>DE.CM,</w:t>
            </w:r>
            <w:r>
              <w:rPr>
                <w:spacing w:val="-47"/>
                <w:sz w:val="20"/>
              </w:rPr>
              <w:t> </w:t>
            </w:r>
            <w:r>
              <w:rPr>
                <w:sz w:val="20"/>
              </w:rPr>
              <w:t>DE.DP</w:t>
            </w:r>
          </w:p>
        </w:tc>
      </w:tr>
      <w:tr>
        <w:trPr>
          <w:trHeight w:val="1069" w:hRule="atLeast"/>
        </w:trPr>
        <w:tc>
          <w:tcPr>
            <w:tcW w:w="1557" w:type="dxa"/>
            <w:shd w:val="clear" w:color="auto" w:fill="E7EAF3"/>
          </w:tcPr>
          <w:p>
            <w:pPr>
              <w:pStyle w:val="TableParagraph"/>
              <w:ind w:right="463"/>
              <w:rPr>
                <w:b/>
                <w:sz w:val="20"/>
              </w:rPr>
            </w:pPr>
            <w:r>
              <w:rPr>
                <w:b/>
                <w:sz w:val="20"/>
              </w:rPr>
              <w:t>Detonation</w:t>
            </w:r>
            <w:r>
              <w:rPr>
                <w:b/>
                <w:spacing w:val="-47"/>
                <w:sz w:val="20"/>
              </w:rPr>
              <w:t> </w:t>
            </w:r>
            <w:r>
              <w:rPr>
                <w:b/>
                <w:sz w:val="20"/>
              </w:rPr>
              <w:t>Chamber</w:t>
            </w:r>
          </w:p>
        </w:tc>
        <w:tc>
          <w:tcPr>
            <w:tcW w:w="1802" w:type="dxa"/>
            <w:shd w:val="clear" w:color="auto" w:fill="E7EAF3"/>
          </w:tcPr>
          <w:p>
            <w:pPr>
              <w:pStyle w:val="TableParagraph"/>
              <w:ind w:left="108" w:right="133"/>
              <w:jc w:val="center"/>
              <w:rPr>
                <w:sz w:val="20"/>
              </w:rPr>
            </w:pPr>
            <w:r>
              <w:rPr>
                <w:sz w:val="20"/>
              </w:rPr>
              <w:t>3.PEP.FI.DCHAM</w:t>
            </w:r>
          </w:p>
        </w:tc>
        <w:tc>
          <w:tcPr>
            <w:tcW w:w="4405" w:type="dxa"/>
            <w:shd w:val="clear" w:color="auto" w:fill="E7EAF3"/>
          </w:tcPr>
          <w:p>
            <w:pPr>
              <w:pStyle w:val="TableParagraph"/>
              <w:ind w:left="154" w:right="482"/>
              <w:rPr>
                <w:sz w:val="20"/>
              </w:rPr>
            </w:pPr>
            <w:r>
              <w:rPr>
                <w:sz w:val="20"/>
              </w:rPr>
              <w:t>Detonation chambers facilitate the detection of</w:t>
            </w:r>
            <w:r>
              <w:rPr>
                <w:spacing w:val="-48"/>
                <w:sz w:val="20"/>
              </w:rPr>
              <w:t> </w:t>
            </w:r>
            <w:r>
              <w:rPr>
                <w:sz w:val="20"/>
              </w:rPr>
              <w:t>malicious code using protected and isolated</w:t>
            </w:r>
            <w:r>
              <w:rPr>
                <w:spacing w:val="1"/>
                <w:sz w:val="20"/>
              </w:rPr>
              <w:t> </w:t>
            </w:r>
            <w:r>
              <w:rPr>
                <w:sz w:val="20"/>
              </w:rPr>
              <w:t>execution</w:t>
            </w:r>
            <w:r>
              <w:rPr>
                <w:spacing w:val="-3"/>
                <w:sz w:val="20"/>
              </w:rPr>
              <w:t> </w:t>
            </w:r>
            <w:r>
              <w:rPr>
                <w:sz w:val="20"/>
              </w:rPr>
              <w:t>environments</w:t>
            </w:r>
            <w:r>
              <w:rPr>
                <w:spacing w:val="-2"/>
                <w:sz w:val="20"/>
              </w:rPr>
              <w:t> </w:t>
            </w:r>
            <w:r>
              <w:rPr>
                <w:sz w:val="20"/>
              </w:rPr>
              <w:t>to</w:t>
            </w:r>
            <w:r>
              <w:rPr>
                <w:spacing w:val="-3"/>
                <w:sz w:val="20"/>
              </w:rPr>
              <w:t> </w:t>
            </w:r>
            <w:r>
              <w:rPr>
                <w:sz w:val="20"/>
              </w:rPr>
              <w:t>analyze</w:t>
            </w:r>
            <w:r>
              <w:rPr>
                <w:spacing w:val="-1"/>
                <w:sz w:val="20"/>
              </w:rPr>
              <w:t> </w:t>
            </w:r>
            <w:r>
              <w:rPr>
                <w:sz w:val="20"/>
              </w:rPr>
              <w:t>the</w:t>
            </w:r>
            <w:r>
              <w:rPr>
                <w:spacing w:val="-3"/>
                <w:sz w:val="20"/>
              </w:rPr>
              <w:t> </w:t>
            </w:r>
            <w:r>
              <w:rPr>
                <w:sz w:val="20"/>
              </w:rPr>
              <w:t>files.</w:t>
            </w:r>
          </w:p>
        </w:tc>
        <w:tc>
          <w:tcPr>
            <w:tcW w:w="1611" w:type="dxa"/>
            <w:shd w:val="clear" w:color="auto" w:fill="E7EAF3"/>
          </w:tcPr>
          <w:p>
            <w:pPr>
              <w:pStyle w:val="TableParagraph"/>
              <w:ind w:left="272" w:right="113"/>
              <w:rPr>
                <w:sz w:val="20"/>
              </w:rPr>
            </w:pPr>
            <w:r>
              <w:rPr>
                <w:sz w:val="20"/>
              </w:rPr>
              <w:t>DE.CM,</w:t>
            </w:r>
            <w:r>
              <w:rPr>
                <w:spacing w:val="1"/>
                <w:sz w:val="20"/>
              </w:rPr>
              <w:t> </w:t>
            </w:r>
            <w:r>
              <w:rPr>
                <w:sz w:val="20"/>
              </w:rPr>
              <w:t>DE.DP</w:t>
            </w:r>
            <w:r>
              <w:rPr>
                <w:spacing w:val="1"/>
                <w:sz w:val="20"/>
              </w:rPr>
              <w:t> </w:t>
            </w:r>
            <w:r>
              <w:rPr>
                <w:sz w:val="20"/>
              </w:rPr>
              <w:t>RS.AN,</w:t>
            </w:r>
            <w:r>
              <w:rPr>
                <w:spacing w:val="-12"/>
                <w:sz w:val="20"/>
              </w:rPr>
              <w:t> </w:t>
            </w:r>
            <w:r>
              <w:rPr>
                <w:sz w:val="20"/>
              </w:rPr>
              <w:t>RS.MI</w:t>
            </w:r>
          </w:p>
        </w:tc>
      </w:tr>
      <w:tr>
        <w:trPr>
          <w:trHeight w:val="1040" w:hRule="atLeast"/>
        </w:trPr>
        <w:tc>
          <w:tcPr>
            <w:tcW w:w="1557" w:type="dxa"/>
            <w:tcBorders>
              <w:bottom w:val="single" w:sz="4" w:space="0" w:color="0057B5"/>
            </w:tcBorders>
          </w:tcPr>
          <w:p>
            <w:pPr>
              <w:pStyle w:val="TableParagraph"/>
              <w:ind w:right="474"/>
              <w:rPr>
                <w:b/>
                <w:sz w:val="20"/>
              </w:rPr>
            </w:pPr>
            <w:r>
              <w:rPr>
                <w:b/>
                <w:sz w:val="20"/>
              </w:rPr>
              <w:t>Data Loss</w:t>
            </w:r>
            <w:r>
              <w:rPr>
                <w:b/>
                <w:spacing w:val="1"/>
                <w:sz w:val="20"/>
              </w:rPr>
              <w:t> </w:t>
            </w:r>
            <w:r>
              <w:rPr>
                <w:b/>
                <w:sz w:val="20"/>
              </w:rPr>
              <w:t>Prevention</w:t>
            </w:r>
          </w:p>
        </w:tc>
        <w:tc>
          <w:tcPr>
            <w:tcW w:w="1802" w:type="dxa"/>
            <w:tcBorders>
              <w:bottom w:val="single" w:sz="4" w:space="0" w:color="0057B5"/>
            </w:tcBorders>
          </w:tcPr>
          <w:p>
            <w:pPr>
              <w:pStyle w:val="TableParagraph"/>
              <w:ind w:left="108" w:right="246"/>
              <w:jc w:val="center"/>
              <w:rPr>
                <w:sz w:val="20"/>
              </w:rPr>
            </w:pPr>
            <w:r>
              <w:rPr>
                <w:sz w:val="20"/>
              </w:rPr>
              <w:t>3.PEP.FI.DLPRE</w:t>
            </w:r>
          </w:p>
        </w:tc>
        <w:tc>
          <w:tcPr>
            <w:tcW w:w="4405" w:type="dxa"/>
            <w:tcBorders>
              <w:bottom w:val="single" w:sz="4" w:space="0" w:color="0057B5"/>
            </w:tcBorders>
          </w:tcPr>
          <w:p>
            <w:pPr>
              <w:pStyle w:val="TableParagraph"/>
              <w:ind w:left="154" w:right="455"/>
              <w:jc w:val="both"/>
              <w:rPr>
                <w:sz w:val="20"/>
              </w:rPr>
            </w:pPr>
            <w:r>
              <w:rPr>
                <w:sz w:val="20"/>
              </w:rPr>
              <w:t>Data loss prevention (DLP) technologies detect</w:t>
            </w:r>
            <w:r>
              <w:rPr>
                <w:spacing w:val="-48"/>
                <w:sz w:val="20"/>
              </w:rPr>
              <w:t> </w:t>
            </w:r>
            <w:r>
              <w:rPr>
                <w:sz w:val="20"/>
              </w:rPr>
              <w:t>instances of the exfiltration, either malicious or</w:t>
            </w:r>
            <w:r>
              <w:rPr>
                <w:spacing w:val="-47"/>
                <w:sz w:val="20"/>
              </w:rPr>
              <w:t> </w:t>
            </w:r>
            <w:r>
              <w:rPr>
                <w:sz w:val="20"/>
              </w:rPr>
              <w:t>accidental,</w:t>
            </w:r>
            <w:r>
              <w:rPr>
                <w:spacing w:val="-2"/>
                <w:sz w:val="20"/>
              </w:rPr>
              <w:t> </w:t>
            </w:r>
            <w:r>
              <w:rPr>
                <w:sz w:val="20"/>
              </w:rPr>
              <w:t>of</w:t>
            </w:r>
            <w:r>
              <w:rPr>
                <w:spacing w:val="-1"/>
                <w:sz w:val="20"/>
              </w:rPr>
              <w:t> </w:t>
            </w:r>
            <w:r>
              <w:rPr>
                <w:sz w:val="20"/>
              </w:rPr>
              <w:t>agency</w:t>
            </w:r>
            <w:r>
              <w:rPr>
                <w:spacing w:val="-2"/>
                <w:sz w:val="20"/>
              </w:rPr>
              <w:t> </w:t>
            </w:r>
            <w:r>
              <w:rPr>
                <w:sz w:val="20"/>
              </w:rPr>
              <w:t>data.</w:t>
            </w:r>
          </w:p>
        </w:tc>
        <w:tc>
          <w:tcPr>
            <w:tcW w:w="1611" w:type="dxa"/>
            <w:tcBorders>
              <w:bottom w:val="single" w:sz="4" w:space="0" w:color="0057B5"/>
            </w:tcBorders>
          </w:tcPr>
          <w:p>
            <w:pPr>
              <w:pStyle w:val="TableParagraph"/>
              <w:ind w:left="272"/>
              <w:rPr>
                <w:sz w:val="20"/>
              </w:rPr>
            </w:pPr>
            <w:r>
              <w:rPr>
                <w:sz w:val="20"/>
              </w:rPr>
              <w:t>PR.DS</w:t>
            </w:r>
          </w:p>
        </w:tc>
      </w:tr>
    </w:tbl>
    <w:p>
      <w:pPr>
        <w:pStyle w:val="BodyText"/>
        <w:spacing w:before="5"/>
        <w:rPr>
          <w:sz w:val="24"/>
        </w:rPr>
      </w:pPr>
    </w:p>
    <w:p>
      <w:pPr>
        <w:spacing w:before="93"/>
        <w:ind w:left="120" w:right="0" w:firstLine="0"/>
        <w:jc w:val="left"/>
        <w:rPr>
          <w:i/>
          <w:sz w:val="18"/>
        </w:rPr>
      </w:pPr>
      <w:bookmarkStart w:name="_bookmark17" w:id="32"/>
      <w:bookmarkEnd w:id="32"/>
      <w:r>
        <w:rPr/>
      </w:r>
      <w:r>
        <w:rPr>
          <w:i/>
          <w:sz w:val="18"/>
        </w:rPr>
        <w:t>Table</w:t>
      </w:r>
      <w:r>
        <w:rPr>
          <w:i/>
          <w:spacing w:val="-1"/>
          <w:sz w:val="18"/>
        </w:rPr>
        <w:t> </w:t>
      </w:r>
      <w:r>
        <w:rPr>
          <w:i/>
          <w:sz w:val="18"/>
        </w:rPr>
        <w:t>5:</w:t>
      </w:r>
      <w:r>
        <w:rPr>
          <w:i/>
          <w:spacing w:val="-2"/>
          <w:sz w:val="18"/>
        </w:rPr>
        <w:t> </w:t>
      </w:r>
      <w:r>
        <w:rPr>
          <w:i/>
          <w:sz w:val="18"/>
        </w:rPr>
        <w:t>Email</w:t>
      </w:r>
      <w:r>
        <w:rPr>
          <w:i/>
          <w:spacing w:val="-4"/>
          <w:sz w:val="18"/>
        </w:rPr>
        <w:t> </w:t>
      </w:r>
      <w:r>
        <w:rPr>
          <w:i/>
          <w:sz w:val="18"/>
        </w:rPr>
        <w:t>PEP</w:t>
      </w:r>
      <w:r>
        <w:rPr>
          <w:i/>
          <w:spacing w:val="-2"/>
          <w:sz w:val="18"/>
        </w:rPr>
        <w:t> </w:t>
      </w:r>
      <w:r>
        <w:rPr>
          <w:i/>
          <w:sz w:val="18"/>
        </w:rPr>
        <w:t>Security</w:t>
      </w:r>
      <w:r>
        <w:rPr>
          <w:i/>
          <w:spacing w:val="-2"/>
          <w:sz w:val="18"/>
        </w:rPr>
        <w:t> </w:t>
      </w:r>
      <w:r>
        <w:rPr>
          <w:i/>
          <w:sz w:val="18"/>
        </w:rPr>
        <w:t>Capabilities</w:t>
      </w:r>
    </w:p>
    <w:p>
      <w:pPr>
        <w:pStyle w:val="BodyText"/>
        <w:spacing w:before="4"/>
        <w:rPr>
          <w:i/>
          <w:sz w:val="17"/>
        </w:rPr>
      </w:pPr>
    </w:p>
    <w:p>
      <w:pPr>
        <w:pStyle w:val="Heading3"/>
      </w:pPr>
      <w:r>
        <w:rPr/>
        <w:t>Email</w:t>
      </w:r>
      <w:r>
        <w:rPr>
          <w:spacing w:val="-5"/>
        </w:rPr>
        <w:t> </w:t>
      </w:r>
      <w:r>
        <w:rPr/>
        <w:t>PEP</w:t>
      </w:r>
      <w:r>
        <w:rPr>
          <w:spacing w:val="-4"/>
        </w:rPr>
        <w:t> </w:t>
      </w:r>
      <w:r>
        <w:rPr/>
        <w:t>Security</w:t>
      </w:r>
      <w:r>
        <w:rPr>
          <w:spacing w:val="-5"/>
        </w:rPr>
        <w:t> </w:t>
      </w:r>
      <w:r>
        <w:rPr/>
        <w:t>Capabilities</w:t>
      </w:r>
    </w:p>
    <w:p>
      <w:pPr>
        <w:pStyle w:val="BodyText"/>
        <w:spacing w:before="5"/>
        <w:rPr>
          <w:b/>
          <w:sz w:val="10"/>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14"/>
        <w:gridCol w:w="1882"/>
        <w:gridCol w:w="4500"/>
        <w:gridCol w:w="1477"/>
      </w:tblGrid>
      <w:tr>
        <w:trPr>
          <w:trHeight w:val="855" w:hRule="atLeast"/>
        </w:trPr>
        <w:tc>
          <w:tcPr>
            <w:tcW w:w="1514" w:type="dxa"/>
            <w:tcBorders>
              <w:top w:val="single" w:sz="4" w:space="0" w:color="0057B5"/>
              <w:bottom w:val="single" w:sz="4" w:space="0" w:color="0057B5"/>
            </w:tcBorders>
          </w:tcPr>
          <w:p>
            <w:pPr>
              <w:pStyle w:val="TableParagraph"/>
              <w:spacing w:before="10"/>
              <w:ind w:left="0"/>
              <w:rPr>
                <w:b/>
                <w:sz w:val="20"/>
              </w:rPr>
            </w:pPr>
          </w:p>
          <w:p>
            <w:pPr>
              <w:pStyle w:val="TableParagraph"/>
              <w:spacing w:before="1"/>
              <w:rPr>
                <w:b/>
                <w:sz w:val="22"/>
              </w:rPr>
            </w:pPr>
            <w:r>
              <w:rPr>
                <w:b/>
                <w:sz w:val="22"/>
              </w:rPr>
              <w:t>Capability</w:t>
            </w:r>
          </w:p>
        </w:tc>
        <w:tc>
          <w:tcPr>
            <w:tcW w:w="1882" w:type="dxa"/>
            <w:tcBorders>
              <w:top w:val="single" w:sz="4" w:space="0" w:color="0057B5"/>
              <w:bottom w:val="single" w:sz="4" w:space="0" w:color="0057B5"/>
            </w:tcBorders>
          </w:tcPr>
          <w:p>
            <w:pPr>
              <w:pStyle w:val="TableParagraph"/>
              <w:ind w:left="171" w:right="700"/>
              <w:rPr>
                <w:b/>
                <w:sz w:val="22"/>
              </w:rPr>
            </w:pPr>
            <w:r>
              <w:rPr>
                <w:b/>
                <w:sz w:val="22"/>
              </w:rPr>
              <w:t>Capability</w:t>
            </w:r>
            <w:r>
              <w:rPr>
                <w:b/>
                <w:spacing w:val="-52"/>
                <w:sz w:val="22"/>
              </w:rPr>
              <w:t> </w:t>
            </w:r>
            <w:r>
              <w:rPr>
                <w:b/>
                <w:sz w:val="22"/>
              </w:rPr>
              <w:t>Identifier</w:t>
            </w:r>
          </w:p>
        </w:tc>
        <w:tc>
          <w:tcPr>
            <w:tcW w:w="4500" w:type="dxa"/>
            <w:tcBorders>
              <w:top w:val="single" w:sz="4" w:space="0" w:color="0057B5"/>
              <w:bottom w:val="single" w:sz="4" w:space="0" w:color="0057B5"/>
            </w:tcBorders>
          </w:tcPr>
          <w:p>
            <w:pPr>
              <w:pStyle w:val="TableParagraph"/>
              <w:spacing w:before="10"/>
              <w:ind w:left="0"/>
              <w:rPr>
                <w:b/>
                <w:sz w:val="20"/>
              </w:rPr>
            </w:pPr>
          </w:p>
          <w:p>
            <w:pPr>
              <w:pStyle w:val="TableParagraph"/>
              <w:spacing w:before="1"/>
              <w:ind w:left="113"/>
              <w:rPr>
                <w:b/>
                <w:sz w:val="22"/>
              </w:rPr>
            </w:pPr>
            <w:r>
              <w:rPr>
                <w:b/>
                <w:sz w:val="22"/>
              </w:rPr>
              <w:t>Description</w:t>
            </w:r>
          </w:p>
        </w:tc>
        <w:tc>
          <w:tcPr>
            <w:tcW w:w="1477" w:type="dxa"/>
            <w:tcBorders>
              <w:top w:val="single" w:sz="4" w:space="0" w:color="0057B5"/>
              <w:bottom w:val="single" w:sz="4" w:space="0" w:color="0057B5"/>
            </w:tcBorders>
          </w:tcPr>
          <w:p>
            <w:pPr>
              <w:pStyle w:val="TableParagraph"/>
              <w:spacing w:before="174"/>
              <w:ind w:left="136"/>
              <w:rPr>
                <w:b/>
                <w:sz w:val="22"/>
              </w:rPr>
            </w:pPr>
            <w:r>
              <w:rPr>
                <w:b/>
                <w:sz w:val="22"/>
              </w:rPr>
              <w:t>NIST</w:t>
            </w:r>
            <w:r>
              <w:rPr>
                <w:b/>
                <w:spacing w:val="-3"/>
                <w:sz w:val="22"/>
              </w:rPr>
              <w:t> </w:t>
            </w:r>
            <w:r>
              <w:rPr>
                <w:b/>
                <w:sz w:val="22"/>
              </w:rPr>
              <w:t>CSF</w:t>
            </w:r>
          </w:p>
          <w:p>
            <w:pPr>
              <w:pStyle w:val="TableParagraph"/>
              <w:spacing w:before="1"/>
              <w:ind w:left="136"/>
              <w:rPr>
                <w:b/>
                <w:sz w:val="22"/>
              </w:rPr>
            </w:pPr>
            <w:r>
              <w:rPr>
                <w:b/>
                <w:sz w:val="22"/>
              </w:rPr>
              <w:t>Mapping</w:t>
            </w:r>
          </w:p>
        </w:tc>
      </w:tr>
      <w:tr>
        <w:trPr>
          <w:trHeight w:val="910" w:hRule="atLeast"/>
        </w:trPr>
        <w:tc>
          <w:tcPr>
            <w:tcW w:w="1514" w:type="dxa"/>
            <w:tcBorders>
              <w:top w:val="single" w:sz="4" w:space="0" w:color="0057B5"/>
            </w:tcBorders>
            <w:shd w:val="clear" w:color="auto" w:fill="E7EAF3"/>
          </w:tcPr>
          <w:p>
            <w:pPr>
              <w:pStyle w:val="TableParagraph"/>
              <w:spacing w:before="106"/>
              <w:ind w:right="186"/>
              <w:rPr>
                <w:b/>
                <w:sz w:val="20"/>
              </w:rPr>
            </w:pPr>
            <w:r>
              <w:rPr>
                <w:b/>
                <w:sz w:val="20"/>
              </w:rPr>
              <w:t>Anti-phishing</w:t>
            </w:r>
            <w:r>
              <w:rPr>
                <w:b/>
                <w:spacing w:val="-47"/>
                <w:sz w:val="20"/>
              </w:rPr>
              <w:t> </w:t>
            </w:r>
            <w:r>
              <w:rPr>
                <w:b/>
                <w:sz w:val="20"/>
              </w:rPr>
              <w:t>Protections</w:t>
            </w:r>
          </w:p>
        </w:tc>
        <w:tc>
          <w:tcPr>
            <w:tcW w:w="1882" w:type="dxa"/>
            <w:tcBorders>
              <w:top w:val="single" w:sz="4" w:space="0" w:color="0057B5"/>
            </w:tcBorders>
            <w:shd w:val="clear" w:color="auto" w:fill="E7EAF3"/>
          </w:tcPr>
          <w:p>
            <w:pPr>
              <w:pStyle w:val="TableParagraph"/>
              <w:spacing w:before="106"/>
              <w:ind w:left="97" w:right="95"/>
              <w:jc w:val="center"/>
              <w:rPr>
                <w:sz w:val="20"/>
              </w:rPr>
            </w:pPr>
            <w:r>
              <w:rPr>
                <w:sz w:val="20"/>
              </w:rPr>
              <w:t>3.PEP.EM.APPRO</w:t>
            </w:r>
          </w:p>
        </w:tc>
        <w:tc>
          <w:tcPr>
            <w:tcW w:w="4500" w:type="dxa"/>
            <w:tcBorders>
              <w:top w:val="single" w:sz="4" w:space="0" w:color="0057B5"/>
            </w:tcBorders>
            <w:shd w:val="clear" w:color="auto" w:fill="E7EAF3"/>
          </w:tcPr>
          <w:p>
            <w:pPr>
              <w:pStyle w:val="TableParagraph"/>
              <w:spacing w:before="106"/>
              <w:ind w:left="113" w:right="162"/>
              <w:rPr>
                <w:sz w:val="20"/>
              </w:rPr>
            </w:pPr>
            <w:r>
              <w:rPr>
                <w:sz w:val="20"/>
              </w:rPr>
              <w:t>Anti-phishing protections detect instances of</w:t>
            </w:r>
            <w:r>
              <w:rPr>
                <w:spacing w:val="1"/>
                <w:sz w:val="20"/>
              </w:rPr>
              <w:t> </w:t>
            </w:r>
            <w:r>
              <w:rPr>
                <w:sz w:val="20"/>
              </w:rPr>
              <w:t>phishing</w:t>
            </w:r>
            <w:r>
              <w:rPr>
                <w:spacing w:val="-2"/>
                <w:sz w:val="20"/>
              </w:rPr>
              <w:t> </w:t>
            </w:r>
            <w:r>
              <w:rPr>
                <w:sz w:val="20"/>
              </w:rPr>
              <w:t>and</w:t>
            </w:r>
            <w:r>
              <w:rPr>
                <w:spacing w:val="-4"/>
                <w:sz w:val="20"/>
              </w:rPr>
              <w:t> </w:t>
            </w:r>
            <w:r>
              <w:rPr>
                <w:sz w:val="20"/>
              </w:rPr>
              <w:t>prevent</w:t>
            </w:r>
            <w:r>
              <w:rPr>
                <w:spacing w:val="-5"/>
                <w:sz w:val="20"/>
              </w:rPr>
              <w:t> </w:t>
            </w:r>
            <w:r>
              <w:rPr>
                <w:sz w:val="20"/>
              </w:rPr>
              <w:t>users</w:t>
            </w:r>
            <w:r>
              <w:rPr>
                <w:spacing w:val="-3"/>
                <w:sz w:val="20"/>
              </w:rPr>
              <w:t> </w:t>
            </w:r>
            <w:r>
              <w:rPr>
                <w:sz w:val="20"/>
              </w:rPr>
              <w:t>from</w:t>
            </w:r>
            <w:r>
              <w:rPr>
                <w:spacing w:val="-3"/>
                <w:sz w:val="20"/>
              </w:rPr>
              <w:t> </w:t>
            </w:r>
            <w:r>
              <w:rPr>
                <w:sz w:val="20"/>
              </w:rPr>
              <w:t>accessing</w:t>
            </w:r>
            <w:r>
              <w:rPr>
                <w:spacing w:val="-2"/>
                <w:sz w:val="20"/>
              </w:rPr>
              <w:t> </w:t>
            </w:r>
            <w:r>
              <w:rPr>
                <w:sz w:val="20"/>
              </w:rPr>
              <w:t>them.</w:t>
            </w:r>
          </w:p>
        </w:tc>
        <w:tc>
          <w:tcPr>
            <w:tcW w:w="1477" w:type="dxa"/>
            <w:tcBorders>
              <w:top w:val="single" w:sz="4" w:space="0" w:color="0057B5"/>
            </w:tcBorders>
            <w:shd w:val="clear" w:color="auto" w:fill="E7EAF3"/>
          </w:tcPr>
          <w:p>
            <w:pPr>
              <w:pStyle w:val="TableParagraph"/>
              <w:spacing w:before="106"/>
              <w:ind w:left="136"/>
              <w:rPr>
                <w:sz w:val="20"/>
              </w:rPr>
            </w:pPr>
            <w:r>
              <w:rPr>
                <w:sz w:val="20"/>
              </w:rPr>
              <w:t>PR.AT,</w:t>
            </w:r>
          </w:p>
          <w:p>
            <w:pPr>
              <w:pStyle w:val="TableParagraph"/>
              <w:spacing w:before="0"/>
              <w:ind w:left="136" w:right="693"/>
              <w:rPr>
                <w:sz w:val="20"/>
              </w:rPr>
            </w:pPr>
            <w:r>
              <w:rPr>
                <w:sz w:val="20"/>
              </w:rPr>
              <w:t>PR.PT,</w:t>
            </w:r>
            <w:r>
              <w:rPr>
                <w:spacing w:val="1"/>
                <w:sz w:val="20"/>
              </w:rPr>
              <w:t> </w:t>
            </w:r>
            <w:r>
              <w:rPr>
                <w:sz w:val="20"/>
              </w:rPr>
              <w:t>DE.CM</w:t>
            </w:r>
          </w:p>
        </w:tc>
      </w:tr>
      <w:tr>
        <w:trPr>
          <w:trHeight w:val="810" w:hRule="atLeast"/>
        </w:trPr>
        <w:tc>
          <w:tcPr>
            <w:tcW w:w="1514" w:type="dxa"/>
          </w:tcPr>
          <w:p>
            <w:pPr>
              <w:pStyle w:val="TableParagraph"/>
              <w:ind w:right="398"/>
              <w:rPr>
                <w:b/>
                <w:sz w:val="20"/>
              </w:rPr>
            </w:pPr>
            <w:r>
              <w:rPr>
                <w:b/>
                <w:sz w:val="20"/>
              </w:rPr>
              <w:t>Anti-spam</w:t>
            </w:r>
            <w:r>
              <w:rPr>
                <w:b/>
                <w:spacing w:val="1"/>
                <w:sz w:val="20"/>
              </w:rPr>
              <w:t> </w:t>
            </w:r>
            <w:r>
              <w:rPr>
                <w:b/>
                <w:sz w:val="20"/>
              </w:rPr>
              <w:t>Protections</w:t>
            </w:r>
          </w:p>
        </w:tc>
        <w:tc>
          <w:tcPr>
            <w:tcW w:w="1882" w:type="dxa"/>
          </w:tcPr>
          <w:p>
            <w:pPr>
              <w:pStyle w:val="TableParagraph"/>
              <w:ind w:left="97" w:right="95"/>
              <w:jc w:val="center"/>
              <w:rPr>
                <w:sz w:val="20"/>
              </w:rPr>
            </w:pPr>
            <w:r>
              <w:rPr>
                <w:sz w:val="20"/>
              </w:rPr>
              <w:t>3.PEP.EM.ASPRO</w:t>
            </w:r>
          </w:p>
        </w:tc>
        <w:tc>
          <w:tcPr>
            <w:tcW w:w="4500" w:type="dxa"/>
          </w:tcPr>
          <w:p>
            <w:pPr>
              <w:pStyle w:val="TableParagraph"/>
              <w:ind w:left="113" w:right="823"/>
              <w:rPr>
                <w:sz w:val="20"/>
              </w:rPr>
            </w:pPr>
            <w:r>
              <w:rPr>
                <w:sz w:val="20"/>
              </w:rPr>
              <w:t>Anti-spam protections detect and quarantine</w:t>
            </w:r>
            <w:r>
              <w:rPr>
                <w:spacing w:val="-47"/>
                <w:sz w:val="20"/>
              </w:rPr>
              <w:t> </w:t>
            </w:r>
            <w:r>
              <w:rPr>
                <w:sz w:val="20"/>
              </w:rPr>
              <w:t>instances</w:t>
            </w:r>
            <w:r>
              <w:rPr>
                <w:spacing w:val="-2"/>
                <w:sz w:val="20"/>
              </w:rPr>
              <w:t> </w:t>
            </w:r>
            <w:r>
              <w:rPr>
                <w:sz w:val="20"/>
              </w:rPr>
              <w:t>of spam.</w:t>
            </w:r>
          </w:p>
        </w:tc>
        <w:tc>
          <w:tcPr>
            <w:tcW w:w="1477" w:type="dxa"/>
          </w:tcPr>
          <w:p>
            <w:pPr>
              <w:pStyle w:val="TableParagraph"/>
              <w:ind w:left="136" w:right="693"/>
              <w:rPr>
                <w:sz w:val="20"/>
              </w:rPr>
            </w:pPr>
            <w:r>
              <w:rPr>
                <w:sz w:val="20"/>
              </w:rPr>
              <w:t>PR.PT,</w:t>
            </w:r>
            <w:r>
              <w:rPr>
                <w:spacing w:val="1"/>
                <w:sz w:val="20"/>
              </w:rPr>
              <w:t> </w:t>
            </w:r>
            <w:r>
              <w:rPr>
                <w:sz w:val="20"/>
              </w:rPr>
              <w:t>DE.CM</w:t>
            </w:r>
          </w:p>
        </w:tc>
      </w:tr>
      <w:tr>
        <w:trPr>
          <w:trHeight w:val="1730" w:hRule="atLeast"/>
        </w:trPr>
        <w:tc>
          <w:tcPr>
            <w:tcW w:w="1514" w:type="dxa"/>
            <w:shd w:val="clear" w:color="auto" w:fill="E7EAF3"/>
          </w:tcPr>
          <w:p>
            <w:pPr>
              <w:pStyle w:val="TableParagraph"/>
              <w:ind w:right="153"/>
              <w:rPr>
                <w:b/>
                <w:sz w:val="20"/>
              </w:rPr>
            </w:pPr>
            <w:r>
              <w:rPr>
                <w:b/>
                <w:sz w:val="20"/>
              </w:rPr>
              <w:t>Authenticated</w:t>
            </w:r>
            <w:r>
              <w:rPr>
                <w:b/>
                <w:spacing w:val="-47"/>
                <w:sz w:val="20"/>
              </w:rPr>
              <w:t> </w:t>
            </w:r>
            <w:r>
              <w:rPr>
                <w:b/>
                <w:sz w:val="20"/>
              </w:rPr>
              <w:t>Received</w:t>
            </w:r>
            <w:r>
              <w:rPr>
                <w:b/>
                <w:spacing w:val="1"/>
                <w:sz w:val="20"/>
              </w:rPr>
              <w:t> </w:t>
            </w:r>
            <w:r>
              <w:rPr>
                <w:b/>
                <w:sz w:val="20"/>
              </w:rPr>
              <w:t>Chain</w:t>
            </w:r>
          </w:p>
        </w:tc>
        <w:tc>
          <w:tcPr>
            <w:tcW w:w="1882" w:type="dxa"/>
            <w:shd w:val="clear" w:color="auto" w:fill="E7EAF3"/>
          </w:tcPr>
          <w:p>
            <w:pPr>
              <w:pStyle w:val="TableParagraph"/>
              <w:ind w:left="152" w:right="95"/>
              <w:jc w:val="center"/>
              <w:rPr>
                <w:sz w:val="20"/>
              </w:rPr>
            </w:pPr>
            <w:r>
              <w:rPr>
                <w:sz w:val="20"/>
              </w:rPr>
              <w:t>3.PEP.EM.ARCHA</w:t>
            </w:r>
          </w:p>
        </w:tc>
        <w:tc>
          <w:tcPr>
            <w:tcW w:w="4500" w:type="dxa"/>
            <w:shd w:val="clear" w:color="auto" w:fill="E7EAF3"/>
          </w:tcPr>
          <w:p>
            <w:pPr>
              <w:pStyle w:val="TableParagraph"/>
              <w:ind w:left="113" w:right="162"/>
              <w:rPr>
                <w:sz w:val="20"/>
              </w:rPr>
            </w:pPr>
            <w:r>
              <w:rPr>
                <w:sz w:val="20"/>
              </w:rPr>
              <w:t>Authenticated received chain allows for an</w:t>
            </w:r>
            <w:r>
              <w:rPr>
                <w:spacing w:val="1"/>
                <w:sz w:val="20"/>
              </w:rPr>
              <w:t> </w:t>
            </w:r>
            <w:r>
              <w:rPr>
                <w:sz w:val="20"/>
              </w:rPr>
              <w:t>intermediary, like a mailing list or forwarding</w:t>
            </w:r>
            <w:r>
              <w:rPr>
                <w:spacing w:val="1"/>
                <w:sz w:val="20"/>
              </w:rPr>
              <w:t> </w:t>
            </w:r>
            <w:r>
              <w:rPr>
                <w:sz w:val="20"/>
              </w:rPr>
              <w:t>service, to sign its own authentication of the original</w:t>
            </w:r>
            <w:r>
              <w:rPr>
                <w:spacing w:val="-47"/>
                <w:sz w:val="20"/>
              </w:rPr>
              <w:t> </w:t>
            </w:r>
            <w:r>
              <w:rPr>
                <w:sz w:val="20"/>
              </w:rPr>
              <w:t>email, allowing downstream entities to accept the</w:t>
            </w:r>
            <w:r>
              <w:rPr>
                <w:spacing w:val="1"/>
                <w:sz w:val="20"/>
              </w:rPr>
              <w:t> </w:t>
            </w:r>
            <w:r>
              <w:rPr>
                <w:sz w:val="20"/>
              </w:rPr>
              <w:t>intermediary’s authentication even if the email was</w:t>
            </w:r>
            <w:r>
              <w:rPr>
                <w:spacing w:val="1"/>
                <w:sz w:val="20"/>
              </w:rPr>
              <w:t> </w:t>
            </w:r>
            <w:r>
              <w:rPr>
                <w:sz w:val="20"/>
              </w:rPr>
              <w:t>changed.</w:t>
            </w:r>
          </w:p>
        </w:tc>
        <w:tc>
          <w:tcPr>
            <w:tcW w:w="1477" w:type="dxa"/>
            <w:shd w:val="clear" w:color="auto" w:fill="E7EAF3"/>
          </w:tcPr>
          <w:p>
            <w:pPr>
              <w:pStyle w:val="TableParagraph"/>
              <w:ind w:left="136"/>
              <w:rPr>
                <w:sz w:val="20"/>
              </w:rPr>
            </w:pPr>
            <w:r>
              <w:rPr>
                <w:sz w:val="20"/>
              </w:rPr>
              <w:t>PR.AC</w:t>
            </w:r>
          </w:p>
        </w:tc>
      </w:tr>
      <w:tr>
        <w:trPr>
          <w:trHeight w:val="808" w:hRule="atLeast"/>
        </w:trPr>
        <w:tc>
          <w:tcPr>
            <w:tcW w:w="1514" w:type="dxa"/>
          </w:tcPr>
          <w:p>
            <w:pPr>
              <w:pStyle w:val="TableParagraph"/>
              <w:spacing w:before="114"/>
              <w:ind w:right="431"/>
              <w:rPr>
                <w:b/>
                <w:sz w:val="20"/>
              </w:rPr>
            </w:pPr>
            <w:r>
              <w:rPr>
                <w:b/>
                <w:sz w:val="20"/>
              </w:rPr>
              <w:t>Data Loss</w:t>
            </w:r>
            <w:r>
              <w:rPr>
                <w:b/>
                <w:spacing w:val="1"/>
                <w:sz w:val="20"/>
              </w:rPr>
              <w:t> </w:t>
            </w:r>
            <w:r>
              <w:rPr>
                <w:b/>
                <w:sz w:val="20"/>
              </w:rPr>
              <w:t>Prevention</w:t>
            </w:r>
          </w:p>
        </w:tc>
        <w:tc>
          <w:tcPr>
            <w:tcW w:w="1882" w:type="dxa"/>
          </w:tcPr>
          <w:p>
            <w:pPr>
              <w:pStyle w:val="TableParagraph"/>
              <w:spacing w:before="114"/>
              <w:ind w:left="88" w:right="95"/>
              <w:jc w:val="center"/>
              <w:rPr>
                <w:sz w:val="20"/>
              </w:rPr>
            </w:pPr>
            <w:r>
              <w:rPr>
                <w:sz w:val="20"/>
              </w:rPr>
              <w:t>3.PEP.EM.DLPRE</w:t>
            </w:r>
          </w:p>
        </w:tc>
        <w:tc>
          <w:tcPr>
            <w:tcW w:w="4500" w:type="dxa"/>
          </w:tcPr>
          <w:p>
            <w:pPr>
              <w:pStyle w:val="TableParagraph"/>
              <w:spacing w:before="114"/>
              <w:ind w:left="113" w:right="118"/>
              <w:rPr>
                <w:sz w:val="20"/>
              </w:rPr>
            </w:pPr>
            <w:r>
              <w:rPr>
                <w:sz w:val="20"/>
              </w:rPr>
              <w:t>DLP technologies detect instances of the exfiltration,</w:t>
            </w:r>
            <w:r>
              <w:rPr>
                <w:spacing w:val="-47"/>
                <w:sz w:val="20"/>
              </w:rPr>
              <w:t> </w:t>
            </w:r>
            <w:r>
              <w:rPr>
                <w:sz w:val="20"/>
              </w:rPr>
              <w:t>either</w:t>
            </w:r>
            <w:r>
              <w:rPr>
                <w:spacing w:val="-2"/>
                <w:sz w:val="20"/>
              </w:rPr>
              <w:t> </w:t>
            </w:r>
            <w:r>
              <w:rPr>
                <w:sz w:val="20"/>
              </w:rPr>
              <w:t>malicious</w:t>
            </w:r>
            <w:r>
              <w:rPr>
                <w:spacing w:val="-1"/>
                <w:sz w:val="20"/>
              </w:rPr>
              <w:t> </w:t>
            </w:r>
            <w:r>
              <w:rPr>
                <w:sz w:val="20"/>
              </w:rPr>
              <w:t>or</w:t>
            </w:r>
            <w:r>
              <w:rPr>
                <w:spacing w:val="-2"/>
                <w:sz w:val="20"/>
              </w:rPr>
              <w:t> </w:t>
            </w:r>
            <w:r>
              <w:rPr>
                <w:sz w:val="20"/>
              </w:rPr>
              <w:t>accidental,</w:t>
            </w:r>
            <w:r>
              <w:rPr>
                <w:spacing w:val="-2"/>
                <w:sz w:val="20"/>
              </w:rPr>
              <w:t> </w:t>
            </w:r>
            <w:r>
              <w:rPr>
                <w:sz w:val="20"/>
              </w:rPr>
              <w:t>of</w:t>
            </w:r>
            <w:r>
              <w:rPr>
                <w:spacing w:val="-2"/>
                <w:sz w:val="20"/>
              </w:rPr>
              <w:t> </w:t>
            </w:r>
            <w:r>
              <w:rPr>
                <w:sz w:val="20"/>
              </w:rPr>
              <w:t>agency</w:t>
            </w:r>
            <w:r>
              <w:rPr>
                <w:spacing w:val="-2"/>
                <w:sz w:val="20"/>
              </w:rPr>
              <w:t> </w:t>
            </w:r>
            <w:r>
              <w:rPr>
                <w:sz w:val="20"/>
              </w:rPr>
              <w:t>data.</w:t>
            </w:r>
          </w:p>
        </w:tc>
        <w:tc>
          <w:tcPr>
            <w:tcW w:w="1477" w:type="dxa"/>
          </w:tcPr>
          <w:p>
            <w:pPr>
              <w:pStyle w:val="TableParagraph"/>
              <w:spacing w:before="114"/>
              <w:ind w:left="136"/>
              <w:rPr>
                <w:sz w:val="20"/>
              </w:rPr>
            </w:pPr>
            <w:r>
              <w:rPr>
                <w:sz w:val="20"/>
              </w:rPr>
              <w:t>PR.DS</w:t>
            </w:r>
          </w:p>
        </w:tc>
      </w:tr>
      <w:tr>
        <w:trPr>
          <w:trHeight w:val="1730" w:hRule="atLeast"/>
        </w:trPr>
        <w:tc>
          <w:tcPr>
            <w:tcW w:w="1514" w:type="dxa"/>
            <w:tcBorders>
              <w:bottom w:val="single" w:sz="4" w:space="0" w:color="0057B5"/>
            </w:tcBorders>
            <w:shd w:val="clear" w:color="auto" w:fill="E7EAF3"/>
          </w:tcPr>
          <w:p>
            <w:pPr>
              <w:pStyle w:val="TableParagraph"/>
              <w:ind w:right="248"/>
              <w:rPr>
                <w:b/>
                <w:sz w:val="20"/>
              </w:rPr>
            </w:pPr>
            <w:r>
              <w:rPr>
                <w:b/>
                <w:sz w:val="20"/>
              </w:rPr>
              <w:t>Domain</w:t>
            </w:r>
            <w:r>
              <w:rPr>
                <w:b/>
                <w:spacing w:val="1"/>
                <w:sz w:val="20"/>
              </w:rPr>
              <w:t> </w:t>
            </w:r>
            <w:r>
              <w:rPr>
                <w:b/>
                <w:sz w:val="20"/>
              </w:rPr>
              <w:t>Signature</w:t>
            </w:r>
            <w:r>
              <w:rPr>
                <w:b/>
                <w:spacing w:val="1"/>
                <w:sz w:val="20"/>
              </w:rPr>
              <w:t> </w:t>
            </w:r>
            <w:r>
              <w:rPr>
                <w:b/>
                <w:sz w:val="20"/>
              </w:rPr>
              <w:t>Verification</w:t>
            </w:r>
            <w:r>
              <w:rPr>
                <w:b/>
                <w:spacing w:val="1"/>
                <w:sz w:val="20"/>
              </w:rPr>
              <w:t> </w:t>
            </w:r>
            <w:r>
              <w:rPr>
                <w:b/>
                <w:sz w:val="20"/>
              </w:rPr>
              <w:t>for Incoming</w:t>
            </w:r>
            <w:r>
              <w:rPr>
                <w:b/>
                <w:spacing w:val="-47"/>
                <w:sz w:val="20"/>
              </w:rPr>
              <w:t> </w:t>
            </w:r>
            <w:r>
              <w:rPr>
                <w:b/>
                <w:sz w:val="20"/>
              </w:rPr>
              <w:t>Email</w:t>
            </w:r>
          </w:p>
        </w:tc>
        <w:tc>
          <w:tcPr>
            <w:tcW w:w="1882" w:type="dxa"/>
            <w:tcBorders>
              <w:bottom w:val="single" w:sz="4" w:space="0" w:color="0057B5"/>
            </w:tcBorders>
            <w:shd w:val="clear" w:color="auto" w:fill="E7EAF3"/>
          </w:tcPr>
          <w:p>
            <w:pPr>
              <w:pStyle w:val="TableParagraph"/>
              <w:ind w:left="45" w:right="95"/>
              <w:jc w:val="center"/>
              <w:rPr>
                <w:sz w:val="20"/>
              </w:rPr>
            </w:pPr>
            <w:r>
              <w:rPr>
                <w:sz w:val="20"/>
              </w:rPr>
              <w:t>3.PEP.EM.DSVIE</w:t>
            </w:r>
          </w:p>
        </w:tc>
        <w:tc>
          <w:tcPr>
            <w:tcW w:w="4500" w:type="dxa"/>
            <w:tcBorders>
              <w:bottom w:val="single" w:sz="4" w:space="0" w:color="0057B5"/>
            </w:tcBorders>
            <w:shd w:val="clear" w:color="auto" w:fill="E7EAF3"/>
          </w:tcPr>
          <w:p>
            <w:pPr>
              <w:pStyle w:val="TableParagraph"/>
              <w:ind w:left="113" w:right="363"/>
              <w:rPr>
                <w:sz w:val="20"/>
              </w:rPr>
            </w:pPr>
            <w:r>
              <w:rPr>
                <w:sz w:val="20"/>
              </w:rPr>
              <w:t>Domain signature verification protections</w:t>
            </w:r>
            <w:r>
              <w:rPr>
                <w:spacing w:val="1"/>
                <w:sz w:val="20"/>
              </w:rPr>
              <w:t> </w:t>
            </w:r>
            <w:r>
              <w:rPr>
                <w:sz w:val="20"/>
              </w:rPr>
              <w:t>authenticate incoming email according to the</w:t>
            </w:r>
            <w:r>
              <w:rPr>
                <w:spacing w:val="1"/>
                <w:sz w:val="20"/>
              </w:rPr>
              <w:t> </w:t>
            </w:r>
            <w:r>
              <w:rPr>
                <w:sz w:val="20"/>
              </w:rPr>
              <w:t>Domain-based Message Authentication Reporting</w:t>
            </w:r>
            <w:r>
              <w:rPr>
                <w:spacing w:val="-47"/>
                <w:sz w:val="20"/>
              </w:rPr>
              <w:t> </w:t>
            </w:r>
            <w:r>
              <w:rPr>
                <w:sz w:val="20"/>
              </w:rPr>
              <w:t>and Conformance (DMARC) email authentication</w:t>
            </w:r>
            <w:r>
              <w:rPr>
                <w:spacing w:val="-48"/>
                <w:sz w:val="20"/>
              </w:rPr>
              <w:t> </w:t>
            </w:r>
            <w:r>
              <w:rPr>
                <w:sz w:val="20"/>
              </w:rPr>
              <w:t>protocol defined in Request for Comments (RFC)</w:t>
            </w:r>
            <w:r>
              <w:rPr>
                <w:spacing w:val="-47"/>
                <w:sz w:val="20"/>
              </w:rPr>
              <w:t> </w:t>
            </w:r>
            <w:r>
              <w:rPr>
                <w:sz w:val="20"/>
              </w:rPr>
              <w:t>7489</w:t>
            </w:r>
            <w:r>
              <w:rPr>
                <w:spacing w:val="-31"/>
                <w:sz w:val="20"/>
              </w:rPr>
              <w:t> </w:t>
            </w:r>
            <w:hyperlink w:history="true" w:anchor="_bookmark18">
              <w:r>
                <w:rPr>
                  <w:sz w:val="20"/>
                  <w:vertAlign w:val="superscript"/>
                </w:rPr>
                <w:t>5</w:t>
              </w:r>
            </w:hyperlink>
            <w:r>
              <w:rPr>
                <w:sz w:val="20"/>
                <w:vertAlign w:val="baseline"/>
              </w:rPr>
              <w:t>.</w:t>
            </w:r>
          </w:p>
        </w:tc>
        <w:tc>
          <w:tcPr>
            <w:tcW w:w="1477" w:type="dxa"/>
            <w:tcBorders>
              <w:bottom w:val="single" w:sz="4" w:space="0" w:color="0057B5"/>
            </w:tcBorders>
            <w:shd w:val="clear" w:color="auto" w:fill="E7EAF3"/>
          </w:tcPr>
          <w:p>
            <w:pPr>
              <w:pStyle w:val="TableParagraph"/>
              <w:ind w:left="136"/>
              <w:rPr>
                <w:sz w:val="20"/>
              </w:rPr>
            </w:pPr>
            <w:r>
              <w:rPr>
                <w:sz w:val="20"/>
              </w:rPr>
              <w:t>PR.PT,</w:t>
            </w:r>
            <w:r>
              <w:rPr>
                <w:spacing w:val="-2"/>
                <w:sz w:val="20"/>
              </w:rPr>
              <w:t> </w:t>
            </w:r>
            <w:r>
              <w:rPr>
                <w:sz w:val="20"/>
              </w:rPr>
              <w:t>PR.IP</w:t>
            </w:r>
          </w:p>
        </w:tc>
      </w:tr>
    </w:tbl>
    <w:p>
      <w:pPr>
        <w:pStyle w:val="BodyText"/>
        <w:spacing w:before="5"/>
        <w:rPr>
          <w:b/>
          <w:sz w:val="17"/>
        </w:rPr>
      </w:pPr>
      <w:r>
        <w:rPr/>
        <w:pict>
          <v:rect style="position:absolute;margin-left:72pt;margin-top:11.25pt;width:144pt;height:.54pt;mso-position-horizontal-relative:page;mso-position-vertical-relative:paragraph;z-index:-15724544;mso-wrap-distance-left:0;mso-wrap-distance-right:0" id="docshape22" filled="true" fillcolor="#000000" stroked="false">
            <v:fill type="solid"/>
            <w10:wrap type="topAndBottom"/>
          </v:rect>
        </w:pict>
      </w:r>
    </w:p>
    <w:p>
      <w:pPr>
        <w:spacing w:before="93"/>
        <w:ind w:left="120" w:right="704" w:hanging="1"/>
        <w:jc w:val="left"/>
        <w:rPr>
          <w:sz w:val="20"/>
        </w:rPr>
      </w:pPr>
      <w:bookmarkStart w:name="_bookmark18" w:id="33"/>
      <w:bookmarkEnd w:id="33"/>
      <w:r>
        <w:rPr/>
      </w:r>
      <w:r>
        <w:rPr>
          <w:sz w:val="20"/>
          <w:vertAlign w:val="superscript"/>
        </w:rPr>
        <w:t>5</w:t>
      </w:r>
      <w:r>
        <w:rPr>
          <w:sz w:val="20"/>
          <w:vertAlign w:val="baseline"/>
        </w:rPr>
        <w:t> “Domain-based Message Authentication, Reporting, and Conformance Request for Comments: 7489,” Internet</w:t>
      </w:r>
      <w:r>
        <w:rPr>
          <w:spacing w:val="-47"/>
          <w:sz w:val="20"/>
          <w:vertAlign w:val="baseline"/>
        </w:rPr>
        <w:t> </w:t>
      </w:r>
      <w:r>
        <w:rPr>
          <w:sz w:val="20"/>
          <w:vertAlign w:val="baseline"/>
        </w:rPr>
        <w:t>Engineering</w:t>
      </w:r>
      <w:r>
        <w:rPr>
          <w:spacing w:val="-2"/>
          <w:sz w:val="20"/>
          <w:vertAlign w:val="baseline"/>
        </w:rPr>
        <w:t> </w:t>
      </w:r>
      <w:r>
        <w:rPr>
          <w:sz w:val="20"/>
          <w:vertAlign w:val="baseline"/>
        </w:rPr>
        <w:t>Task</w:t>
      </w:r>
      <w:r>
        <w:rPr>
          <w:spacing w:val="1"/>
          <w:sz w:val="20"/>
          <w:vertAlign w:val="baseline"/>
        </w:rPr>
        <w:t> </w:t>
      </w:r>
      <w:r>
        <w:rPr>
          <w:sz w:val="20"/>
          <w:vertAlign w:val="baseline"/>
        </w:rPr>
        <w:t>Force</w:t>
      </w:r>
      <w:r>
        <w:rPr>
          <w:spacing w:val="-2"/>
          <w:sz w:val="20"/>
          <w:vertAlign w:val="baseline"/>
        </w:rPr>
        <w:t> </w:t>
      </w:r>
      <w:r>
        <w:rPr>
          <w:sz w:val="20"/>
          <w:vertAlign w:val="baseline"/>
        </w:rPr>
        <w:t>(2015).</w:t>
      </w:r>
      <w:r>
        <w:rPr>
          <w:spacing w:val="-1"/>
          <w:sz w:val="20"/>
          <w:vertAlign w:val="baseline"/>
        </w:rPr>
        <w:t> </w:t>
      </w:r>
      <w:r>
        <w:rPr>
          <w:sz w:val="20"/>
          <w:vertAlign w:val="baseline"/>
        </w:rPr>
        <w:t>https://tools.ietf.org/html/rfc7489.</w:t>
      </w:r>
    </w:p>
    <w:p>
      <w:pPr>
        <w:spacing w:after="0"/>
        <w:jc w:val="left"/>
        <w:rPr>
          <w:sz w:val="20"/>
        </w:rPr>
        <w:sectPr>
          <w:headerReference w:type="default" r:id="rId19"/>
          <w:footerReference w:type="default" r:id="rId20"/>
          <w:pgSz w:w="12240" w:h="15840"/>
          <w:pgMar w:header="730" w:footer="764" w:top="960" w:bottom="960" w:left="1320" w:right="1080"/>
          <w:pgNumType w:start="10"/>
        </w:sectPr>
      </w:pPr>
    </w:p>
    <w:p>
      <w:pPr>
        <w:pStyle w:val="BodyText"/>
        <w:rPr>
          <w:sz w:val="20"/>
        </w:rPr>
      </w:pPr>
    </w:p>
    <w:p>
      <w:pPr>
        <w:pStyle w:val="BodyText"/>
        <w:spacing w:before="7"/>
        <w:rPr>
          <w:sz w:val="20"/>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55"/>
        <w:gridCol w:w="1840"/>
        <w:gridCol w:w="4466"/>
        <w:gridCol w:w="1511"/>
      </w:tblGrid>
      <w:tr>
        <w:trPr>
          <w:trHeight w:val="856" w:hRule="atLeast"/>
        </w:trPr>
        <w:tc>
          <w:tcPr>
            <w:tcW w:w="1555" w:type="dxa"/>
            <w:tcBorders>
              <w:top w:val="single" w:sz="4" w:space="0" w:color="0057B5"/>
              <w:bottom w:val="single" w:sz="4" w:space="0" w:color="0057B5"/>
            </w:tcBorders>
          </w:tcPr>
          <w:p>
            <w:pPr>
              <w:pStyle w:val="TableParagraph"/>
              <w:spacing w:before="0"/>
              <w:ind w:left="0"/>
              <w:rPr>
                <w:sz w:val="21"/>
              </w:rPr>
            </w:pPr>
          </w:p>
          <w:p>
            <w:pPr>
              <w:pStyle w:val="TableParagraph"/>
              <w:spacing w:before="0"/>
              <w:rPr>
                <w:b/>
                <w:sz w:val="22"/>
              </w:rPr>
            </w:pPr>
            <w:r>
              <w:rPr>
                <w:b/>
                <w:sz w:val="22"/>
              </w:rPr>
              <w:t>Capability</w:t>
            </w:r>
          </w:p>
        </w:tc>
        <w:tc>
          <w:tcPr>
            <w:tcW w:w="1840" w:type="dxa"/>
            <w:tcBorders>
              <w:top w:val="single" w:sz="4" w:space="0" w:color="0057B5"/>
              <w:bottom w:val="single" w:sz="4" w:space="0" w:color="0057B5"/>
            </w:tcBorders>
          </w:tcPr>
          <w:p>
            <w:pPr>
              <w:pStyle w:val="TableParagraph"/>
              <w:ind w:left="131" w:right="698"/>
              <w:rPr>
                <w:b/>
                <w:sz w:val="22"/>
              </w:rPr>
            </w:pPr>
            <w:r>
              <w:rPr>
                <w:b/>
                <w:sz w:val="22"/>
              </w:rPr>
              <w:t>Capability</w:t>
            </w:r>
            <w:r>
              <w:rPr>
                <w:b/>
                <w:spacing w:val="-53"/>
                <w:sz w:val="22"/>
              </w:rPr>
              <w:t> </w:t>
            </w:r>
            <w:r>
              <w:rPr>
                <w:b/>
                <w:sz w:val="22"/>
              </w:rPr>
              <w:t>Identifier</w:t>
            </w:r>
          </w:p>
        </w:tc>
        <w:tc>
          <w:tcPr>
            <w:tcW w:w="4466" w:type="dxa"/>
            <w:tcBorders>
              <w:top w:val="single" w:sz="4" w:space="0" w:color="0057B5"/>
              <w:bottom w:val="single" w:sz="4" w:space="0" w:color="0057B5"/>
            </w:tcBorders>
          </w:tcPr>
          <w:p>
            <w:pPr>
              <w:pStyle w:val="TableParagraph"/>
              <w:spacing w:before="0"/>
              <w:ind w:left="0"/>
              <w:rPr>
                <w:sz w:val="21"/>
              </w:rPr>
            </w:pPr>
          </w:p>
          <w:p>
            <w:pPr>
              <w:pStyle w:val="TableParagraph"/>
              <w:spacing w:before="0"/>
              <w:ind w:left="115"/>
              <w:rPr>
                <w:b/>
                <w:sz w:val="22"/>
              </w:rPr>
            </w:pPr>
            <w:r>
              <w:rPr>
                <w:b/>
                <w:sz w:val="22"/>
              </w:rPr>
              <w:t>Description</w:t>
            </w:r>
          </w:p>
        </w:tc>
        <w:tc>
          <w:tcPr>
            <w:tcW w:w="1511" w:type="dxa"/>
            <w:tcBorders>
              <w:top w:val="single" w:sz="4" w:space="0" w:color="0057B5"/>
              <w:bottom w:val="single" w:sz="4" w:space="0" w:color="0057B5"/>
            </w:tcBorders>
          </w:tcPr>
          <w:p>
            <w:pPr>
              <w:pStyle w:val="TableParagraph"/>
              <w:spacing w:before="175"/>
              <w:ind w:left="171"/>
              <w:rPr>
                <w:b/>
                <w:sz w:val="22"/>
              </w:rPr>
            </w:pPr>
            <w:r>
              <w:rPr>
                <w:b/>
                <w:sz w:val="22"/>
              </w:rPr>
              <w:t>NIST</w:t>
            </w:r>
            <w:r>
              <w:rPr>
                <w:b/>
                <w:spacing w:val="-3"/>
                <w:sz w:val="22"/>
              </w:rPr>
              <w:t> </w:t>
            </w:r>
            <w:r>
              <w:rPr>
                <w:b/>
                <w:sz w:val="22"/>
              </w:rPr>
              <w:t>CSF</w:t>
            </w:r>
          </w:p>
          <w:p>
            <w:pPr>
              <w:pStyle w:val="TableParagraph"/>
              <w:spacing w:before="0"/>
              <w:ind w:left="171"/>
              <w:rPr>
                <w:b/>
                <w:sz w:val="22"/>
              </w:rPr>
            </w:pPr>
            <w:r>
              <w:rPr>
                <w:b/>
                <w:sz w:val="22"/>
              </w:rPr>
              <w:t>Mapping</w:t>
            </w:r>
          </w:p>
        </w:tc>
      </w:tr>
      <w:tr>
        <w:trPr>
          <w:trHeight w:val="1719" w:hRule="atLeast"/>
        </w:trPr>
        <w:tc>
          <w:tcPr>
            <w:tcW w:w="1555" w:type="dxa"/>
            <w:tcBorders>
              <w:top w:val="single" w:sz="4" w:space="0" w:color="0057B5"/>
            </w:tcBorders>
          </w:tcPr>
          <w:p>
            <w:pPr>
              <w:pStyle w:val="TableParagraph"/>
              <w:spacing w:before="104"/>
              <w:ind w:right="189"/>
              <w:rPr>
                <w:b/>
                <w:sz w:val="20"/>
              </w:rPr>
            </w:pPr>
            <w:r>
              <w:rPr>
                <w:b/>
                <w:sz w:val="20"/>
              </w:rPr>
              <w:t>Domain</w:t>
            </w:r>
            <w:r>
              <w:rPr>
                <w:b/>
                <w:spacing w:val="1"/>
                <w:sz w:val="20"/>
              </w:rPr>
              <w:t> </w:t>
            </w:r>
            <w:r>
              <w:rPr>
                <w:b/>
                <w:sz w:val="20"/>
              </w:rPr>
              <w:t>Signatures for</w:t>
            </w:r>
            <w:r>
              <w:rPr>
                <w:b/>
                <w:spacing w:val="-47"/>
                <w:sz w:val="20"/>
              </w:rPr>
              <w:t> </w:t>
            </w:r>
            <w:r>
              <w:rPr>
                <w:b/>
                <w:sz w:val="20"/>
              </w:rPr>
              <w:t>Outgoing</w:t>
            </w:r>
            <w:r>
              <w:rPr>
                <w:b/>
                <w:spacing w:val="1"/>
                <w:sz w:val="20"/>
              </w:rPr>
              <w:t> </w:t>
            </w:r>
            <w:r>
              <w:rPr>
                <w:b/>
                <w:sz w:val="20"/>
              </w:rPr>
              <w:t>Email</w:t>
            </w:r>
          </w:p>
        </w:tc>
        <w:tc>
          <w:tcPr>
            <w:tcW w:w="1840" w:type="dxa"/>
            <w:tcBorders>
              <w:top w:val="single" w:sz="4" w:space="0" w:color="0057B5"/>
            </w:tcBorders>
          </w:tcPr>
          <w:p>
            <w:pPr>
              <w:pStyle w:val="TableParagraph"/>
              <w:spacing w:before="104"/>
              <w:ind w:left="110" w:right="93"/>
              <w:jc w:val="center"/>
              <w:rPr>
                <w:sz w:val="20"/>
              </w:rPr>
            </w:pPr>
            <w:r>
              <w:rPr>
                <w:sz w:val="20"/>
              </w:rPr>
              <w:t>3.PEP.EM.DSOEM</w:t>
            </w:r>
          </w:p>
        </w:tc>
        <w:tc>
          <w:tcPr>
            <w:tcW w:w="4466" w:type="dxa"/>
            <w:tcBorders>
              <w:top w:val="single" w:sz="4" w:space="0" w:color="0057B5"/>
            </w:tcBorders>
          </w:tcPr>
          <w:p>
            <w:pPr>
              <w:pStyle w:val="TableParagraph"/>
              <w:spacing w:before="104"/>
              <w:ind w:left="115" w:right="542"/>
              <w:rPr>
                <w:sz w:val="20"/>
              </w:rPr>
            </w:pPr>
            <w:r>
              <w:rPr>
                <w:sz w:val="20"/>
              </w:rPr>
              <w:t>Domain signature protections facilitate the</w:t>
            </w:r>
            <w:r>
              <w:rPr>
                <w:spacing w:val="1"/>
                <w:sz w:val="20"/>
              </w:rPr>
              <w:t> </w:t>
            </w:r>
            <w:r>
              <w:rPr>
                <w:sz w:val="20"/>
              </w:rPr>
              <w:t>authentication of outgoing email by signing the</w:t>
            </w:r>
            <w:r>
              <w:rPr>
                <w:spacing w:val="-47"/>
                <w:sz w:val="20"/>
              </w:rPr>
              <w:t> </w:t>
            </w:r>
            <w:r>
              <w:rPr>
                <w:sz w:val="20"/>
              </w:rPr>
              <w:t>emails and ensuring that external parties may</w:t>
            </w:r>
            <w:r>
              <w:rPr>
                <w:spacing w:val="1"/>
                <w:sz w:val="20"/>
              </w:rPr>
              <w:t> </w:t>
            </w:r>
            <w:r>
              <w:rPr>
                <w:sz w:val="20"/>
              </w:rPr>
              <w:t>validate the email signatures according to the</w:t>
            </w:r>
            <w:r>
              <w:rPr>
                <w:spacing w:val="1"/>
                <w:sz w:val="20"/>
              </w:rPr>
              <w:t> </w:t>
            </w:r>
            <w:r>
              <w:rPr>
                <w:sz w:val="20"/>
              </w:rPr>
              <w:t>DMARC email authentication protocol that is</w:t>
            </w:r>
            <w:r>
              <w:rPr>
                <w:spacing w:val="1"/>
                <w:sz w:val="20"/>
              </w:rPr>
              <w:t> </w:t>
            </w:r>
            <w:r>
              <w:rPr>
                <w:sz w:val="20"/>
              </w:rPr>
              <w:t>defined</w:t>
            </w:r>
            <w:r>
              <w:rPr>
                <w:spacing w:val="-2"/>
                <w:sz w:val="20"/>
              </w:rPr>
              <w:t> </w:t>
            </w:r>
            <w:r>
              <w:rPr>
                <w:sz w:val="20"/>
              </w:rPr>
              <w:t>in</w:t>
            </w:r>
            <w:r>
              <w:rPr>
                <w:spacing w:val="1"/>
                <w:sz w:val="20"/>
              </w:rPr>
              <w:t> </w:t>
            </w:r>
            <w:r>
              <w:rPr>
                <w:sz w:val="20"/>
              </w:rPr>
              <w:t>RFC</w:t>
            </w:r>
            <w:r>
              <w:rPr>
                <w:spacing w:val="-1"/>
                <w:sz w:val="20"/>
              </w:rPr>
              <w:t> </w:t>
            </w:r>
            <w:r>
              <w:rPr>
                <w:sz w:val="20"/>
              </w:rPr>
              <w:t>7489.</w:t>
            </w:r>
          </w:p>
        </w:tc>
        <w:tc>
          <w:tcPr>
            <w:tcW w:w="1511" w:type="dxa"/>
            <w:tcBorders>
              <w:top w:val="single" w:sz="4" w:space="0" w:color="0057B5"/>
            </w:tcBorders>
          </w:tcPr>
          <w:p>
            <w:pPr>
              <w:pStyle w:val="TableParagraph"/>
              <w:spacing w:before="104"/>
              <w:ind w:left="77" w:right="141"/>
              <w:jc w:val="center"/>
              <w:rPr>
                <w:sz w:val="20"/>
              </w:rPr>
            </w:pPr>
            <w:r>
              <w:rPr>
                <w:sz w:val="20"/>
              </w:rPr>
              <w:t>PR.PT,</w:t>
            </w:r>
            <w:r>
              <w:rPr>
                <w:spacing w:val="-2"/>
                <w:sz w:val="20"/>
              </w:rPr>
              <w:t> </w:t>
            </w:r>
            <w:r>
              <w:rPr>
                <w:sz w:val="20"/>
              </w:rPr>
              <w:t>PR.IP</w:t>
            </w:r>
          </w:p>
        </w:tc>
      </w:tr>
      <w:tr>
        <w:trPr>
          <w:trHeight w:val="1040" w:hRule="atLeast"/>
        </w:trPr>
        <w:tc>
          <w:tcPr>
            <w:tcW w:w="1555" w:type="dxa"/>
            <w:shd w:val="clear" w:color="auto" w:fill="E7EAF3"/>
          </w:tcPr>
          <w:p>
            <w:pPr>
              <w:pStyle w:val="TableParagraph"/>
              <w:ind w:right="133"/>
              <w:rPr>
                <w:b/>
                <w:sz w:val="20"/>
              </w:rPr>
            </w:pPr>
            <w:r>
              <w:rPr>
                <w:b/>
                <w:sz w:val="20"/>
              </w:rPr>
              <w:t>Encryption for</w:t>
            </w:r>
            <w:r>
              <w:rPr>
                <w:b/>
                <w:spacing w:val="-48"/>
                <w:sz w:val="20"/>
              </w:rPr>
              <w:t> </w:t>
            </w:r>
            <w:r>
              <w:rPr>
                <w:b/>
                <w:sz w:val="20"/>
              </w:rPr>
              <w:t>Email</w:t>
            </w:r>
            <w:r>
              <w:rPr>
                <w:b/>
                <w:spacing w:val="1"/>
                <w:sz w:val="20"/>
              </w:rPr>
              <w:t> </w:t>
            </w:r>
            <w:r>
              <w:rPr>
                <w:b/>
                <w:sz w:val="20"/>
              </w:rPr>
              <w:t>Transmission</w:t>
            </w:r>
          </w:p>
        </w:tc>
        <w:tc>
          <w:tcPr>
            <w:tcW w:w="1840" w:type="dxa"/>
            <w:shd w:val="clear" w:color="auto" w:fill="E7EAF3"/>
          </w:tcPr>
          <w:p>
            <w:pPr>
              <w:pStyle w:val="TableParagraph"/>
              <w:ind w:left="58" w:right="94"/>
              <w:jc w:val="center"/>
              <w:rPr>
                <w:sz w:val="20"/>
              </w:rPr>
            </w:pPr>
            <w:r>
              <w:rPr>
                <w:sz w:val="20"/>
              </w:rPr>
              <w:t>3.PEP.EM.EETRA</w:t>
            </w:r>
          </w:p>
        </w:tc>
        <w:tc>
          <w:tcPr>
            <w:tcW w:w="4466" w:type="dxa"/>
            <w:shd w:val="clear" w:color="auto" w:fill="E7EAF3"/>
          </w:tcPr>
          <w:p>
            <w:pPr>
              <w:pStyle w:val="TableParagraph"/>
              <w:ind w:left="115" w:right="431"/>
              <w:rPr>
                <w:sz w:val="20"/>
              </w:rPr>
            </w:pPr>
            <w:r>
              <w:rPr>
                <w:sz w:val="20"/>
              </w:rPr>
              <w:t>Email services are configured to use encrypted</w:t>
            </w:r>
            <w:r>
              <w:rPr>
                <w:spacing w:val="1"/>
                <w:sz w:val="20"/>
              </w:rPr>
              <w:t> </w:t>
            </w:r>
            <w:r>
              <w:rPr>
                <w:sz w:val="20"/>
              </w:rPr>
              <w:t>connections, when possible, for communications</w:t>
            </w:r>
            <w:r>
              <w:rPr>
                <w:spacing w:val="-47"/>
                <w:sz w:val="20"/>
              </w:rPr>
              <w:t> </w:t>
            </w:r>
            <w:r>
              <w:rPr>
                <w:sz w:val="20"/>
              </w:rPr>
              <w:t>between clients</w:t>
            </w:r>
            <w:r>
              <w:rPr>
                <w:spacing w:val="-1"/>
                <w:sz w:val="20"/>
              </w:rPr>
              <w:t> </w:t>
            </w:r>
            <w:r>
              <w:rPr>
                <w:sz w:val="20"/>
              </w:rPr>
              <w:t>and</w:t>
            </w:r>
            <w:r>
              <w:rPr>
                <w:spacing w:val="-2"/>
                <w:sz w:val="20"/>
              </w:rPr>
              <w:t> </w:t>
            </w:r>
            <w:r>
              <w:rPr>
                <w:sz w:val="20"/>
              </w:rPr>
              <w:t>other</w:t>
            </w:r>
            <w:r>
              <w:rPr>
                <w:spacing w:val="-1"/>
                <w:sz w:val="20"/>
              </w:rPr>
              <w:t> </w:t>
            </w:r>
            <w:r>
              <w:rPr>
                <w:sz w:val="20"/>
              </w:rPr>
              <w:t>email</w:t>
            </w:r>
            <w:r>
              <w:rPr>
                <w:spacing w:val="-2"/>
                <w:sz w:val="20"/>
              </w:rPr>
              <w:t> </w:t>
            </w:r>
            <w:r>
              <w:rPr>
                <w:sz w:val="20"/>
              </w:rPr>
              <w:t>servers.</w:t>
            </w:r>
          </w:p>
        </w:tc>
        <w:tc>
          <w:tcPr>
            <w:tcW w:w="1511" w:type="dxa"/>
            <w:shd w:val="clear" w:color="auto" w:fill="E7EAF3"/>
          </w:tcPr>
          <w:p>
            <w:pPr>
              <w:pStyle w:val="TableParagraph"/>
              <w:ind w:left="152" w:right="141"/>
              <w:jc w:val="center"/>
              <w:rPr>
                <w:sz w:val="20"/>
              </w:rPr>
            </w:pPr>
            <w:r>
              <w:rPr>
                <w:sz w:val="20"/>
              </w:rPr>
              <w:t>PR.PT,</w:t>
            </w:r>
            <w:r>
              <w:rPr>
                <w:spacing w:val="-2"/>
                <w:sz w:val="20"/>
              </w:rPr>
              <w:t> </w:t>
            </w:r>
            <w:r>
              <w:rPr>
                <w:sz w:val="20"/>
              </w:rPr>
              <w:t>PR.DS</w:t>
            </w:r>
          </w:p>
        </w:tc>
      </w:tr>
      <w:tr>
        <w:trPr>
          <w:trHeight w:val="810" w:hRule="atLeast"/>
        </w:trPr>
        <w:tc>
          <w:tcPr>
            <w:tcW w:w="1555" w:type="dxa"/>
          </w:tcPr>
          <w:p>
            <w:pPr>
              <w:pStyle w:val="TableParagraph"/>
              <w:spacing w:before="114"/>
              <w:ind w:right="111"/>
              <w:rPr>
                <w:b/>
                <w:sz w:val="20"/>
              </w:rPr>
            </w:pPr>
            <w:r>
              <w:rPr>
                <w:b/>
                <w:sz w:val="20"/>
              </w:rPr>
              <w:t>Malicious Link</w:t>
            </w:r>
            <w:r>
              <w:rPr>
                <w:b/>
                <w:spacing w:val="-47"/>
                <w:sz w:val="20"/>
              </w:rPr>
              <w:t> </w:t>
            </w:r>
            <w:r>
              <w:rPr>
                <w:b/>
                <w:sz w:val="20"/>
              </w:rPr>
              <w:t>Protections</w:t>
            </w:r>
          </w:p>
        </w:tc>
        <w:tc>
          <w:tcPr>
            <w:tcW w:w="1840" w:type="dxa"/>
          </w:tcPr>
          <w:p>
            <w:pPr>
              <w:pStyle w:val="TableParagraph"/>
              <w:ind w:left="99" w:right="94"/>
              <w:jc w:val="center"/>
              <w:rPr>
                <w:sz w:val="20"/>
              </w:rPr>
            </w:pPr>
            <w:r>
              <w:rPr>
                <w:sz w:val="20"/>
              </w:rPr>
              <w:t>3.PEP.EM.MLPRO</w:t>
            </w:r>
          </w:p>
        </w:tc>
        <w:tc>
          <w:tcPr>
            <w:tcW w:w="4466" w:type="dxa"/>
          </w:tcPr>
          <w:p>
            <w:pPr>
              <w:pStyle w:val="TableParagraph"/>
              <w:spacing w:before="114"/>
              <w:ind w:left="115" w:right="231"/>
              <w:rPr>
                <w:sz w:val="20"/>
              </w:rPr>
            </w:pPr>
            <w:r>
              <w:rPr>
                <w:sz w:val="20"/>
              </w:rPr>
              <w:t>Malicious link protections detect malicious links in</w:t>
            </w:r>
            <w:r>
              <w:rPr>
                <w:spacing w:val="-48"/>
                <w:sz w:val="20"/>
              </w:rPr>
              <w:t> </w:t>
            </w:r>
            <w:r>
              <w:rPr>
                <w:sz w:val="20"/>
              </w:rPr>
              <w:t>emails</w:t>
            </w:r>
            <w:r>
              <w:rPr>
                <w:spacing w:val="-2"/>
                <w:sz w:val="20"/>
              </w:rPr>
              <w:t> </w:t>
            </w:r>
            <w:r>
              <w:rPr>
                <w:sz w:val="20"/>
              </w:rPr>
              <w:t>and</w:t>
            </w:r>
            <w:r>
              <w:rPr>
                <w:spacing w:val="-2"/>
                <w:sz w:val="20"/>
              </w:rPr>
              <w:t> </w:t>
            </w:r>
            <w:r>
              <w:rPr>
                <w:sz w:val="20"/>
              </w:rPr>
              <w:t>prevent</w:t>
            </w:r>
            <w:r>
              <w:rPr>
                <w:spacing w:val="-3"/>
                <w:sz w:val="20"/>
              </w:rPr>
              <w:t> </w:t>
            </w:r>
            <w:r>
              <w:rPr>
                <w:sz w:val="20"/>
              </w:rPr>
              <w:t>users</w:t>
            </w:r>
            <w:r>
              <w:rPr>
                <w:spacing w:val="-2"/>
                <w:sz w:val="20"/>
              </w:rPr>
              <w:t> </w:t>
            </w:r>
            <w:r>
              <w:rPr>
                <w:sz w:val="20"/>
              </w:rPr>
              <w:t>from</w:t>
            </w:r>
            <w:r>
              <w:rPr>
                <w:spacing w:val="-1"/>
                <w:sz w:val="20"/>
              </w:rPr>
              <w:t> </w:t>
            </w:r>
            <w:r>
              <w:rPr>
                <w:sz w:val="20"/>
              </w:rPr>
              <w:t>accessing them.</w:t>
            </w:r>
          </w:p>
        </w:tc>
        <w:tc>
          <w:tcPr>
            <w:tcW w:w="1511" w:type="dxa"/>
          </w:tcPr>
          <w:p>
            <w:pPr>
              <w:pStyle w:val="TableParagraph"/>
              <w:spacing w:before="114"/>
              <w:ind w:left="171" w:right="692"/>
              <w:rPr>
                <w:sz w:val="20"/>
              </w:rPr>
            </w:pPr>
            <w:r>
              <w:rPr>
                <w:sz w:val="20"/>
              </w:rPr>
              <w:t>PR.PT,</w:t>
            </w:r>
            <w:r>
              <w:rPr>
                <w:spacing w:val="1"/>
                <w:sz w:val="20"/>
              </w:rPr>
              <w:t> </w:t>
            </w:r>
            <w:r>
              <w:rPr>
                <w:sz w:val="20"/>
              </w:rPr>
              <w:t>DE.CM</w:t>
            </w:r>
          </w:p>
        </w:tc>
      </w:tr>
      <w:tr>
        <w:trPr>
          <w:trHeight w:val="1269" w:hRule="atLeast"/>
        </w:trPr>
        <w:tc>
          <w:tcPr>
            <w:tcW w:w="1555" w:type="dxa"/>
            <w:shd w:val="clear" w:color="auto" w:fill="E7EAF3"/>
          </w:tcPr>
          <w:p>
            <w:pPr>
              <w:pStyle w:val="TableParagraph"/>
              <w:spacing w:before="114"/>
              <w:ind w:right="422"/>
              <w:rPr>
                <w:b/>
                <w:sz w:val="20"/>
              </w:rPr>
            </w:pPr>
            <w:r>
              <w:rPr>
                <w:b/>
                <w:sz w:val="20"/>
              </w:rPr>
              <w:t>Link Click-</w:t>
            </w:r>
            <w:r>
              <w:rPr>
                <w:b/>
                <w:spacing w:val="-47"/>
                <w:sz w:val="20"/>
              </w:rPr>
              <w:t> </w:t>
            </w:r>
            <w:r>
              <w:rPr>
                <w:b/>
                <w:sz w:val="20"/>
              </w:rPr>
              <w:t>through</w:t>
            </w:r>
            <w:r>
              <w:rPr>
                <w:b/>
                <w:spacing w:val="1"/>
                <w:sz w:val="20"/>
              </w:rPr>
              <w:t> </w:t>
            </w:r>
            <w:r>
              <w:rPr>
                <w:b/>
                <w:sz w:val="20"/>
              </w:rPr>
              <w:t>Protection</w:t>
            </w:r>
          </w:p>
        </w:tc>
        <w:tc>
          <w:tcPr>
            <w:tcW w:w="1840" w:type="dxa"/>
            <w:shd w:val="clear" w:color="auto" w:fill="E7EAF3"/>
          </w:tcPr>
          <w:p>
            <w:pPr>
              <w:pStyle w:val="TableParagraph"/>
              <w:ind w:left="36" w:right="94"/>
              <w:jc w:val="center"/>
              <w:rPr>
                <w:sz w:val="20"/>
              </w:rPr>
            </w:pPr>
            <w:r>
              <w:rPr>
                <w:sz w:val="20"/>
              </w:rPr>
              <w:t>3.PEP.EM.LCTPR</w:t>
            </w:r>
          </w:p>
        </w:tc>
        <w:tc>
          <w:tcPr>
            <w:tcW w:w="4466" w:type="dxa"/>
            <w:shd w:val="clear" w:color="auto" w:fill="E7EAF3"/>
          </w:tcPr>
          <w:p>
            <w:pPr>
              <w:pStyle w:val="TableParagraph"/>
              <w:spacing w:before="114"/>
              <w:ind w:left="115" w:right="288"/>
              <w:rPr>
                <w:sz w:val="20"/>
              </w:rPr>
            </w:pPr>
            <w:r>
              <w:rPr>
                <w:sz w:val="20"/>
              </w:rPr>
              <w:t>Link click-through protections ensure that when a</w:t>
            </w:r>
            <w:r>
              <w:rPr>
                <w:spacing w:val="1"/>
                <w:sz w:val="20"/>
              </w:rPr>
              <w:t> </w:t>
            </w:r>
            <w:r>
              <w:rPr>
                <w:sz w:val="20"/>
              </w:rPr>
              <w:t>link from an email is clicked, the requester is</w:t>
            </w:r>
            <w:r>
              <w:rPr>
                <w:spacing w:val="1"/>
                <w:sz w:val="20"/>
              </w:rPr>
              <w:t> </w:t>
            </w:r>
            <w:r>
              <w:rPr>
                <w:sz w:val="20"/>
              </w:rPr>
              <w:t>directed to a protection that verifies the security of</w:t>
            </w:r>
            <w:r>
              <w:rPr>
                <w:spacing w:val="-48"/>
                <w:sz w:val="20"/>
              </w:rPr>
              <w:t> </w:t>
            </w:r>
            <w:r>
              <w:rPr>
                <w:sz w:val="20"/>
              </w:rPr>
              <w:t>the</w:t>
            </w:r>
            <w:r>
              <w:rPr>
                <w:spacing w:val="-2"/>
                <w:sz w:val="20"/>
              </w:rPr>
              <w:t> </w:t>
            </w:r>
            <w:r>
              <w:rPr>
                <w:sz w:val="20"/>
              </w:rPr>
              <w:t>link</w:t>
            </w:r>
            <w:r>
              <w:rPr>
                <w:spacing w:val="-2"/>
                <w:sz w:val="20"/>
              </w:rPr>
              <w:t> </w:t>
            </w:r>
            <w:r>
              <w:rPr>
                <w:sz w:val="20"/>
              </w:rPr>
              <w:t>destination</w:t>
            </w:r>
            <w:r>
              <w:rPr>
                <w:spacing w:val="-2"/>
                <w:sz w:val="20"/>
              </w:rPr>
              <w:t> </w:t>
            </w:r>
            <w:r>
              <w:rPr>
                <w:sz w:val="20"/>
              </w:rPr>
              <w:t>before</w:t>
            </w:r>
            <w:r>
              <w:rPr>
                <w:spacing w:val="-3"/>
                <w:sz w:val="20"/>
              </w:rPr>
              <w:t> </w:t>
            </w:r>
            <w:r>
              <w:rPr>
                <w:sz w:val="20"/>
              </w:rPr>
              <w:t>permitting access.</w:t>
            </w:r>
          </w:p>
        </w:tc>
        <w:tc>
          <w:tcPr>
            <w:tcW w:w="1511" w:type="dxa"/>
            <w:shd w:val="clear" w:color="auto" w:fill="E7EAF3"/>
          </w:tcPr>
          <w:p>
            <w:pPr>
              <w:pStyle w:val="TableParagraph"/>
              <w:spacing w:before="114"/>
              <w:ind w:left="171" w:right="692"/>
              <w:rPr>
                <w:sz w:val="20"/>
              </w:rPr>
            </w:pPr>
            <w:r>
              <w:rPr>
                <w:sz w:val="20"/>
              </w:rPr>
              <w:t>PR.PT,</w:t>
            </w:r>
            <w:r>
              <w:rPr>
                <w:spacing w:val="1"/>
                <w:sz w:val="20"/>
              </w:rPr>
              <w:t> </w:t>
            </w:r>
            <w:r>
              <w:rPr>
                <w:sz w:val="20"/>
              </w:rPr>
              <w:t>DE.CM</w:t>
            </w:r>
          </w:p>
        </w:tc>
      </w:tr>
      <w:tr>
        <w:trPr>
          <w:trHeight w:val="1270" w:hRule="atLeast"/>
        </w:trPr>
        <w:tc>
          <w:tcPr>
            <w:tcW w:w="1555" w:type="dxa"/>
            <w:tcBorders>
              <w:bottom w:val="single" w:sz="4" w:space="0" w:color="0057B5"/>
            </w:tcBorders>
          </w:tcPr>
          <w:p>
            <w:pPr>
              <w:pStyle w:val="TableParagraph"/>
              <w:spacing w:line="230" w:lineRule="exact"/>
              <w:rPr>
                <w:b/>
                <w:sz w:val="20"/>
              </w:rPr>
            </w:pPr>
            <w:r>
              <w:rPr>
                <w:b/>
                <w:sz w:val="20"/>
              </w:rPr>
              <w:t>EINSTEIN</w:t>
            </w:r>
            <w:r>
              <w:rPr>
                <w:b/>
                <w:spacing w:val="-2"/>
                <w:sz w:val="20"/>
              </w:rPr>
              <w:t> </w:t>
            </w:r>
            <w:r>
              <w:rPr>
                <w:b/>
                <w:sz w:val="20"/>
              </w:rPr>
              <w:t>3</w:t>
            </w:r>
          </w:p>
          <w:p>
            <w:pPr>
              <w:pStyle w:val="TableParagraph"/>
              <w:spacing w:before="0"/>
              <w:ind w:right="395"/>
              <w:rPr>
                <w:b/>
                <w:sz w:val="20"/>
              </w:rPr>
            </w:pPr>
            <w:r>
              <w:rPr>
                <w:b/>
                <w:sz w:val="20"/>
              </w:rPr>
              <w:t>Accelerated</w:t>
            </w:r>
            <w:r>
              <w:rPr>
                <w:b/>
                <w:spacing w:val="-47"/>
                <w:sz w:val="20"/>
              </w:rPr>
              <w:t> </w:t>
            </w:r>
            <w:r>
              <w:rPr>
                <w:b/>
                <w:sz w:val="20"/>
              </w:rPr>
              <w:t>Email</w:t>
            </w:r>
            <w:r>
              <w:rPr>
                <w:b/>
                <w:spacing w:val="1"/>
                <w:sz w:val="20"/>
              </w:rPr>
              <w:t> </w:t>
            </w:r>
            <w:r>
              <w:rPr>
                <w:b/>
                <w:sz w:val="20"/>
              </w:rPr>
              <w:t>Protections</w:t>
            </w:r>
          </w:p>
        </w:tc>
        <w:tc>
          <w:tcPr>
            <w:tcW w:w="1840" w:type="dxa"/>
            <w:tcBorders>
              <w:bottom w:val="single" w:sz="4" w:space="0" w:color="0057B5"/>
            </w:tcBorders>
          </w:tcPr>
          <w:p>
            <w:pPr>
              <w:pStyle w:val="TableParagraph"/>
              <w:ind w:left="15" w:right="94"/>
              <w:jc w:val="center"/>
              <w:rPr>
                <w:sz w:val="20"/>
              </w:rPr>
            </w:pPr>
            <w:r>
              <w:rPr>
                <w:sz w:val="20"/>
              </w:rPr>
              <w:t>3.PEP.EM.E3AEP</w:t>
            </w:r>
          </w:p>
        </w:tc>
        <w:tc>
          <w:tcPr>
            <w:tcW w:w="4466" w:type="dxa"/>
            <w:tcBorders>
              <w:bottom w:val="single" w:sz="4" w:space="0" w:color="0057B5"/>
            </w:tcBorders>
          </w:tcPr>
          <w:p>
            <w:pPr>
              <w:pStyle w:val="TableParagraph"/>
              <w:ind w:left="115" w:right="148"/>
              <w:rPr>
                <w:sz w:val="20"/>
              </w:rPr>
            </w:pPr>
            <w:r>
              <w:rPr>
                <w:spacing w:val="-1"/>
                <w:sz w:val="20"/>
              </w:rPr>
              <w:t>EINSTEIN 3 Accelerated </w:t>
            </w:r>
            <w:r>
              <w:rPr>
                <w:sz w:val="20"/>
              </w:rPr>
              <w:t>(E</w:t>
            </w:r>
            <w:r>
              <w:rPr>
                <w:sz w:val="20"/>
                <w:vertAlign w:val="superscript"/>
              </w:rPr>
              <w:t>3</w:t>
            </w:r>
            <w:r>
              <w:rPr>
                <w:sz w:val="20"/>
                <w:vertAlign w:val="baseline"/>
              </w:rPr>
              <w:t>A) </w:t>
            </w:r>
            <w:hyperlink w:history="true" w:anchor="_bookmark20">
              <w:r>
                <w:rPr>
                  <w:sz w:val="20"/>
                  <w:vertAlign w:val="superscript"/>
                </w:rPr>
                <w:t>6</w:t>
              </w:r>
              <w:r>
                <w:rPr>
                  <w:sz w:val="20"/>
                  <w:vertAlign w:val="baseline"/>
                </w:rPr>
                <w:t> </w:t>
              </w:r>
            </w:hyperlink>
            <w:r>
              <w:rPr>
                <w:sz w:val="20"/>
                <w:vertAlign w:val="baseline"/>
              </w:rPr>
              <w:t>is an intrusion</w:t>
            </w:r>
            <w:r>
              <w:rPr>
                <w:spacing w:val="1"/>
                <w:sz w:val="20"/>
                <w:vertAlign w:val="baseline"/>
              </w:rPr>
              <w:t> </w:t>
            </w:r>
            <w:r>
              <w:rPr>
                <w:sz w:val="20"/>
                <w:vertAlign w:val="baseline"/>
              </w:rPr>
              <w:t>prevention capability offered by NCPS, provided by</w:t>
            </w:r>
            <w:r>
              <w:rPr>
                <w:spacing w:val="-48"/>
                <w:sz w:val="20"/>
                <w:vertAlign w:val="baseline"/>
              </w:rPr>
              <w:t> </w:t>
            </w:r>
            <w:r>
              <w:rPr>
                <w:sz w:val="20"/>
                <w:vertAlign w:val="baseline"/>
              </w:rPr>
              <w:t>CISA, that includes an email filtering security</w:t>
            </w:r>
            <w:r>
              <w:rPr>
                <w:spacing w:val="1"/>
                <w:sz w:val="20"/>
                <w:vertAlign w:val="baseline"/>
              </w:rPr>
              <w:t> </w:t>
            </w:r>
            <w:r>
              <w:rPr>
                <w:sz w:val="20"/>
                <w:vertAlign w:val="baseline"/>
              </w:rPr>
              <w:t>service.</w:t>
            </w:r>
          </w:p>
        </w:tc>
        <w:tc>
          <w:tcPr>
            <w:tcW w:w="1511" w:type="dxa"/>
            <w:tcBorders>
              <w:bottom w:val="single" w:sz="4" w:space="0" w:color="0057B5"/>
            </w:tcBorders>
          </w:tcPr>
          <w:p>
            <w:pPr>
              <w:pStyle w:val="TableParagraph"/>
              <w:ind w:left="171" w:right="692"/>
              <w:rPr>
                <w:sz w:val="20"/>
              </w:rPr>
            </w:pPr>
            <w:r>
              <w:rPr>
                <w:sz w:val="20"/>
              </w:rPr>
              <w:t>PR.PT,</w:t>
            </w:r>
            <w:r>
              <w:rPr>
                <w:spacing w:val="1"/>
                <w:sz w:val="20"/>
              </w:rPr>
              <w:t> </w:t>
            </w:r>
            <w:r>
              <w:rPr>
                <w:sz w:val="20"/>
              </w:rPr>
              <w:t>DE.CM</w:t>
            </w:r>
          </w:p>
        </w:tc>
      </w:tr>
    </w:tbl>
    <w:p>
      <w:pPr>
        <w:pStyle w:val="BodyText"/>
        <w:spacing w:before="8"/>
        <w:rPr>
          <w:sz w:val="29"/>
        </w:rPr>
      </w:pPr>
    </w:p>
    <w:p>
      <w:pPr>
        <w:spacing w:before="92"/>
        <w:ind w:left="120" w:right="0" w:firstLine="0"/>
        <w:jc w:val="left"/>
        <w:rPr>
          <w:i/>
          <w:sz w:val="18"/>
        </w:rPr>
      </w:pPr>
      <w:bookmarkStart w:name="_bookmark19" w:id="34"/>
      <w:bookmarkEnd w:id="34"/>
      <w:r>
        <w:rPr/>
      </w:r>
      <w:r>
        <w:rPr>
          <w:i/>
          <w:sz w:val="18"/>
        </w:rPr>
        <w:t>Table</w:t>
      </w:r>
      <w:r>
        <w:rPr>
          <w:i/>
          <w:spacing w:val="-2"/>
          <w:sz w:val="18"/>
        </w:rPr>
        <w:t> </w:t>
      </w:r>
      <w:r>
        <w:rPr>
          <w:i/>
          <w:sz w:val="18"/>
        </w:rPr>
        <w:t>6:</w:t>
      </w:r>
      <w:r>
        <w:rPr>
          <w:i/>
          <w:spacing w:val="-2"/>
          <w:sz w:val="18"/>
        </w:rPr>
        <w:t> </w:t>
      </w:r>
      <w:r>
        <w:rPr>
          <w:i/>
          <w:sz w:val="18"/>
        </w:rPr>
        <w:t>Web</w:t>
      </w:r>
      <w:r>
        <w:rPr>
          <w:i/>
          <w:spacing w:val="-4"/>
          <w:sz w:val="18"/>
        </w:rPr>
        <w:t> </w:t>
      </w:r>
      <w:r>
        <w:rPr>
          <w:i/>
          <w:sz w:val="18"/>
        </w:rPr>
        <w:t>PEP</w:t>
      </w:r>
      <w:r>
        <w:rPr>
          <w:i/>
          <w:spacing w:val="-2"/>
          <w:sz w:val="18"/>
        </w:rPr>
        <w:t> </w:t>
      </w:r>
      <w:r>
        <w:rPr>
          <w:i/>
          <w:sz w:val="18"/>
        </w:rPr>
        <w:t>Security</w:t>
      </w:r>
      <w:r>
        <w:rPr>
          <w:i/>
          <w:spacing w:val="-1"/>
          <w:sz w:val="18"/>
        </w:rPr>
        <w:t> </w:t>
      </w:r>
      <w:r>
        <w:rPr>
          <w:i/>
          <w:sz w:val="18"/>
        </w:rPr>
        <w:t>Capabilities</w:t>
      </w:r>
    </w:p>
    <w:p>
      <w:pPr>
        <w:pStyle w:val="BodyText"/>
        <w:spacing w:before="5"/>
        <w:rPr>
          <w:i/>
          <w:sz w:val="17"/>
        </w:rPr>
      </w:pPr>
    </w:p>
    <w:p>
      <w:pPr>
        <w:pStyle w:val="Heading3"/>
        <w:spacing w:before="1"/>
      </w:pPr>
      <w:r>
        <w:rPr/>
        <w:t>Web</w:t>
      </w:r>
      <w:r>
        <w:rPr>
          <w:spacing w:val="-4"/>
        </w:rPr>
        <w:t> </w:t>
      </w:r>
      <w:r>
        <w:rPr/>
        <w:t>PEP</w:t>
      </w:r>
      <w:r>
        <w:rPr>
          <w:spacing w:val="-4"/>
        </w:rPr>
        <w:t> </w:t>
      </w:r>
      <w:r>
        <w:rPr/>
        <w:t>Security</w:t>
      </w:r>
      <w:r>
        <w:rPr>
          <w:spacing w:val="-3"/>
        </w:rPr>
        <w:t> </w:t>
      </w:r>
      <w:r>
        <w:rPr/>
        <w:t>Capabilities</w:t>
      </w:r>
    </w:p>
    <w:p>
      <w:pPr>
        <w:pStyle w:val="BodyText"/>
        <w:spacing w:before="4"/>
        <w:rPr>
          <w:b/>
          <w:sz w:val="10"/>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49"/>
        <w:gridCol w:w="1825"/>
        <w:gridCol w:w="4482"/>
        <w:gridCol w:w="1519"/>
      </w:tblGrid>
      <w:tr>
        <w:trPr>
          <w:trHeight w:val="856" w:hRule="atLeast"/>
        </w:trPr>
        <w:tc>
          <w:tcPr>
            <w:tcW w:w="1549" w:type="dxa"/>
            <w:tcBorders>
              <w:top w:val="single" w:sz="4" w:space="0" w:color="0057B5"/>
              <w:bottom w:val="single" w:sz="4" w:space="0" w:color="0057B5"/>
            </w:tcBorders>
          </w:tcPr>
          <w:p>
            <w:pPr>
              <w:pStyle w:val="TableParagraph"/>
              <w:spacing w:before="0"/>
              <w:ind w:left="0"/>
              <w:rPr>
                <w:b/>
                <w:sz w:val="21"/>
              </w:rPr>
            </w:pPr>
          </w:p>
          <w:p>
            <w:pPr>
              <w:pStyle w:val="TableParagraph"/>
              <w:spacing w:before="0"/>
              <w:rPr>
                <w:b/>
                <w:sz w:val="22"/>
              </w:rPr>
            </w:pPr>
            <w:r>
              <w:rPr>
                <w:b/>
                <w:sz w:val="22"/>
              </w:rPr>
              <w:t>Capability</w:t>
            </w:r>
          </w:p>
        </w:tc>
        <w:tc>
          <w:tcPr>
            <w:tcW w:w="1825" w:type="dxa"/>
            <w:tcBorders>
              <w:top w:val="single" w:sz="4" w:space="0" w:color="0057B5"/>
              <w:bottom w:val="single" w:sz="4" w:space="0" w:color="0057B5"/>
            </w:tcBorders>
          </w:tcPr>
          <w:p>
            <w:pPr>
              <w:pStyle w:val="TableParagraph"/>
              <w:ind w:left="135" w:right="679"/>
              <w:rPr>
                <w:b/>
                <w:sz w:val="22"/>
              </w:rPr>
            </w:pPr>
            <w:r>
              <w:rPr>
                <w:b/>
                <w:sz w:val="22"/>
              </w:rPr>
              <w:t>Capability</w:t>
            </w:r>
            <w:r>
              <w:rPr>
                <w:b/>
                <w:spacing w:val="-52"/>
                <w:sz w:val="22"/>
              </w:rPr>
              <w:t> </w:t>
            </w:r>
            <w:r>
              <w:rPr>
                <w:b/>
                <w:sz w:val="22"/>
              </w:rPr>
              <w:t>Identifier</w:t>
            </w:r>
          </w:p>
        </w:tc>
        <w:tc>
          <w:tcPr>
            <w:tcW w:w="4482" w:type="dxa"/>
            <w:tcBorders>
              <w:top w:val="single" w:sz="4" w:space="0" w:color="0057B5"/>
              <w:bottom w:val="single" w:sz="4" w:space="0" w:color="0057B5"/>
            </w:tcBorders>
          </w:tcPr>
          <w:p>
            <w:pPr>
              <w:pStyle w:val="TableParagraph"/>
              <w:spacing w:before="0"/>
              <w:ind w:left="0"/>
              <w:rPr>
                <w:b/>
                <w:sz w:val="21"/>
              </w:rPr>
            </w:pPr>
          </w:p>
          <w:p>
            <w:pPr>
              <w:pStyle w:val="TableParagraph"/>
              <w:spacing w:before="0"/>
              <w:ind w:left="138"/>
              <w:rPr>
                <w:b/>
                <w:sz w:val="22"/>
              </w:rPr>
            </w:pPr>
            <w:r>
              <w:rPr>
                <w:b/>
                <w:sz w:val="22"/>
              </w:rPr>
              <w:t>Description</w:t>
            </w:r>
          </w:p>
        </w:tc>
        <w:tc>
          <w:tcPr>
            <w:tcW w:w="1519" w:type="dxa"/>
            <w:tcBorders>
              <w:top w:val="single" w:sz="4" w:space="0" w:color="0057B5"/>
              <w:bottom w:val="single" w:sz="4" w:space="0" w:color="0057B5"/>
            </w:tcBorders>
          </w:tcPr>
          <w:p>
            <w:pPr>
              <w:pStyle w:val="TableParagraph"/>
              <w:spacing w:before="175"/>
              <w:ind w:left="177"/>
              <w:rPr>
                <w:b/>
                <w:sz w:val="22"/>
              </w:rPr>
            </w:pPr>
            <w:r>
              <w:rPr>
                <w:b/>
                <w:sz w:val="22"/>
              </w:rPr>
              <w:t>NIST</w:t>
            </w:r>
            <w:r>
              <w:rPr>
                <w:b/>
                <w:spacing w:val="-3"/>
                <w:sz w:val="22"/>
              </w:rPr>
              <w:t> </w:t>
            </w:r>
            <w:r>
              <w:rPr>
                <w:b/>
                <w:sz w:val="22"/>
              </w:rPr>
              <w:t>CSF</w:t>
            </w:r>
          </w:p>
          <w:p>
            <w:pPr>
              <w:pStyle w:val="TableParagraph"/>
              <w:spacing w:before="0"/>
              <w:ind w:left="177"/>
              <w:rPr>
                <w:b/>
                <w:sz w:val="22"/>
              </w:rPr>
            </w:pPr>
            <w:r>
              <w:rPr>
                <w:b/>
                <w:sz w:val="22"/>
              </w:rPr>
              <w:t>Mapping</w:t>
            </w:r>
          </w:p>
        </w:tc>
      </w:tr>
      <w:tr>
        <w:trPr>
          <w:trHeight w:val="1490" w:hRule="atLeast"/>
        </w:trPr>
        <w:tc>
          <w:tcPr>
            <w:tcW w:w="1549" w:type="dxa"/>
            <w:tcBorders>
              <w:top w:val="single" w:sz="4" w:space="0" w:color="0057B5"/>
            </w:tcBorders>
            <w:shd w:val="clear" w:color="auto" w:fill="E7EAF3"/>
          </w:tcPr>
          <w:p>
            <w:pPr>
              <w:pStyle w:val="TableParagraph"/>
              <w:spacing w:before="106"/>
              <w:ind w:right="505"/>
              <w:rPr>
                <w:b/>
                <w:sz w:val="20"/>
              </w:rPr>
            </w:pPr>
            <w:r>
              <w:rPr>
                <w:b/>
                <w:sz w:val="20"/>
              </w:rPr>
              <w:t>Break and</w:t>
            </w:r>
            <w:r>
              <w:rPr>
                <w:b/>
                <w:spacing w:val="-47"/>
                <w:sz w:val="20"/>
              </w:rPr>
              <w:t> </w:t>
            </w:r>
            <w:r>
              <w:rPr>
                <w:b/>
                <w:sz w:val="20"/>
              </w:rPr>
              <w:t>Inspect</w:t>
            </w:r>
          </w:p>
        </w:tc>
        <w:tc>
          <w:tcPr>
            <w:tcW w:w="1825" w:type="dxa"/>
            <w:tcBorders>
              <w:top w:val="single" w:sz="4" w:space="0" w:color="0057B5"/>
            </w:tcBorders>
            <w:shd w:val="clear" w:color="auto" w:fill="E7EAF3"/>
          </w:tcPr>
          <w:p>
            <w:pPr>
              <w:pStyle w:val="TableParagraph"/>
              <w:spacing w:before="106"/>
              <w:ind w:left="40" w:right="118"/>
              <w:jc w:val="center"/>
              <w:rPr>
                <w:sz w:val="20"/>
              </w:rPr>
            </w:pPr>
            <w:r>
              <w:rPr>
                <w:sz w:val="20"/>
              </w:rPr>
              <w:t>3.PEP.WE.BINSP</w:t>
            </w:r>
          </w:p>
        </w:tc>
        <w:tc>
          <w:tcPr>
            <w:tcW w:w="4482" w:type="dxa"/>
            <w:tcBorders>
              <w:top w:val="single" w:sz="4" w:space="0" w:color="0057B5"/>
            </w:tcBorders>
            <w:shd w:val="clear" w:color="auto" w:fill="E7EAF3"/>
          </w:tcPr>
          <w:p>
            <w:pPr>
              <w:pStyle w:val="TableParagraph"/>
              <w:spacing w:before="106"/>
              <w:ind w:left="138" w:right="314"/>
              <w:rPr>
                <w:sz w:val="20"/>
              </w:rPr>
            </w:pPr>
            <w:r>
              <w:rPr>
                <w:sz w:val="20"/>
              </w:rPr>
              <w:t>Break and Inspect systems, or encryption proxies,</w:t>
            </w:r>
            <w:r>
              <w:rPr>
                <w:spacing w:val="-47"/>
                <w:sz w:val="20"/>
              </w:rPr>
              <w:t> </w:t>
            </w:r>
            <w:r>
              <w:rPr>
                <w:sz w:val="20"/>
              </w:rPr>
              <w:t>terminate encrypted traffic, logging or performing</w:t>
            </w:r>
            <w:r>
              <w:rPr>
                <w:spacing w:val="-47"/>
                <w:sz w:val="20"/>
              </w:rPr>
              <w:t> </w:t>
            </w:r>
            <w:r>
              <w:rPr>
                <w:sz w:val="20"/>
              </w:rPr>
              <w:t>policy enforcement against the plaintext, and re-</w:t>
            </w:r>
            <w:r>
              <w:rPr>
                <w:spacing w:val="1"/>
                <w:sz w:val="20"/>
              </w:rPr>
              <w:t> </w:t>
            </w:r>
            <w:r>
              <w:rPr>
                <w:sz w:val="20"/>
              </w:rPr>
              <w:t>encrypting the traffic, if applicable, before</w:t>
            </w:r>
            <w:r>
              <w:rPr>
                <w:spacing w:val="1"/>
                <w:sz w:val="20"/>
              </w:rPr>
              <w:t> </w:t>
            </w:r>
            <w:r>
              <w:rPr>
                <w:sz w:val="20"/>
              </w:rPr>
              <w:t>transmitting to</w:t>
            </w:r>
            <w:r>
              <w:rPr>
                <w:spacing w:val="-3"/>
                <w:sz w:val="20"/>
              </w:rPr>
              <w:t> </w:t>
            </w:r>
            <w:r>
              <w:rPr>
                <w:sz w:val="20"/>
              </w:rPr>
              <w:t>the final</w:t>
            </w:r>
            <w:r>
              <w:rPr>
                <w:spacing w:val="-2"/>
                <w:sz w:val="20"/>
              </w:rPr>
              <w:t> </w:t>
            </w:r>
            <w:r>
              <w:rPr>
                <w:sz w:val="20"/>
              </w:rPr>
              <w:t>destination.</w:t>
            </w:r>
          </w:p>
        </w:tc>
        <w:tc>
          <w:tcPr>
            <w:tcW w:w="1519" w:type="dxa"/>
            <w:tcBorders>
              <w:top w:val="single" w:sz="4" w:space="0" w:color="0057B5"/>
            </w:tcBorders>
            <w:shd w:val="clear" w:color="auto" w:fill="E7EAF3"/>
          </w:tcPr>
          <w:p>
            <w:pPr>
              <w:pStyle w:val="TableParagraph"/>
              <w:spacing w:before="106"/>
              <w:ind w:left="177" w:right="694"/>
              <w:rPr>
                <w:sz w:val="20"/>
              </w:rPr>
            </w:pPr>
            <w:r>
              <w:rPr>
                <w:sz w:val="20"/>
              </w:rPr>
              <w:t>PR.PT,</w:t>
            </w:r>
            <w:r>
              <w:rPr>
                <w:spacing w:val="1"/>
                <w:sz w:val="20"/>
              </w:rPr>
              <w:t> </w:t>
            </w:r>
            <w:r>
              <w:rPr>
                <w:sz w:val="20"/>
              </w:rPr>
              <w:t>DE.CM</w:t>
            </w:r>
          </w:p>
        </w:tc>
      </w:tr>
      <w:tr>
        <w:trPr>
          <w:trHeight w:val="1040" w:hRule="atLeast"/>
        </w:trPr>
        <w:tc>
          <w:tcPr>
            <w:tcW w:w="1549" w:type="dxa"/>
            <w:tcBorders>
              <w:bottom w:val="single" w:sz="4" w:space="0" w:color="0057B5"/>
            </w:tcBorders>
          </w:tcPr>
          <w:p>
            <w:pPr>
              <w:pStyle w:val="TableParagraph"/>
              <w:spacing w:before="114"/>
              <w:ind w:right="117"/>
              <w:rPr>
                <w:b/>
                <w:sz w:val="20"/>
              </w:rPr>
            </w:pPr>
            <w:r>
              <w:rPr>
                <w:b/>
                <w:sz w:val="20"/>
              </w:rPr>
              <w:t>Active Content</w:t>
            </w:r>
            <w:r>
              <w:rPr>
                <w:b/>
                <w:spacing w:val="-48"/>
                <w:sz w:val="20"/>
              </w:rPr>
              <w:t> </w:t>
            </w:r>
            <w:r>
              <w:rPr>
                <w:b/>
                <w:sz w:val="20"/>
              </w:rPr>
              <w:t>Mitigation</w:t>
            </w:r>
          </w:p>
        </w:tc>
        <w:tc>
          <w:tcPr>
            <w:tcW w:w="1825" w:type="dxa"/>
            <w:tcBorders>
              <w:bottom w:val="single" w:sz="4" w:space="0" w:color="0057B5"/>
            </w:tcBorders>
          </w:tcPr>
          <w:p>
            <w:pPr>
              <w:pStyle w:val="TableParagraph"/>
              <w:ind w:left="117" w:right="118"/>
              <w:jc w:val="center"/>
              <w:rPr>
                <w:sz w:val="20"/>
              </w:rPr>
            </w:pPr>
            <w:r>
              <w:rPr>
                <w:sz w:val="20"/>
              </w:rPr>
              <w:t>3.PEP.WE.ACMIT</w:t>
            </w:r>
          </w:p>
        </w:tc>
        <w:tc>
          <w:tcPr>
            <w:tcW w:w="4482" w:type="dxa"/>
            <w:tcBorders>
              <w:bottom w:val="single" w:sz="4" w:space="0" w:color="0057B5"/>
            </w:tcBorders>
          </w:tcPr>
          <w:p>
            <w:pPr>
              <w:pStyle w:val="TableParagraph"/>
              <w:spacing w:before="114"/>
              <w:ind w:left="138" w:right="159"/>
              <w:rPr>
                <w:sz w:val="20"/>
              </w:rPr>
            </w:pPr>
            <w:r>
              <w:rPr>
                <w:sz w:val="20"/>
              </w:rPr>
              <w:t>Active content mitigation protections detect the</w:t>
            </w:r>
            <w:r>
              <w:rPr>
                <w:spacing w:val="1"/>
                <w:sz w:val="20"/>
              </w:rPr>
              <w:t> </w:t>
            </w:r>
            <w:r>
              <w:rPr>
                <w:sz w:val="20"/>
              </w:rPr>
              <w:t>presence of unapproved active content and facilitate</w:t>
            </w:r>
            <w:r>
              <w:rPr>
                <w:spacing w:val="-48"/>
                <w:sz w:val="20"/>
              </w:rPr>
              <w:t> </w:t>
            </w:r>
            <w:r>
              <w:rPr>
                <w:sz w:val="20"/>
              </w:rPr>
              <w:t>its</w:t>
            </w:r>
            <w:r>
              <w:rPr>
                <w:spacing w:val="-1"/>
                <w:sz w:val="20"/>
              </w:rPr>
              <w:t> </w:t>
            </w:r>
            <w:r>
              <w:rPr>
                <w:sz w:val="20"/>
              </w:rPr>
              <w:t>removal.</w:t>
            </w:r>
          </w:p>
        </w:tc>
        <w:tc>
          <w:tcPr>
            <w:tcW w:w="1519" w:type="dxa"/>
            <w:tcBorders>
              <w:bottom w:val="single" w:sz="4" w:space="0" w:color="0057B5"/>
            </w:tcBorders>
          </w:tcPr>
          <w:p>
            <w:pPr>
              <w:pStyle w:val="TableParagraph"/>
              <w:spacing w:before="114"/>
              <w:ind w:left="177" w:right="694"/>
              <w:rPr>
                <w:sz w:val="20"/>
              </w:rPr>
            </w:pPr>
            <w:r>
              <w:rPr>
                <w:sz w:val="20"/>
              </w:rPr>
              <w:t>PR.PT,</w:t>
            </w:r>
            <w:r>
              <w:rPr>
                <w:spacing w:val="1"/>
                <w:sz w:val="20"/>
              </w:rPr>
              <w:t> </w:t>
            </w:r>
            <w:r>
              <w:rPr>
                <w:sz w:val="20"/>
              </w:rPr>
              <w:t>DE.CM</w:t>
            </w:r>
          </w:p>
        </w:tc>
      </w:tr>
    </w:tbl>
    <w:p>
      <w:pPr>
        <w:pStyle w:val="BodyText"/>
        <w:rPr>
          <w:b/>
          <w:sz w:val="24"/>
        </w:rPr>
      </w:pPr>
    </w:p>
    <w:p>
      <w:pPr>
        <w:pStyle w:val="BodyText"/>
        <w:rPr>
          <w:b/>
          <w:sz w:val="24"/>
        </w:rPr>
      </w:pPr>
    </w:p>
    <w:p>
      <w:pPr>
        <w:spacing w:before="203"/>
        <w:ind w:left="120" w:right="2649" w:hanging="1"/>
        <w:jc w:val="left"/>
        <w:rPr>
          <w:sz w:val="20"/>
        </w:rPr>
      </w:pPr>
      <w:bookmarkStart w:name="_bookmark20" w:id="35"/>
      <w:bookmarkEnd w:id="35"/>
      <w:r>
        <w:rPr/>
      </w:r>
      <w:r>
        <w:rPr>
          <w:sz w:val="20"/>
          <w:vertAlign w:val="superscript"/>
        </w:rPr>
        <w:t>6</w:t>
      </w:r>
      <w:r>
        <w:rPr>
          <w:sz w:val="20"/>
          <w:vertAlign w:val="baseline"/>
        </w:rPr>
        <w:t> “EINSTEIN 3 Accelerated,” Cybersecurity and Infrastructure Security Agency (2013).</w:t>
      </w:r>
      <w:r>
        <w:rPr>
          <w:spacing w:val="-47"/>
          <w:sz w:val="20"/>
          <w:vertAlign w:val="baseline"/>
        </w:rPr>
        <w:t> </w:t>
      </w:r>
      <w:r>
        <w:rPr>
          <w:sz w:val="20"/>
          <w:vertAlign w:val="baseline"/>
        </w:rPr>
        <w:t>https://</w:t>
      </w:r>
      <w:hyperlink r:id="rId23">
        <w:r>
          <w:rPr>
            <w:sz w:val="20"/>
            <w:vertAlign w:val="baseline"/>
          </w:rPr>
          <w:t>www.cisa.gov/publication/einstein-3-accelerated.</w:t>
        </w:r>
      </w:hyperlink>
    </w:p>
    <w:p>
      <w:pPr>
        <w:spacing w:after="0"/>
        <w:jc w:val="left"/>
        <w:rPr>
          <w:sz w:val="20"/>
        </w:rPr>
        <w:sectPr>
          <w:headerReference w:type="default" r:id="rId21"/>
          <w:footerReference w:type="default" r:id="rId22"/>
          <w:pgSz w:w="12240" w:h="15840"/>
          <w:pgMar w:header="730" w:footer="1280" w:top="960" w:bottom="1460" w:left="1320" w:right="1080"/>
        </w:sectPr>
      </w:pPr>
    </w:p>
    <w:p>
      <w:pPr>
        <w:pStyle w:val="BodyText"/>
        <w:rPr>
          <w:sz w:val="20"/>
        </w:rPr>
      </w:pPr>
    </w:p>
    <w:p>
      <w:pPr>
        <w:pStyle w:val="BodyText"/>
        <w:spacing w:before="7"/>
        <w:rPr>
          <w:sz w:val="20"/>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13"/>
        <w:gridCol w:w="1883"/>
        <w:gridCol w:w="4518"/>
        <w:gridCol w:w="1458"/>
      </w:tblGrid>
      <w:tr>
        <w:trPr>
          <w:trHeight w:val="856" w:hRule="atLeast"/>
        </w:trPr>
        <w:tc>
          <w:tcPr>
            <w:tcW w:w="1513" w:type="dxa"/>
            <w:tcBorders>
              <w:top w:val="single" w:sz="4" w:space="0" w:color="0057B5"/>
              <w:bottom w:val="single" w:sz="4" w:space="0" w:color="0057B5"/>
            </w:tcBorders>
          </w:tcPr>
          <w:p>
            <w:pPr>
              <w:pStyle w:val="TableParagraph"/>
              <w:spacing w:before="0"/>
              <w:ind w:left="0"/>
              <w:rPr>
                <w:sz w:val="21"/>
              </w:rPr>
            </w:pPr>
          </w:p>
          <w:p>
            <w:pPr>
              <w:pStyle w:val="TableParagraph"/>
              <w:spacing w:before="0"/>
              <w:rPr>
                <w:b/>
                <w:sz w:val="22"/>
              </w:rPr>
            </w:pPr>
            <w:r>
              <w:rPr>
                <w:b/>
                <w:sz w:val="22"/>
              </w:rPr>
              <w:t>Capability</w:t>
            </w:r>
          </w:p>
        </w:tc>
        <w:tc>
          <w:tcPr>
            <w:tcW w:w="1883" w:type="dxa"/>
            <w:tcBorders>
              <w:top w:val="single" w:sz="4" w:space="0" w:color="0057B5"/>
              <w:bottom w:val="single" w:sz="4" w:space="0" w:color="0057B5"/>
            </w:tcBorders>
          </w:tcPr>
          <w:p>
            <w:pPr>
              <w:pStyle w:val="TableParagraph"/>
              <w:ind w:left="171" w:right="701"/>
              <w:rPr>
                <w:b/>
                <w:sz w:val="22"/>
              </w:rPr>
            </w:pPr>
            <w:r>
              <w:rPr>
                <w:b/>
                <w:sz w:val="22"/>
              </w:rPr>
              <w:t>Capability</w:t>
            </w:r>
            <w:r>
              <w:rPr>
                <w:b/>
                <w:spacing w:val="-52"/>
                <w:sz w:val="22"/>
              </w:rPr>
              <w:t> </w:t>
            </w:r>
            <w:r>
              <w:rPr>
                <w:b/>
                <w:sz w:val="22"/>
              </w:rPr>
              <w:t>Identifier</w:t>
            </w:r>
          </w:p>
        </w:tc>
        <w:tc>
          <w:tcPr>
            <w:tcW w:w="4518" w:type="dxa"/>
            <w:tcBorders>
              <w:top w:val="single" w:sz="4" w:space="0" w:color="0057B5"/>
              <w:bottom w:val="single" w:sz="4" w:space="0" w:color="0057B5"/>
            </w:tcBorders>
          </w:tcPr>
          <w:p>
            <w:pPr>
              <w:pStyle w:val="TableParagraph"/>
              <w:spacing w:before="0"/>
              <w:ind w:left="0"/>
              <w:rPr>
                <w:sz w:val="21"/>
              </w:rPr>
            </w:pPr>
          </w:p>
          <w:p>
            <w:pPr>
              <w:pStyle w:val="TableParagraph"/>
              <w:spacing w:before="0"/>
              <w:ind w:left="116"/>
              <w:rPr>
                <w:b/>
                <w:sz w:val="22"/>
              </w:rPr>
            </w:pPr>
            <w:r>
              <w:rPr>
                <w:b/>
                <w:sz w:val="22"/>
              </w:rPr>
              <w:t>Description</w:t>
            </w:r>
          </w:p>
        </w:tc>
        <w:tc>
          <w:tcPr>
            <w:tcW w:w="1458" w:type="dxa"/>
            <w:tcBorders>
              <w:top w:val="single" w:sz="4" w:space="0" w:color="0057B5"/>
              <w:bottom w:val="single" w:sz="4" w:space="0" w:color="0057B5"/>
            </w:tcBorders>
          </w:tcPr>
          <w:p>
            <w:pPr>
              <w:pStyle w:val="TableParagraph"/>
              <w:spacing w:before="175"/>
              <w:ind w:left="120"/>
              <w:rPr>
                <w:b/>
                <w:sz w:val="22"/>
              </w:rPr>
            </w:pPr>
            <w:r>
              <w:rPr>
                <w:b/>
                <w:sz w:val="22"/>
              </w:rPr>
              <w:t>NIST</w:t>
            </w:r>
            <w:r>
              <w:rPr>
                <w:b/>
                <w:spacing w:val="-3"/>
                <w:sz w:val="22"/>
              </w:rPr>
              <w:t> </w:t>
            </w:r>
            <w:r>
              <w:rPr>
                <w:b/>
                <w:sz w:val="22"/>
              </w:rPr>
              <w:t>CSF</w:t>
            </w:r>
          </w:p>
          <w:p>
            <w:pPr>
              <w:pStyle w:val="TableParagraph"/>
              <w:spacing w:before="0"/>
              <w:ind w:left="120"/>
              <w:rPr>
                <w:b/>
                <w:sz w:val="22"/>
              </w:rPr>
            </w:pPr>
            <w:r>
              <w:rPr>
                <w:b/>
                <w:sz w:val="22"/>
              </w:rPr>
              <w:t>Mapping</w:t>
            </w:r>
          </w:p>
        </w:tc>
      </w:tr>
      <w:tr>
        <w:trPr>
          <w:trHeight w:val="1029" w:hRule="atLeast"/>
        </w:trPr>
        <w:tc>
          <w:tcPr>
            <w:tcW w:w="1513" w:type="dxa"/>
            <w:tcBorders>
              <w:top w:val="single" w:sz="4" w:space="0" w:color="0057B5"/>
            </w:tcBorders>
            <w:shd w:val="clear" w:color="auto" w:fill="E7EAF3"/>
          </w:tcPr>
          <w:p>
            <w:pPr>
              <w:pStyle w:val="TableParagraph"/>
              <w:spacing w:before="104"/>
              <w:ind w:right="397"/>
              <w:rPr>
                <w:b/>
                <w:sz w:val="20"/>
              </w:rPr>
            </w:pPr>
            <w:r>
              <w:rPr>
                <w:b/>
                <w:sz w:val="20"/>
              </w:rPr>
              <w:t>Certificate</w:t>
            </w:r>
            <w:r>
              <w:rPr>
                <w:b/>
                <w:spacing w:val="1"/>
                <w:sz w:val="20"/>
              </w:rPr>
              <w:t> </w:t>
            </w:r>
            <w:r>
              <w:rPr>
                <w:b/>
                <w:sz w:val="20"/>
              </w:rPr>
              <w:t>Denylisting</w:t>
            </w:r>
          </w:p>
        </w:tc>
        <w:tc>
          <w:tcPr>
            <w:tcW w:w="1883" w:type="dxa"/>
            <w:tcBorders>
              <w:top w:val="single" w:sz="4" w:space="0" w:color="0057B5"/>
            </w:tcBorders>
            <w:shd w:val="clear" w:color="auto" w:fill="E7EAF3"/>
          </w:tcPr>
          <w:p>
            <w:pPr>
              <w:pStyle w:val="TableParagraph"/>
              <w:spacing w:before="104"/>
              <w:ind w:left="152" w:right="96"/>
              <w:jc w:val="center"/>
              <w:rPr>
                <w:sz w:val="20"/>
              </w:rPr>
            </w:pPr>
            <w:r>
              <w:rPr>
                <w:sz w:val="20"/>
              </w:rPr>
              <w:t>3.PEP.WE.CDENY</w:t>
            </w:r>
          </w:p>
        </w:tc>
        <w:tc>
          <w:tcPr>
            <w:tcW w:w="4518" w:type="dxa"/>
            <w:tcBorders>
              <w:top w:val="single" w:sz="4" w:space="0" w:color="0057B5"/>
            </w:tcBorders>
            <w:shd w:val="clear" w:color="auto" w:fill="E7EAF3"/>
          </w:tcPr>
          <w:p>
            <w:pPr>
              <w:pStyle w:val="TableParagraph"/>
              <w:spacing w:before="104"/>
              <w:ind w:left="116" w:right="216"/>
              <w:rPr>
                <w:sz w:val="20"/>
              </w:rPr>
            </w:pPr>
            <w:r>
              <w:rPr>
                <w:sz w:val="20"/>
              </w:rPr>
              <w:t>Certificate denylisting protections prevent</w:t>
            </w:r>
            <w:r>
              <w:rPr>
                <w:spacing w:val="1"/>
                <w:sz w:val="20"/>
              </w:rPr>
              <w:t> </w:t>
            </w:r>
            <w:r>
              <w:rPr>
                <w:sz w:val="20"/>
              </w:rPr>
              <w:t>communication with entities that use a set of known</w:t>
            </w:r>
            <w:r>
              <w:rPr>
                <w:spacing w:val="-47"/>
                <w:sz w:val="20"/>
              </w:rPr>
              <w:t> </w:t>
            </w:r>
            <w:r>
              <w:rPr>
                <w:sz w:val="20"/>
              </w:rPr>
              <w:t>bad</w:t>
            </w:r>
            <w:r>
              <w:rPr>
                <w:spacing w:val="-2"/>
                <w:sz w:val="20"/>
              </w:rPr>
              <w:t> </w:t>
            </w:r>
            <w:r>
              <w:rPr>
                <w:sz w:val="20"/>
              </w:rPr>
              <w:t>certificates.</w:t>
            </w:r>
          </w:p>
        </w:tc>
        <w:tc>
          <w:tcPr>
            <w:tcW w:w="1458" w:type="dxa"/>
            <w:tcBorders>
              <w:top w:val="single" w:sz="4" w:space="0" w:color="0057B5"/>
            </w:tcBorders>
            <w:shd w:val="clear" w:color="auto" w:fill="E7EAF3"/>
          </w:tcPr>
          <w:p>
            <w:pPr>
              <w:pStyle w:val="TableParagraph"/>
              <w:spacing w:before="104"/>
              <w:ind w:left="120" w:right="690"/>
              <w:rPr>
                <w:sz w:val="20"/>
              </w:rPr>
            </w:pPr>
            <w:r>
              <w:rPr>
                <w:sz w:val="20"/>
              </w:rPr>
              <w:t>PR.PT,</w:t>
            </w:r>
            <w:r>
              <w:rPr>
                <w:spacing w:val="1"/>
                <w:sz w:val="20"/>
              </w:rPr>
              <w:t> </w:t>
            </w:r>
            <w:r>
              <w:rPr>
                <w:sz w:val="20"/>
              </w:rPr>
              <w:t>DE.CM</w:t>
            </w:r>
          </w:p>
        </w:tc>
      </w:tr>
      <w:tr>
        <w:trPr>
          <w:trHeight w:val="1040" w:hRule="atLeast"/>
        </w:trPr>
        <w:tc>
          <w:tcPr>
            <w:tcW w:w="1513" w:type="dxa"/>
          </w:tcPr>
          <w:p>
            <w:pPr>
              <w:pStyle w:val="TableParagraph"/>
              <w:ind w:right="619"/>
              <w:rPr>
                <w:b/>
                <w:sz w:val="20"/>
              </w:rPr>
            </w:pPr>
            <w:r>
              <w:rPr>
                <w:b/>
                <w:sz w:val="20"/>
              </w:rPr>
              <w:t>Content</w:t>
            </w:r>
            <w:r>
              <w:rPr>
                <w:b/>
                <w:spacing w:val="1"/>
                <w:sz w:val="20"/>
              </w:rPr>
              <w:t> </w:t>
            </w:r>
            <w:r>
              <w:rPr>
                <w:b/>
                <w:sz w:val="20"/>
              </w:rPr>
              <w:t>Filtering</w:t>
            </w:r>
          </w:p>
        </w:tc>
        <w:tc>
          <w:tcPr>
            <w:tcW w:w="1883" w:type="dxa"/>
          </w:tcPr>
          <w:p>
            <w:pPr>
              <w:pStyle w:val="TableParagraph"/>
              <w:ind w:left="21" w:right="96"/>
              <w:jc w:val="center"/>
              <w:rPr>
                <w:sz w:val="20"/>
              </w:rPr>
            </w:pPr>
            <w:r>
              <w:rPr>
                <w:sz w:val="20"/>
              </w:rPr>
              <w:t>3.PEP.WE.CFILT</w:t>
            </w:r>
          </w:p>
        </w:tc>
        <w:tc>
          <w:tcPr>
            <w:tcW w:w="4518" w:type="dxa"/>
          </w:tcPr>
          <w:p>
            <w:pPr>
              <w:pStyle w:val="TableParagraph"/>
              <w:ind w:left="116" w:right="327"/>
              <w:rPr>
                <w:sz w:val="20"/>
              </w:rPr>
            </w:pPr>
            <w:r>
              <w:rPr>
                <w:sz w:val="20"/>
              </w:rPr>
              <w:t>Content filtering protections detect the presence of</w:t>
            </w:r>
            <w:r>
              <w:rPr>
                <w:spacing w:val="-47"/>
                <w:sz w:val="20"/>
              </w:rPr>
              <w:t> </w:t>
            </w:r>
            <w:r>
              <w:rPr>
                <w:sz w:val="20"/>
              </w:rPr>
              <w:t>unapproved content and facilitate its removal or</w:t>
            </w:r>
            <w:r>
              <w:rPr>
                <w:spacing w:val="1"/>
                <w:sz w:val="20"/>
              </w:rPr>
              <w:t> </w:t>
            </w:r>
            <w:r>
              <w:rPr>
                <w:sz w:val="20"/>
              </w:rPr>
              <w:t>denial</w:t>
            </w:r>
            <w:r>
              <w:rPr>
                <w:spacing w:val="-3"/>
                <w:sz w:val="20"/>
              </w:rPr>
              <w:t> </w:t>
            </w:r>
            <w:r>
              <w:rPr>
                <w:sz w:val="20"/>
              </w:rPr>
              <w:t>of</w:t>
            </w:r>
            <w:r>
              <w:rPr>
                <w:spacing w:val="-1"/>
                <w:sz w:val="20"/>
              </w:rPr>
              <w:t> </w:t>
            </w:r>
            <w:r>
              <w:rPr>
                <w:sz w:val="20"/>
              </w:rPr>
              <w:t>access.</w:t>
            </w:r>
          </w:p>
        </w:tc>
        <w:tc>
          <w:tcPr>
            <w:tcW w:w="1458" w:type="dxa"/>
          </w:tcPr>
          <w:p>
            <w:pPr>
              <w:pStyle w:val="TableParagraph"/>
              <w:spacing w:line="230" w:lineRule="exact"/>
              <w:ind w:left="120"/>
              <w:rPr>
                <w:sz w:val="20"/>
              </w:rPr>
            </w:pPr>
            <w:r>
              <w:rPr>
                <w:sz w:val="20"/>
              </w:rPr>
              <w:t>PR.PT,</w:t>
            </w:r>
          </w:p>
          <w:p>
            <w:pPr>
              <w:pStyle w:val="TableParagraph"/>
              <w:spacing w:before="0"/>
              <w:ind w:left="120" w:right="640"/>
              <w:rPr>
                <w:sz w:val="20"/>
              </w:rPr>
            </w:pPr>
            <w:r>
              <w:rPr>
                <w:sz w:val="20"/>
              </w:rPr>
              <w:t>DE.CM,</w:t>
            </w:r>
            <w:r>
              <w:rPr>
                <w:spacing w:val="-47"/>
                <w:sz w:val="20"/>
              </w:rPr>
              <w:t> </w:t>
            </w:r>
            <w:r>
              <w:rPr>
                <w:sz w:val="20"/>
              </w:rPr>
              <w:t>DE.DP</w:t>
            </w:r>
          </w:p>
        </w:tc>
      </w:tr>
      <w:tr>
        <w:trPr>
          <w:trHeight w:val="1040" w:hRule="atLeast"/>
        </w:trPr>
        <w:tc>
          <w:tcPr>
            <w:tcW w:w="1513" w:type="dxa"/>
            <w:shd w:val="clear" w:color="auto" w:fill="E7EAF3"/>
          </w:tcPr>
          <w:p>
            <w:pPr>
              <w:pStyle w:val="TableParagraph"/>
              <w:spacing w:before="114"/>
              <w:ind w:right="152"/>
              <w:rPr>
                <w:b/>
                <w:sz w:val="20"/>
              </w:rPr>
            </w:pPr>
            <w:r>
              <w:rPr>
                <w:b/>
                <w:sz w:val="20"/>
              </w:rPr>
              <w:t>Authenticated</w:t>
            </w:r>
            <w:r>
              <w:rPr>
                <w:b/>
                <w:spacing w:val="-47"/>
                <w:sz w:val="20"/>
              </w:rPr>
              <w:t> </w:t>
            </w:r>
            <w:r>
              <w:rPr>
                <w:b/>
                <w:sz w:val="20"/>
              </w:rPr>
              <w:t>Proxy</w:t>
            </w:r>
          </w:p>
        </w:tc>
        <w:tc>
          <w:tcPr>
            <w:tcW w:w="1883" w:type="dxa"/>
            <w:shd w:val="clear" w:color="auto" w:fill="E7EAF3"/>
          </w:tcPr>
          <w:p>
            <w:pPr>
              <w:pStyle w:val="TableParagraph"/>
              <w:ind w:left="141" w:right="96"/>
              <w:jc w:val="center"/>
              <w:rPr>
                <w:sz w:val="20"/>
              </w:rPr>
            </w:pPr>
            <w:r>
              <w:rPr>
                <w:sz w:val="20"/>
              </w:rPr>
              <w:t>3.PEP.WE.APROX</w:t>
            </w:r>
          </w:p>
        </w:tc>
        <w:tc>
          <w:tcPr>
            <w:tcW w:w="4518" w:type="dxa"/>
            <w:shd w:val="clear" w:color="auto" w:fill="E7EAF3"/>
          </w:tcPr>
          <w:p>
            <w:pPr>
              <w:pStyle w:val="TableParagraph"/>
              <w:spacing w:before="114"/>
              <w:ind w:left="116" w:right="174"/>
              <w:rPr>
                <w:sz w:val="20"/>
              </w:rPr>
            </w:pPr>
            <w:r>
              <w:rPr>
                <w:sz w:val="20"/>
              </w:rPr>
              <w:t>Authenticated</w:t>
            </w:r>
            <w:r>
              <w:rPr>
                <w:spacing w:val="-7"/>
                <w:sz w:val="20"/>
              </w:rPr>
              <w:t> </w:t>
            </w:r>
            <w:r>
              <w:rPr>
                <w:sz w:val="20"/>
              </w:rPr>
              <w:t>proxies</w:t>
            </w:r>
            <w:r>
              <w:rPr>
                <w:spacing w:val="-5"/>
                <w:sz w:val="20"/>
              </w:rPr>
              <w:t> </w:t>
            </w:r>
            <w:r>
              <w:rPr>
                <w:sz w:val="20"/>
              </w:rPr>
              <w:t>require</w:t>
            </w:r>
            <w:r>
              <w:rPr>
                <w:spacing w:val="-5"/>
                <w:sz w:val="20"/>
              </w:rPr>
              <w:t> </w:t>
            </w:r>
            <w:r>
              <w:rPr>
                <w:sz w:val="20"/>
              </w:rPr>
              <w:t>entities</w:t>
            </w:r>
            <w:r>
              <w:rPr>
                <w:spacing w:val="-5"/>
                <w:sz w:val="20"/>
              </w:rPr>
              <w:t> </w:t>
            </w:r>
            <w:r>
              <w:rPr>
                <w:sz w:val="20"/>
              </w:rPr>
              <w:t>to</w:t>
            </w:r>
            <w:r>
              <w:rPr>
                <w:spacing w:val="-4"/>
                <w:sz w:val="20"/>
              </w:rPr>
              <w:t> </w:t>
            </w:r>
            <w:r>
              <w:rPr>
                <w:sz w:val="20"/>
              </w:rPr>
              <w:t>authenticate</w:t>
            </w:r>
            <w:r>
              <w:rPr>
                <w:spacing w:val="-47"/>
                <w:sz w:val="20"/>
              </w:rPr>
              <w:t> </w:t>
            </w:r>
            <w:r>
              <w:rPr>
                <w:sz w:val="20"/>
              </w:rPr>
              <w:t>with the proxy before making use of it, enabling</w:t>
            </w:r>
            <w:r>
              <w:rPr>
                <w:spacing w:val="1"/>
                <w:sz w:val="20"/>
              </w:rPr>
              <w:t> </w:t>
            </w:r>
            <w:r>
              <w:rPr>
                <w:sz w:val="20"/>
              </w:rPr>
              <w:t>user,</w:t>
            </w:r>
            <w:r>
              <w:rPr>
                <w:spacing w:val="-3"/>
                <w:sz w:val="20"/>
              </w:rPr>
              <w:t> </w:t>
            </w:r>
            <w:r>
              <w:rPr>
                <w:sz w:val="20"/>
              </w:rPr>
              <w:t>group,</w:t>
            </w:r>
            <w:r>
              <w:rPr>
                <w:spacing w:val="-2"/>
                <w:sz w:val="20"/>
              </w:rPr>
              <w:t> </w:t>
            </w:r>
            <w:r>
              <w:rPr>
                <w:sz w:val="20"/>
              </w:rPr>
              <w:t>and</w:t>
            </w:r>
            <w:r>
              <w:rPr>
                <w:spacing w:val="-2"/>
                <w:sz w:val="20"/>
              </w:rPr>
              <w:t> </w:t>
            </w:r>
            <w:r>
              <w:rPr>
                <w:sz w:val="20"/>
              </w:rPr>
              <w:t>location-aware</w:t>
            </w:r>
            <w:r>
              <w:rPr>
                <w:spacing w:val="-2"/>
                <w:sz w:val="20"/>
              </w:rPr>
              <w:t> </w:t>
            </w:r>
            <w:r>
              <w:rPr>
                <w:sz w:val="20"/>
              </w:rPr>
              <w:t>security</w:t>
            </w:r>
            <w:r>
              <w:rPr>
                <w:spacing w:val="-3"/>
                <w:sz w:val="20"/>
              </w:rPr>
              <w:t> </w:t>
            </w:r>
            <w:r>
              <w:rPr>
                <w:sz w:val="20"/>
              </w:rPr>
              <w:t>controls.</w:t>
            </w:r>
          </w:p>
        </w:tc>
        <w:tc>
          <w:tcPr>
            <w:tcW w:w="1458" w:type="dxa"/>
            <w:shd w:val="clear" w:color="auto" w:fill="E7EAF3"/>
          </w:tcPr>
          <w:p>
            <w:pPr>
              <w:pStyle w:val="TableParagraph"/>
              <w:spacing w:before="114"/>
              <w:ind w:left="120"/>
              <w:rPr>
                <w:sz w:val="20"/>
              </w:rPr>
            </w:pPr>
            <w:r>
              <w:rPr>
                <w:sz w:val="20"/>
              </w:rPr>
              <w:t>PR.AC</w:t>
            </w:r>
          </w:p>
        </w:tc>
      </w:tr>
      <w:tr>
        <w:trPr>
          <w:trHeight w:val="808" w:hRule="atLeast"/>
        </w:trPr>
        <w:tc>
          <w:tcPr>
            <w:tcW w:w="1513" w:type="dxa"/>
          </w:tcPr>
          <w:p>
            <w:pPr>
              <w:pStyle w:val="TableParagraph"/>
              <w:spacing w:before="114"/>
              <w:ind w:right="430"/>
              <w:rPr>
                <w:b/>
                <w:sz w:val="20"/>
              </w:rPr>
            </w:pPr>
            <w:r>
              <w:rPr>
                <w:b/>
                <w:sz w:val="20"/>
              </w:rPr>
              <w:t>Data Loss</w:t>
            </w:r>
            <w:r>
              <w:rPr>
                <w:b/>
                <w:spacing w:val="1"/>
                <w:sz w:val="20"/>
              </w:rPr>
              <w:t> </w:t>
            </w:r>
            <w:r>
              <w:rPr>
                <w:b/>
                <w:sz w:val="20"/>
              </w:rPr>
              <w:t>Prevention</w:t>
            </w:r>
          </w:p>
        </w:tc>
        <w:tc>
          <w:tcPr>
            <w:tcW w:w="1883" w:type="dxa"/>
          </w:tcPr>
          <w:p>
            <w:pPr>
              <w:pStyle w:val="TableParagraph"/>
              <w:spacing w:before="114"/>
              <w:ind w:left="96" w:right="96"/>
              <w:jc w:val="center"/>
              <w:rPr>
                <w:sz w:val="20"/>
              </w:rPr>
            </w:pPr>
            <w:r>
              <w:rPr>
                <w:sz w:val="20"/>
              </w:rPr>
              <w:t>3.PEP.WE.DLPRE</w:t>
            </w:r>
          </w:p>
        </w:tc>
        <w:tc>
          <w:tcPr>
            <w:tcW w:w="4518" w:type="dxa"/>
          </w:tcPr>
          <w:p>
            <w:pPr>
              <w:pStyle w:val="TableParagraph"/>
              <w:spacing w:before="114"/>
              <w:ind w:left="116" w:right="133"/>
              <w:rPr>
                <w:sz w:val="20"/>
              </w:rPr>
            </w:pPr>
            <w:r>
              <w:rPr>
                <w:sz w:val="20"/>
              </w:rPr>
              <w:t>DLP technologies detect instances of the exfiltration,</w:t>
            </w:r>
            <w:r>
              <w:rPr>
                <w:spacing w:val="-47"/>
                <w:sz w:val="20"/>
              </w:rPr>
              <w:t> </w:t>
            </w:r>
            <w:r>
              <w:rPr>
                <w:sz w:val="20"/>
              </w:rPr>
              <w:t>either</w:t>
            </w:r>
            <w:r>
              <w:rPr>
                <w:spacing w:val="-2"/>
                <w:sz w:val="20"/>
              </w:rPr>
              <w:t> </w:t>
            </w:r>
            <w:r>
              <w:rPr>
                <w:sz w:val="20"/>
              </w:rPr>
              <w:t>malicious</w:t>
            </w:r>
            <w:r>
              <w:rPr>
                <w:spacing w:val="-1"/>
                <w:sz w:val="20"/>
              </w:rPr>
              <w:t> </w:t>
            </w:r>
            <w:r>
              <w:rPr>
                <w:sz w:val="20"/>
              </w:rPr>
              <w:t>or</w:t>
            </w:r>
            <w:r>
              <w:rPr>
                <w:spacing w:val="-2"/>
                <w:sz w:val="20"/>
              </w:rPr>
              <w:t> </w:t>
            </w:r>
            <w:r>
              <w:rPr>
                <w:sz w:val="20"/>
              </w:rPr>
              <w:t>accidental,</w:t>
            </w:r>
            <w:r>
              <w:rPr>
                <w:spacing w:val="-2"/>
                <w:sz w:val="20"/>
              </w:rPr>
              <w:t> </w:t>
            </w:r>
            <w:r>
              <w:rPr>
                <w:sz w:val="20"/>
              </w:rPr>
              <w:t>of</w:t>
            </w:r>
            <w:r>
              <w:rPr>
                <w:spacing w:val="-1"/>
                <w:sz w:val="20"/>
              </w:rPr>
              <w:t> </w:t>
            </w:r>
            <w:r>
              <w:rPr>
                <w:sz w:val="20"/>
              </w:rPr>
              <w:t>agency</w:t>
            </w:r>
            <w:r>
              <w:rPr>
                <w:spacing w:val="-3"/>
                <w:sz w:val="20"/>
              </w:rPr>
              <w:t> </w:t>
            </w:r>
            <w:r>
              <w:rPr>
                <w:sz w:val="20"/>
              </w:rPr>
              <w:t>data.</w:t>
            </w:r>
          </w:p>
        </w:tc>
        <w:tc>
          <w:tcPr>
            <w:tcW w:w="1458" w:type="dxa"/>
          </w:tcPr>
          <w:p>
            <w:pPr>
              <w:pStyle w:val="TableParagraph"/>
              <w:spacing w:before="114"/>
              <w:ind w:left="120"/>
              <w:rPr>
                <w:sz w:val="20"/>
              </w:rPr>
            </w:pPr>
            <w:r>
              <w:rPr>
                <w:sz w:val="20"/>
              </w:rPr>
              <w:t>PR.DS</w:t>
            </w:r>
          </w:p>
        </w:tc>
      </w:tr>
      <w:tr>
        <w:trPr>
          <w:trHeight w:val="1270" w:hRule="atLeast"/>
        </w:trPr>
        <w:tc>
          <w:tcPr>
            <w:tcW w:w="1513" w:type="dxa"/>
            <w:shd w:val="clear" w:color="auto" w:fill="E7EAF3"/>
          </w:tcPr>
          <w:p>
            <w:pPr>
              <w:pStyle w:val="TableParagraph"/>
              <w:ind w:right="452"/>
              <w:rPr>
                <w:b/>
                <w:sz w:val="20"/>
              </w:rPr>
            </w:pPr>
            <w:r>
              <w:rPr>
                <w:b/>
                <w:sz w:val="20"/>
              </w:rPr>
              <w:t>Domain</w:t>
            </w:r>
            <w:r>
              <w:rPr>
                <w:b/>
                <w:spacing w:val="1"/>
                <w:sz w:val="20"/>
              </w:rPr>
              <w:t> </w:t>
            </w:r>
            <w:r>
              <w:rPr>
                <w:b/>
                <w:sz w:val="20"/>
              </w:rPr>
              <w:t>Resolution</w:t>
            </w:r>
            <w:r>
              <w:rPr>
                <w:b/>
                <w:spacing w:val="-47"/>
                <w:sz w:val="20"/>
              </w:rPr>
              <w:t> </w:t>
            </w:r>
            <w:r>
              <w:rPr>
                <w:b/>
                <w:sz w:val="20"/>
              </w:rPr>
              <w:t>Filtering</w:t>
            </w:r>
          </w:p>
        </w:tc>
        <w:tc>
          <w:tcPr>
            <w:tcW w:w="1883" w:type="dxa"/>
            <w:shd w:val="clear" w:color="auto" w:fill="E7EAF3"/>
          </w:tcPr>
          <w:p>
            <w:pPr>
              <w:pStyle w:val="TableParagraph"/>
              <w:ind w:left="88" w:right="96"/>
              <w:jc w:val="center"/>
              <w:rPr>
                <w:sz w:val="20"/>
              </w:rPr>
            </w:pPr>
            <w:r>
              <w:rPr>
                <w:sz w:val="20"/>
              </w:rPr>
              <w:t>3.PEP.WE.DRESF</w:t>
            </w:r>
          </w:p>
        </w:tc>
        <w:tc>
          <w:tcPr>
            <w:tcW w:w="4518" w:type="dxa"/>
            <w:shd w:val="clear" w:color="auto" w:fill="E7EAF3"/>
          </w:tcPr>
          <w:p>
            <w:pPr>
              <w:pStyle w:val="TableParagraph"/>
              <w:ind w:left="116" w:right="216"/>
              <w:rPr>
                <w:sz w:val="20"/>
              </w:rPr>
            </w:pPr>
            <w:r>
              <w:rPr>
                <w:sz w:val="20"/>
              </w:rPr>
              <w:t>Domain resolution filtering prevents entities from</w:t>
            </w:r>
            <w:r>
              <w:rPr>
                <w:spacing w:val="1"/>
                <w:sz w:val="20"/>
              </w:rPr>
              <w:t> </w:t>
            </w:r>
            <w:r>
              <w:rPr>
                <w:sz w:val="20"/>
              </w:rPr>
              <w:t>using the DNS-over- Hypertext Transfer Protocol</w:t>
            </w:r>
            <w:r>
              <w:rPr>
                <w:spacing w:val="1"/>
                <w:sz w:val="20"/>
              </w:rPr>
              <w:t> </w:t>
            </w:r>
            <w:r>
              <w:rPr>
                <w:sz w:val="20"/>
              </w:rPr>
              <w:t>Secure (HTTPS), or DoH, domain resolution</w:t>
            </w:r>
            <w:r>
              <w:rPr>
                <w:spacing w:val="1"/>
                <w:sz w:val="20"/>
              </w:rPr>
              <w:t> </w:t>
            </w:r>
            <w:r>
              <w:rPr>
                <w:sz w:val="20"/>
              </w:rPr>
              <w:t>protocol,</w:t>
            </w:r>
            <w:r>
              <w:rPr>
                <w:spacing w:val="-6"/>
                <w:sz w:val="20"/>
              </w:rPr>
              <w:t> </w:t>
            </w:r>
            <w:r>
              <w:rPr>
                <w:sz w:val="20"/>
              </w:rPr>
              <w:t>possibly</w:t>
            </w:r>
            <w:r>
              <w:rPr>
                <w:spacing w:val="-3"/>
                <w:sz w:val="20"/>
              </w:rPr>
              <w:t> </w:t>
            </w:r>
            <w:r>
              <w:rPr>
                <w:sz w:val="20"/>
              </w:rPr>
              <w:t>evading</w:t>
            </w:r>
            <w:r>
              <w:rPr>
                <w:spacing w:val="-5"/>
                <w:sz w:val="20"/>
              </w:rPr>
              <w:t> </w:t>
            </w:r>
            <w:r>
              <w:rPr>
                <w:sz w:val="20"/>
              </w:rPr>
              <w:t>DNS-based</w:t>
            </w:r>
            <w:r>
              <w:rPr>
                <w:spacing w:val="-6"/>
                <w:sz w:val="20"/>
              </w:rPr>
              <w:t> </w:t>
            </w:r>
            <w:r>
              <w:rPr>
                <w:sz w:val="20"/>
              </w:rPr>
              <w:t>protections.</w:t>
            </w:r>
          </w:p>
        </w:tc>
        <w:tc>
          <w:tcPr>
            <w:tcW w:w="1458" w:type="dxa"/>
            <w:shd w:val="clear" w:color="auto" w:fill="E7EAF3"/>
          </w:tcPr>
          <w:p>
            <w:pPr>
              <w:pStyle w:val="TableParagraph"/>
              <w:ind w:left="120" w:right="690"/>
              <w:rPr>
                <w:sz w:val="20"/>
              </w:rPr>
            </w:pPr>
            <w:r>
              <w:rPr>
                <w:sz w:val="20"/>
              </w:rPr>
              <w:t>PR.PT,</w:t>
            </w:r>
            <w:r>
              <w:rPr>
                <w:spacing w:val="1"/>
                <w:sz w:val="20"/>
              </w:rPr>
              <w:t> </w:t>
            </w:r>
            <w:r>
              <w:rPr>
                <w:sz w:val="20"/>
              </w:rPr>
              <w:t>DE.CM</w:t>
            </w:r>
          </w:p>
        </w:tc>
      </w:tr>
      <w:tr>
        <w:trPr>
          <w:trHeight w:val="1269" w:hRule="atLeast"/>
        </w:trPr>
        <w:tc>
          <w:tcPr>
            <w:tcW w:w="1513" w:type="dxa"/>
          </w:tcPr>
          <w:p>
            <w:pPr>
              <w:pStyle w:val="TableParagraph"/>
              <w:spacing w:before="114"/>
              <w:ind w:right="253"/>
              <w:rPr>
                <w:b/>
                <w:sz w:val="20"/>
              </w:rPr>
            </w:pPr>
            <w:r>
              <w:rPr>
                <w:b/>
                <w:sz w:val="20"/>
              </w:rPr>
              <w:t>Protocol</w:t>
            </w:r>
            <w:r>
              <w:rPr>
                <w:b/>
                <w:spacing w:val="1"/>
                <w:sz w:val="20"/>
              </w:rPr>
              <w:t> </w:t>
            </w:r>
            <w:r>
              <w:rPr>
                <w:b/>
                <w:sz w:val="20"/>
              </w:rPr>
              <w:t>Compliance</w:t>
            </w:r>
            <w:r>
              <w:rPr>
                <w:b/>
                <w:spacing w:val="1"/>
                <w:sz w:val="20"/>
              </w:rPr>
              <w:t> </w:t>
            </w:r>
            <w:r>
              <w:rPr>
                <w:b/>
                <w:sz w:val="20"/>
              </w:rPr>
              <w:t>Enforcement</w:t>
            </w:r>
          </w:p>
        </w:tc>
        <w:tc>
          <w:tcPr>
            <w:tcW w:w="1883" w:type="dxa"/>
          </w:tcPr>
          <w:p>
            <w:pPr>
              <w:pStyle w:val="TableParagraph"/>
              <w:ind w:left="88" w:right="96"/>
              <w:jc w:val="center"/>
              <w:rPr>
                <w:sz w:val="20"/>
              </w:rPr>
            </w:pPr>
            <w:r>
              <w:rPr>
                <w:sz w:val="20"/>
              </w:rPr>
              <w:t>3.PEP.WE.PCENF</w:t>
            </w:r>
          </w:p>
        </w:tc>
        <w:tc>
          <w:tcPr>
            <w:tcW w:w="4518" w:type="dxa"/>
          </w:tcPr>
          <w:p>
            <w:pPr>
              <w:pStyle w:val="TableParagraph"/>
              <w:spacing w:before="114"/>
              <w:ind w:left="116" w:right="122"/>
              <w:rPr>
                <w:sz w:val="20"/>
              </w:rPr>
            </w:pPr>
            <w:r>
              <w:rPr>
                <w:sz w:val="20"/>
              </w:rPr>
              <w:t>Protocol compliance enforcement technologies</w:t>
            </w:r>
            <w:r>
              <w:rPr>
                <w:spacing w:val="1"/>
                <w:sz w:val="20"/>
              </w:rPr>
              <w:t> </w:t>
            </w:r>
            <w:r>
              <w:rPr>
                <w:sz w:val="20"/>
              </w:rPr>
              <w:t>ensure that traffic complies with protocol definitions,</w:t>
            </w:r>
            <w:r>
              <w:rPr>
                <w:spacing w:val="-47"/>
                <w:sz w:val="20"/>
              </w:rPr>
              <w:t> </w:t>
            </w:r>
            <w:r>
              <w:rPr>
                <w:sz w:val="20"/>
              </w:rPr>
              <w:t>documented by the Internet Engineering Task Force</w:t>
            </w:r>
            <w:r>
              <w:rPr>
                <w:spacing w:val="1"/>
                <w:sz w:val="20"/>
              </w:rPr>
              <w:t> </w:t>
            </w:r>
            <w:r>
              <w:rPr>
                <w:sz w:val="20"/>
              </w:rPr>
              <w:t>(IETF)</w:t>
            </w:r>
            <w:r>
              <w:rPr>
                <w:spacing w:val="-32"/>
                <w:sz w:val="20"/>
              </w:rPr>
              <w:t> </w:t>
            </w:r>
            <w:hyperlink w:history="true" w:anchor="_bookmark21">
              <w:r>
                <w:rPr>
                  <w:sz w:val="20"/>
                  <w:vertAlign w:val="superscript"/>
                </w:rPr>
                <w:t>7</w:t>
              </w:r>
            </w:hyperlink>
            <w:r>
              <w:rPr>
                <w:sz w:val="20"/>
                <w:vertAlign w:val="baseline"/>
              </w:rPr>
              <w:t>.</w:t>
            </w:r>
          </w:p>
        </w:tc>
        <w:tc>
          <w:tcPr>
            <w:tcW w:w="1458" w:type="dxa"/>
          </w:tcPr>
          <w:p>
            <w:pPr>
              <w:pStyle w:val="TableParagraph"/>
              <w:spacing w:before="114"/>
              <w:ind w:left="120"/>
              <w:rPr>
                <w:sz w:val="20"/>
              </w:rPr>
            </w:pPr>
            <w:r>
              <w:rPr>
                <w:sz w:val="20"/>
              </w:rPr>
              <w:t>PR.PT</w:t>
            </w:r>
          </w:p>
        </w:tc>
      </w:tr>
      <w:tr>
        <w:trPr>
          <w:trHeight w:val="1040" w:hRule="atLeast"/>
        </w:trPr>
        <w:tc>
          <w:tcPr>
            <w:tcW w:w="1513" w:type="dxa"/>
            <w:shd w:val="clear" w:color="auto" w:fill="E7EAF3"/>
          </w:tcPr>
          <w:p>
            <w:pPr>
              <w:pStyle w:val="TableParagraph"/>
              <w:spacing w:before="114"/>
              <w:ind w:right="575"/>
              <w:rPr>
                <w:b/>
                <w:sz w:val="20"/>
              </w:rPr>
            </w:pPr>
            <w:r>
              <w:rPr>
                <w:b/>
                <w:sz w:val="20"/>
              </w:rPr>
              <w:t>Domain</w:t>
            </w:r>
            <w:r>
              <w:rPr>
                <w:b/>
                <w:spacing w:val="1"/>
                <w:sz w:val="20"/>
              </w:rPr>
              <w:t> </w:t>
            </w:r>
            <w:r>
              <w:rPr>
                <w:b/>
                <w:sz w:val="20"/>
              </w:rPr>
              <w:t>Category</w:t>
            </w:r>
            <w:r>
              <w:rPr>
                <w:b/>
                <w:spacing w:val="-47"/>
                <w:sz w:val="20"/>
              </w:rPr>
              <w:t> </w:t>
            </w:r>
            <w:r>
              <w:rPr>
                <w:b/>
                <w:sz w:val="20"/>
              </w:rPr>
              <w:t>Filtering</w:t>
            </w:r>
          </w:p>
        </w:tc>
        <w:tc>
          <w:tcPr>
            <w:tcW w:w="1883" w:type="dxa"/>
            <w:shd w:val="clear" w:color="auto" w:fill="E7EAF3"/>
          </w:tcPr>
          <w:p>
            <w:pPr>
              <w:pStyle w:val="TableParagraph"/>
              <w:ind w:left="44" w:right="96"/>
              <w:jc w:val="center"/>
              <w:rPr>
                <w:sz w:val="20"/>
              </w:rPr>
            </w:pPr>
            <w:r>
              <w:rPr>
                <w:sz w:val="20"/>
              </w:rPr>
              <w:t>3.PEP.WE.DCFIL</w:t>
            </w:r>
          </w:p>
        </w:tc>
        <w:tc>
          <w:tcPr>
            <w:tcW w:w="4518" w:type="dxa"/>
            <w:shd w:val="clear" w:color="auto" w:fill="E7EAF3"/>
          </w:tcPr>
          <w:p>
            <w:pPr>
              <w:pStyle w:val="TableParagraph"/>
              <w:spacing w:before="114"/>
              <w:ind w:left="116" w:right="100"/>
              <w:rPr>
                <w:sz w:val="20"/>
              </w:rPr>
            </w:pPr>
            <w:r>
              <w:rPr>
                <w:sz w:val="20"/>
              </w:rPr>
              <w:t>Domain category filtering technologies allow for</w:t>
            </w:r>
            <w:r>
              <w:rPr>
                <w:spacing w:val="1"/>
                <w:sz w:val="20"/>
              </w:rPr>
              <w:t> </w:t>
            </w:r>
            <w:r>
              <w:rPr>
                <w:sz w:val="20"/>
              </w:rPr>
              <w:t>classes of domains (e.g., banking, medical) to receive</w:t>
            </w:r>
            <w:r>
              <w:rPr>
                <w:spacing w:val="-47"/>
                <w:sz w:val="20"/>
              </w:rPr>
              <w:t> </w:t>
            </w:r>
            <w:r>
              <w:rPr>
                <w:sz w:val="20"/>
              </w:rPr>
              <w:t>a</w:t>
            </w:r>
            <w:r>
              <w:rPr>
                <w:spacing w:val="-1"/>
                <w:sz w:val="20"/>
              </w:rPr>
              <w:t> </w:t>
            </w:r>
            <w:r>
              <w:rPr>
                <w:sz w:val="20"/>
              </w:rPr>
              <w:t>different</w:t>
            </w:r>
            <w:r>
              <w:rPr>
                <w:spacing w:val="-1"/>
                <w:sz w:val="20"/>
              </w:rPr>
              <w:t> </w:t>
            </w:r>
            <w:r>
              <w:rPr>
                <w:sz w:val="20"/>
              </w:rPr>
              <w:t>set</w:t>
            </w:r>
            <w:r>
              <w:rPr>
                <w:spacing w:val="-3"/>
                <w:sz w:val="20"/>
              </w:rPr>
              <w:t> </w:t>
            </w:r>
            <w:r>
              <w:rPr>
                <w:sz w:val="20"/>
              </w:rPr>
              <w:t>of</w:t>
            </w:r>
            <w:r>
              <w:rPr>
                <w:spacing w:val="-1"/>
                <w:sz w:val="20"/>
              </w:rPr>
              <w:t> </w:t>
            </w:r>
            <w:r>
              <w:rPr>
                <w:sz w:val="20"/>
              </w:rPr>
              <w:t>security</w:t>
            </w:r>
            <w:r>
              <w:rPr>
                <w:spacing w:val="-1"/>
                <w:sz w:val="20"/>
              </w:rPr>
              <w:t> </w:t>
            </w:r>
            <w:r>
              <w:rPr>
                <w:sz w:val="20"/>
              </w:rPr>
              <w:t>protections.</w:t>
            </w:r>
          </w:p>
        </w:tc>
        <w:tc>
          <w:tcPr>
            <w:tcW w:w="1458" w:type="dxa"/>
            <w:shd w:val="clear" w:color="auto" w:fill="E7EAF3"/>
          </w:tcPr>
          <w:p>
            <w:pPr>
              <w:pStyle w:val="TableParagraph"/>
              <w:spacing w:before="114"/>
              <w:ind w:left="120"/>
              <w:rPr>
                <w:sz w:val="20"/>
              </w:rPr>
            </w:pPr>
            <w:r>
              <w:rPr>
                <w:sz w:val="20"/>
              </w:rPr>
              <w:t>PR.AC,</w:t>
            </w:r>
            <w:r>
              <w:rPr>
                <w:spacing w:val="-2"/>
                <w:sz w:val="20"/>
              </w:rPr>
              <w:t> </w:t>
            </w:r>
            <w:r>
              <w:rPr>
                <w:sz w:val="20"/>
              </w:rPr>
              <w:t>PR.IP</w:t>
            </w:r>
          </w:p>
        </w:tc>
      </w:tr>
      <w:tr>
        <w:trPr>
          <w:trHeight w:val="1039" w:hRule="atLeast"/>
        </w:trPr>
        <w:tc>
          <w:tcPr>
            <w:tcW w:w="1513" w:type="dxa"/>
          </w:tcPr>
          <w:p>
            <w:pPr>
              <w:pStyle w:val="TableParagraph"/>
              <w:spacing w:before="114"/>
              <w:ind w:right="408"/>
              <w:rPr>
                <w:b/>
                <w:sz w:val="20"/>
              </w:rPr>
            </w:pPr>
            <w:r>
              <w:rPr>
                <w:b/>
                <w:sz w:val="20"/>
              </w:rPr>
              <w:t>Domain</w:t>
            </w:r>
            <w:r>
              <w:rPr>
                <w:b/>
                <w:spacing w:val="1"/>
                <w:sz w:val="20"/>
              </w:rPr>
              <w:t> </w:t>
            </w:r>
            <w:r>
              <w:rPr>
                <w:b/>
                <w:sz w:val="20"/>
              </w:rPr>
              <w:t>Reputation</w:t>
            </w:r>
            <w:r>
              <w:rPr>
                <w:b/>
                <w:spacing w:val="-47"/>
                <w:sz w:val="20"/>
              </w:rPr>
              <w:t> </w:t>
            </w:r>
            <w:r>
              <w:rPr>
                <w:b/>
                <w:sz w:val="20"/>
              </w:rPr>
              <w:t>Filtering</w:t>
            </w:r>
          </w:p>
        </w:tc>
        <w:tc>
          <w:tcPr>
            <w:tcW w:w="1883" w:type="dxa"/>
          </w:tcPr>
          <w:p>
            <w:pPr>
              <w:pStyle w:val="TableParagraph"/>
              <w:spacing w:before="114"/>
              <w:ind w:left="88" w:right="96"/>
              <w:jc w:val="center"/>
              <w:rPr>
                <w:sz w:val="20"/>
              </w:rPr>
            </w:pPr>
            <w:r>
              <w:rPr>
                <w:sz w:val="20"/>
              </w:rPr>
              <w:t>3.PEP.WE.DREPF</w:t>
            </w:r>
          </w:p>
        </w:tc>
        <w:tc>
          <w:tcPr>
            <w:tcW w:w="4518" w:type="dxa"/>
          </w:tcPr>
          <w:p>
            <w:pPr>
              <w:pStyle w:val="TableParagraph"/>
              <w:spacing w:before="114"/>
              <w:ind w:left="116" w:right="155"/>
              <w:rPr>
                <w:sz w:val="20"/>
              </w:rPr>
            </w:pPr>
            <w:r>
              <w:rPr>
                <w:sz w:val="20"/>
              </w:rPr>
              <w:t>Domain reputation filtering protections are a form of</w:t>
            </w:r>
            <w:r>
              <w:rPr>
                <w:spacing w:val="-48"/>
                <w:sz w:val="20"/>
              </w:rPr>
              <w:t> </w:t>
            </w:r>
            <w:r>
              <w:rPr>
                <w:sz w:val="20"/>
              </w:rPr>
              <w:t>domain denylisting based on a domain’s reputation,</w:t>
            </w:r>
            <w:r>
              <w:rPr>
                <w:spacing w:val="1"/>
                <w:sz w:val="20"/>
              </w:rPr>
              <w:t> </w:t>
            </w:r>
            <w:r>
              <w:rPr>
                <w:sz w:val="20"/>
              </w:rPr>
              <w:t>as</w:t>
            </w:r>
            <w:r>
              <w:rPr>
                <w:spacing w:val="-2"/>
                <w:sz w:val="20"/>
              </w:rPr>
              <w:t> </w:t>
            </w:r>
            <w:r>
              <w:rPr>
                <w:sz w:val="20"/>
              </w:rPr>
              <w:t>defined</w:t>
            </w:r>
            <w:r>
              <w:rPr>
                <w:spacing w:val="-3"/>
                <w:sz w:val="20"/>
              </w:rPr>
              <w:t> </w:t>
            </w:r>
            <w:r>
              <w:rPr>
                <w:sz w:val="20"/>
              </w:rPr>
              <w:t>by</w:t>
            </w:r>
            <w:r>
              <w:rPr>
                <w:spacing w:val="-3"/>
                <w:sz w:val="20"/>
              </w:rPr>
              <w:t> </w:t>
            </w:r>
            <w:r>
              <w:rPr>
                <w:sz w:val="20"/>
              </w:rPr>
              <w:t>either</w:t>
            </w:r>
            <w:r>
              <w:rPr>
                <w:spacing w:val="-2"/>
                <w:sz w:val="20"/>
              </w:rPr>
              <w:t> </w:t>
            </w:r>
            <w:r>
              <w:rPr>
                <w:sz w:val="20"/>
              </w:rPr>
              <w:t>the</w:t>
            </w:r>
            <w:r>
              <w:rPr>
                <w:spacing w:val="-3"/>
                <w:sz w:val="20"/>
              </w:rPr>
              <w:t> </w:t>
            </w:r>
            <w:r>
              <w:rPr>
                <w:sz w:val="20"/>
              </w:rPr>
              <w:t>agency</w:t>
            </w:r>
            <w:r>
              <w:rPr>
                <w:spacing w:val="-3"/>
                <w:sz w:val="20"/>
              </w:rPr>
              <w:t> </w:t>
            </w:r>
            <w:r>
              <w:rPr>
                <w:sz w:val="20"/>
              </w:rPr>
              <w:t>or</w:t>
            </w:r>
            <w:r>
              <w:rPr>
                <w:spacing w:val="-3"/>
                <w:sz w:val="20"/>
              </w:rPr>
              <w:t> </w:t>
            </w:r>
            <w:r>
              <w:rPr>
                <w:sz w:val="20"/>
              </w:rPr>
              <w:t>an</w:t>
            </w:r>
            <w:r>
              <w:rPr>
                <w:spacing w:val="-3"/>
                <w:sz w:val="20"/>
              </w:rPr>
              <w:t> </w:t>
            </w:r>
            <w:r>
              <w:rPr>
                <w:sz w:val="20"/>
              </w:rPr>
              <w:t>external</w:t>
            </w:r>
            <w:r>
              <w:rPr>
                <w:spacing w:val="-3"/>
                <w:sz w:val="20"/>
              </w:rPr>
              <w:t> </w:t>
            </w:r>
            <w:r>
              <w:rPr>
                <w:sz w:val="20"/>
              </w:rPr>
              <w:t>entity.</w:t>
            </w:r>
          </w:p>
        </w:tc>
        <w:tc>
          <w:tcPr>
            <w:tcW w:w="1458" w:type="dxa"/>
          </w:tcPr>
          <w:p>
            <w:pPr>
              <w:pStyle w:val="TableParagraph"/>
              <w:spacing w:before="114"/>
              <w:ind w:left="120"/>
              <w:rPr>
                <w:sz w:val="20"/>
              </w:rPr>
            </w:pPr>
            <w:r>
              <w:rPr>
                <w:sz w:val="20"/>
              </w:rPr>
              <w:t>PR.PT</w:t>
            </w:r>
          </w:p>
        </w:tc>
      </w:tr>
      <w:tr>
        <w:trPr>
          <w:trHeight w:val="1040" w:hRule="atLeast"/>
        </w:trPr>
        <w:tc>
          <w:tcPr>
            <w:tcW w:w="1513" w:type="dxa"/>
            <w:shd w:val="clear" w:color="auto" w:fill="E7EAF3"/>
          </w:tcPr>
          <w:p>
            <w:pPr>
              <w:pStyle w:val="TableParagraph"/>
              <w:ind w:right="419"/>
              <w:rPr>
                <w:b/>
                <w:sz w:val="20"/>
              </w:rPr>
            </w:pPr>
            <w:r>
              <w:rPr>
                <w:b/>
                <w:sz w:val="20"/>
              </w:rPr>
              <w:t>Bandwidth</w:t>
            </w:r>
            <w:r>
              <w:rPr>
                <w:b/>
                <w:spacing w:val="-47"/>
                <w:sz w:val="20"/>
              </w:rPr>
              <w:t> </w:t>
            </w:r>
            <w:r>
              <w:rPr>
                <w:b/>
                <w:sz w:val="20"/>
              </w:rPr>
              <w:t>Control</w:t>
            </w:r>
          </w:p>
        </w:tc>
        <w:tc>
          <w:tcPr>
            <w:tcW w:w="1883" w:type="dxa"/>
            <w:shd w:val="clear" w:color="auto" w:fill="E7EAF3"/>
          </w:tcPr>
          <w:p>
            <w:pPr>
              <w:pStyle w:val="TableParagraph"/>
              <w:ind w:left="142" w:right="96"/>
              <w:jc w:val="center"/>
              <w:rPr>
                <w:sz w:val="20"/>
              </w:rPr>
            </w:pPr>
            <w:r>
              <w:rPr>
                <w:sz w:val="20"/>
              </w:rPr>
              <w:t>3.PEP.WE.BCONT</w:t>
            </w:r>
          </w:p>
        </w:tc>
        <w:tc>
          <w:tcPr>
            <w:tcW w:w="4518" w:type="dxa"/>
            <w:shd w:val="clear" w:color="auto" w:fill="E7EAF3"/>
          </w:tcPr>
          <w:p>
            <w:pPr>
              <w:pStyle w:val="TableParagraph"/>
              <w:ind w:left="116" w:right="149"/>
              <w:rPr>
                <w:sz w:val="20"/>
              </w:rPr>
            </w:pPr>
            <w:r>
              <w:rPr>
                <w:sz w:val="20"/>
              </w:rPr>
              <w:t>Bandwidth control technologies allow for limiting</w:t>
            </w:r>
            <w:r>
              <w:rPr>
                <w:spacing w:val="1"/>
                <w:sz w:val="20"/>
              </w:rPr>
              <w:t> </w:t>
            </w:r>
            <w:r>
              <w:rPr>
                <w:sz w:val="20"/>
              </w:rPr>
              <w:t>the amount of bandwidth used by different classes of</w:t>
            </w:r>
            <w:r>
              <w:rPr>
                <w:spacing w:val="-48"/>
                <w:sz w:val="20"/>
              </w:rPr>
              <w:t> </w:t>
            </w:r>
            <w:r>
              <w:rPr>
                <w:sz w:val="20"/>
              </w:rPr>
              <w:t>domains.</w:t>
            </w:r>
          </w:p>
        </w:tc>
        <w:tc>
          <w:tcPr>
            <w:tcW w:w="1458" w:type="dxa"/>
            <w:shd w:val="clear" w:color="auto" w:fill="E7EAF3"/>
          </w:tcPr>
          <w:p>
            <w:pPr>
              <w:pStyle w:val="TableParagraph"/>
              <w:ind w:left="120"/>
              <w:rPr>
                <w:sz w:val="20"/>
              </w:rPr>
            </w:pPr>
            <w:r>
              <w:rPr>
                <w:sz w:val="20"/>
              </w:rPr>
              <w:t>PR.PT</w:t>
            </w:r>
          </w:p>
        </w:tc>
      </w:tr>
      <w:tr>
        <w:trPr>
          <w:trHeight w:val="1040" w:hRule="atLeast"/>
        </w:trPr>
        <w:tc>
          <w:tcPr>
            <w:tcW w:w="1513" w:type="dxa"/>
            <w:tcBorders>
              <w:bottom w:val="single" w:sz="4" w:space="0" w:color="0057B5"/>
            </w:tcBorders>
          </w:tcPr>
          <w:p>
            <w:pPr>
              <w:pStyle w:val="TableParagraph"/>
              <w:spacing w:before="114"/>
              <w:ind w:right="530"/>
              <w:rPr>
                <w:b/>
                <w:sz w:val="20"/>
              </w:rPr>
            </w:pPr>
            <w:r>
              <w:rPr>
                <w:b/>
                <w:sz w:val="20"/>
              </w:rPr>
              <w:t>Malicious</w:t>
            </w:r>
            <w:r>
              <w:rPr>
                <w:b/>
                <w:spacing w:val="-47"/>
                <w:sz w:val="20"/>
              </w:rPr>
              <w:t> </w:t>
            </w:r>
            <w:r>
              <w:rPr>
                <w:b/>
                <w:sz w:val="20"/>
              </w:rPr>
              <w:t>Content</w:t>
            </w:r>
            <w:r>
              <w:rPr>
                <w:b/>
                <w:spacing w:val="1"/>
                <w:sz w:val="20"/>
              </w:rPr>
              <w:t> </w:t>
            </w:r>
            <w:r>
              <w:rPr>
                <w:b/>
                <w:sz w:val="20"/>
              </w:rPr>
              <w:t>Filtering</w:t>
            </w:r>
          </w:p>
        </w:tc>
        <w:tc>
          <w:tcPr>
            <w:tcW w:w="1883" w:type="dxa"/>
            <w:tcBorders>
              <w:bottom w:val="single" w:sz="4" w:space="0" w:color="0057B5"/>
            </w:tcBorders>
          </w:tcPr>
          <w:p>
            <w:pPr>
              <w:pStyle w:val="TableParagraph"/>
              <w:ind w:left="77" w:right="96"/>
              <w:jc w:val="center"/>
              <w:rPr>
                <w:sz w:val="20"/>
              </w:rPr>
            </w:pPr>
            <w:r>
              <w:rPr>
                <w:sz w:val="20"/>
              </w:rPr>
              <w:t>3.PEP.WE.MCFIL</w:t>
            </w:r>
          </w:p>
        </w:tc>
        <w:tc>
          <w:tcPr>
            <w:tcW w:w="4518" w:type="dxa"/>
            <w:tcBorders>
              <w:bottom w:val="single" w:sz="4" w:space="0" w:color="0057B5"/>
            </w:tcBorders>
          </w:tcPr>
          <w:p>
            <w:pPr>
              <w:pStyle w:val="TableParagraph"/>
              <w:spacing w:before="114"/>
              <w:ind w:left="116" w:right="488"/>
              <w:rPr>
                <w:sz w:val="20"/>
              </w:rPr>
            </w:pPr>
            <w:r>
              <w:rPr>
                <w:sz w:val="20"/>
              </w:rPr>
              <w:t>Malicious content filtering protections detect the</w:t>
            </w:r>
            <w:r>
              <w:rPr>
                <w:spacing w:val="-47"/>
                <w:sz w:val="20"/>
              </w:rPr>
              <w:t> </w:t>
            </w:r>
            <w:r>
              <w:rPr>
                <w:sz w:val="20"/>
              </w:rPr>
              <w:t>presence of malicious content and facilitate its</w:t>
            </w:r>
            <w:r>
              <w:rPr>
                <w:spacing w:val="1"/>
                <w:sz w:val="20"/>
              </w:rPr>
              <w:t> </w:t>
            </w:r>
            <w:r>
              <w:rPr>
                <w:sz w:val="20"/>
              </w:rPr>
              <w:t>removal.</w:t>
            </w:r>
          </w:p>
        </w:tc>
        <w:tc>
          <w:tcPr>
            <w:tcW w:w="1458" w:type="dxa"/>
            <w:tcBorders>
              <w:bottom w:val="single" w:sz="4" w:space="0" w:color="0057B5"/>
            </w:tcBorders>
          </w:tcPr>
          <w:p>
            <w:pPr>
              <w:pStyle w:val="TableParagraph"/>
              <w:spacing w:before="114"/>
              <w:ind w:left="120"/>
              <w:rPr>
                <w:sz w:val="20"/>
              </w:rPr>
            </w:pPr>
            <w:r>
              <w:rPr>
                <w:sz w:val="20"/>
              </w:rPr>
              <w:t>PR.DS,</w:t>
            </w:r>
          </w:p>
          <w:p>
            <w:pPr>
              <w:pStyle w:val="TableParagraph"/>
              <w:spacing w:before="1"/>
              <w:ind w:left="120" w:right="690"/>
              <w:rPr>
                <w:sz w:val="20"/>
              </w:rPr>
            </w:pPr>
            <w:r>
              <w:rPr>
                <w:sz w:val="20"/>
              </w:rPr>
              <w:t>PR.PT,</w:t>
            </w:r>
            <w:r>
              <w:rPr>
                <w:spacing w:val="1"/>
                <w:sz w:val="20"/>
              </w:rPr>
              <w:t> </w:t>
            </w:r>
            <w:r>
              <w:rPr>
                <w:sz w:val="20"/>
              </w:rPr>
              <w:t>DE.CM</w:t>
            </w:r>
          </w:p>
        </w:tc>
      </w:tr>
    </w:tbl>
    <w:p>
      <w:pPr>
        <w:pStyle w:val="BodyText"/>
        <w:rPr>
          <w:sz w:val="20"/>
        </w:rPr>
      </w:pPr>
    </w:p>
    <w:p>
      <w:pPr>
        <w:pStyle w:val="BodyText"/>
        <w:rPr>
          <w:sz w:val="20"/>
        </w:rPr>
      </w:pPr>
    </w:p>
    <w:p>
      <w:pPr>
        <w:pStyle w:val="BodyText"/>
        <w:rPr>
          <w:sz w:val="20"/>
        </w:rPr>
      </w:pPr>
    </w:p>
    <w:p>
      <w:pPr>
        <w:pStyle w:val="BodyText"/>
        <w:spacing w:before="2"/>
        <w:rPr>
          <w:sz w:val="25"/>
        </w:rPr>
      </w:pPr>
      <w:r>
        <w:rPr/>
        <w:pict>
          <v:rect style="position:absolute;margin-left:72pt;margin-top:15.71293pt;width:144pt;height:.54pt;mso-position-horizontal-relative:page;mso-position-vertical-relative:paragraph;z-index:-15724032;mso-wrap-distance-left:0;mso-wrap-distance-right:0" id="docshape30" filled="true" fillcolor="#000000" stroked="false">
            <v:fill type="solid"/>
            <w10:wrap type="topAndBottom"/>
          </v:rect>
        </w:pict>
      </w:r>
    </w:p>
    <w:p>
      <w:pPr>
        <w:spacing w:before="94"/>
        <w:ind w:left="120" w:right="0" w:firstLine="0"/>
        <w:jc w:val="left"/>
        <w:rPr>
          <w:sz w:val="20"/>
        </w:rPr>
      </w:pPr>
      <w:bookmarkStart w:name="_bookmark21" w:id="36"/>
      <w:bookmarkEnd w:id="36"/>
      <w:r>
        <w:rPr/>
      </w:r>
      <w:r>
        <w:rPr>
          <w:sz w:val="20"/>
          <w:vertAlign w:val="superscript"/>
        </w:rPr>
        <w:t>7</w:t>
      </w:r>
      <w:r>
        <w:rPr>
          <w:spacing w:val="-6"/>
          <w:sz w:val="20"/>
          <w:vertAlign w:val="baseline"/>
        </w:rPr>
        <w:t> </w:t>
      </w:r>
      <w:r>
        <w:rPr>
          <w:sz w:val="20"/>
          <w:vertAlign w:val="baseline"/>
        </w:rPr>
        <w:t>“RFCs,”</w:t>
      </w:r>
      <w:r>
        <w:rPr>
          <w:spacing w:val="-6"/>
          <w:sz w:val="20"/>
          <w:vertAlign w:val="baseline"/>
        </w:rPr>
        <w:t> </w:t>
      </w:r>
      <w:r>
        <w:rPr>
          <w:sz w:val="20"/>
          <w:vertAlign w:val="baseline"/>
        </w:rPr>
        <w:t>Internet</w:t>
      </w:r>
      <w:r>
        <w:rPr>
          <w:spacing w:val="-6"/>
          <w:sz w:val="20"/>
          <w:vertAlign w:val="baseline"/>
        </w:rPr>
        <w:t> </w:t>
      </w:r>
      <w:r>
        <w:rPr>
          <w:sz w:val="20"/>
          <w:vertAlign w:val="baseline"/>
        </w:rPr>
        <w:t>Engineering</w:t>
      </w:r>
      <w:r>
        <w:rPr>
          <w:spacing w:val="-4"/>
          <w:sz w:val="20"/>
          <w:vertAlign w:val="baseline"/>
        </w:rPr>
        <w:t> </w:t>
      </w:r>
      <w:r>
        <w:rPr>
          <w:sz w:val="20"/>
          <w:vertAlign w:val="baseline"/>
        </w:rPr>
        <w:t>Task</w:t>
      </w:r>
      <w:r>
        <w:rPr>
          <w:spacing w:val="-6"/>
          <w:sz w:val="20"/>
          <w:vertAlign w:val="baseline"/>
        </w:rPr>
        <w:t> </w:t>
      </w:r>
      <w:r>
        <w:rPr>
          <w:sz w:val="20"/>
          <w:vertAlign w:val="baseline"/>
        </w:rPr>
        <w:t>Force</w:t>
      </w:r>
      <w:r>
        <w:rPr>
          <w:spacing w:val="-6"/>
          <w:sz w:val="20"/>
          <w:vertAlign w:val="baseline"/>
        </w:rPr>
        <w:t> </w:t>
      </w:r>
      <w:r>
        <w:rPr>
          <w:sz w:val="20"/>
          <w:vertAlign w:val="baseline"/>
        </w:rPr>
        <w:t>(2021).</w:t>
      </w:r>
      <w:r>
        <w:rPr>
          <w:spacing w:val="-6"/>
          <w:sz w:val="20"/>
          <w:vertAlign w:val="baseline"/>
        </w:rPr>
        <w:t> </w:t>
      </w:r>
      <w:r>
        <w:rPr>
          <w:sz w:val="20"/>
          <w:vertAlign w:val="baseline"/>
        </w:rPr>
        <w:t>https://</w:t>
      </w:r>
      <w:hyperlink r:id="rId26">
        <w:r>
          <w:rPr>
            <w:sz w:val="20"/>
            <w:vertAlign w:val="baseline"/>
          </w:rPr>
          <w:t>www.ietf.org/standards/rfcs/</w:t>
        </w:r>
      </w:hyperlink>
    </w:p>
    <w:p>
      <w:pPr>
        <w:spacing w:after="0"/>
        <w:jc w:val="left"/>
        <w:rPr>
          <w:sz w:val="20"/>
        </w:rPr>
        <w:sectPr>
          <w:headerReference w:type="default" r:id="rId24"/>
          <w:footerReference w:type="default" r:id="rId25"/>
          <w:pgSz w:w="12240" w:h="15840"/>
          <w:pgMar w:header="730" w:footer="764" w:top="960" w:bottom="960" w:left="1320" w:right="1080"/>
        </w:sectPr>
      </w:pPr>
    </w:p>
    <w:p>
      <w:pPr>
        <w:pStyle w:val="BodyText"/>
        <w:rPr>
          <w:sz w:val="20"/>
        </w:rPr>
      </w:pPr>
    </w:p>
    <w:p>
      <w:pPr>
        <w:pStyle w:val="BodyText"/>
        <w:spacing w:before="7"/>
        <w:rPr>
          <w:sz w:val="20"/>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49"/>
        <w:gridCol w:w="1848"/>
        <w:gridCol w:w="4277"/>
        <w:gridCol w:w="1702"/>
      </w:tblGrid>
      <w:tr>
        <w:trPr>
          <w:trHeight w:val="856" w:hRule="atLeast"/>
        </w:trPr>
        <w:tc>
          <w:tcPr>
            <w:tcW w:w="1549" w:type="dxa"/>
            <w:tcBorders>
              <w:top w:val="single" w:sz="4" w:space="0" w:color="0057B5"/>
              <w:bottom w:val="single" w:sz="4" w:space="0" w:color="0057B5"/>
            </w:tcBorders>
          </w:tcPr>
          <w:p>
            <w:pPr>
              <w:pStyle w:val="TableParagraph"/>
              <w:spacing w:before="0"/>
              <w:ind w:left="0"/>
              <w:rPr>
                <w:sz w:val="21"/>
              </w:rPr>
            </w:pPr>
          </w:p>
          <w:p>
            <w:pPr>
              <w:pStyle w:val="TableParagraph"/>
              <w:spacing w:before="0"/>
              <w:rPr>
                <w:b/>
                <w:sz w:val="22"/>
              </w:rPr>
            </w:pPr>
            <w:r>
              <w:rPr>
                <w:b/>
                <w:sz w:val="22"/>
              </w:rPr>
              <w:t>Capability</w:t>
            </w:r>
          </w:p>
        </w:tc>
        <w:tc>
          <w:tcPr>
            <w:tcW w:w="1848" w:type="dxa"/>
            <w:tcBorders>
              <w:top w:val="single" w:sz="4" w:space="0" w:color="0057B5"/>
              <w:bottom w:val="single" w:sz="4" w:space="0" w:color="0057B5"/>
            </w:tcBorders>
          </w:tcPr>
          <w:p>
            <w:pPr>
              <w:pStyle w:val="TableParagraph"/>
              <w:ind w:left="135" w:right="702"/>
              <w:rPr>
                <w:b/>
                <w:sz w:val="22"/>
              </w:rPr>
            </w:pPr>
            <w:r>
              <w:rPr>
                <w:b/>
                <w:sz w:val="22"/>
              </w:rPr>
              <w:t>Capability</w:t>
            </w:r>
            <w:r>
              <w:rPr>
                <w:b/>
                <w:spacing w:val="-52"/>
                <w:sz w:val="22"/>
              </w:rPr>
              <w:t> </w:t>
            </w:r>
            <w:r>
              <w:rPr>
                <w:b/>
                <w:sz w:val="22"/>
              </w:rPr>
              <w:t>Identifier</w:t>
            </w:r>
          </w:p>
        </w:tc>
        <w:tc>
          <w:tcPr>
            <w:tcW w:w="4277" w:type="dxa"/>
            <w:tcBorders>
              <w:top w:val="single" w:sz="4" w:space="0" w:color="0057B5"/>
              <w:bottom w:val="single" w:sz="4" w:space="0" w:color="0057B5"/>
            </w:tcBorders>
          </w:tcPr>
          <w:p>
            <w:pPr>
              <w:pStyle w:val="TableParagraph"/>
              <w:spacing w:before="0"/>
              <w:ind w:left="0"/>
              <w:rPr>
                <w:sz w:val="21"/>
              </w:rPr>
            </w:pPr>
          </w:p>
          <w:p>
            <w:pPr>
              <w:pStyle w:val="TableParagraph"/>
              <w:spacing w:before="0"/>
              <w:ind w:left="115"/>
              <w:rPr>
                <w:b/>
                <w:sz w:val="22"/>
              </w:rPr>
            </w:pPr>
            <w:r>
              <w:rPr>
                <w:b/>
                <w:sz w:val="22"/>
              </w:rPr>
              <w:t>Description</w:t>
            </w:r>
          </w:p>
        </w:tc>
        <w:tc>
          <w:tcPr>
            <w:tcW w:w="1702" w:type="dxa"/>
            <w:tcBorders>
              <w:top w:val="single" w:sz="4" w:space="0" w:color="0057B5"/>
              <w:bottom w:val="single" w:sz="4" w:space="0" w:color="0057B5"/>
            </w:tcBorders>
          </w:tcPr>
          <w:p>
            <w:pPr>
              <w:pStyle w:val="TableParagraph"/>
              <w:spacing w:before="175"/>
              <w:ind w:left="360"/>
              <w:rPr>
                <w:b/>
                <w:sz w:val="22"/>
              </w:rPr>
            </w:pPr>
            <w:r>
              <w:rPr>
                <w:b/>
                <w:sz w:val="22"/>
              </w:rPr>
              <w:t>NIST</w:t>
            </w:r>
            <w:r>
              <w:rPr>
                <w:b/>
                <w:spacing w:val="-3"/>
                <w:sz w:val="22"/>
              </w:rPr>
              <w:t> </w:t>
            </w:r>
            <w:r>
              <w:rPr>
                <w:b/>
                <w:sz w:val="22"/>
              </w:rPr>
              <w:t>CSF</w:t>
            </w:r>
          </w:p>
          <w:p>
            <w:pPr>
              <w:pStyle w:val="TableParagraph"/>
              <w:spacing w:before="0"/>
              <w:ind w:left="360"/>
              <w:rPr>
                <w:b/>
                <w:sz w:val="22"/>
              </w:rPr>
            </w:pPr>
            <w:r>
              <w:rPr>
                <w:b/>
                <w:sz w:val="22"/>
              </w:rPr>
              <w:t>Mapping</w:t>
            </w:r>
          </w:p>
        </w:tc>
      </w:tr>
      <w:tr>
        <w:trPr>
          <w:trHeight w:val="1030" w:hRule="atLeast"/>
        </w:trPr>
        <w:tc>
          <w:tcPr>
            <w:tcW w:w="1549" w:type="dxa"/>
            <w:tcBorders>
              <w:top w:val="single" w:sz="4" w:space="0" w:color="0057B5"/>
              <w:bottom w:val="single" w:sz="4" w:space="0" w:color="0057B5"/>
            </w:tcBorders>
            <w:shd w:val="clear" w:color="auto" w:fill="E7EAF3"/>
          </w:tcPr>
          <w:p>
            <w:pPr>
              <w:pStyle w:val="TableParagraph"/>
              <w:spacing w:before="104"/>
              <w:rPr>
                <w:b/>
                <w:sz w:val="20"/>
              </w:rPr>
            </w:pPr>
            <w:r>
              <w:rPr>
                <w:b/>
                <w:sz w:val="20"/>
              </w:rPr>
              <w:t>Access</w:t>
            </w:r>
            <w:r>
              <w:rPr>
                <w:b/>
                <w:spacing w:val="-3"/>
                <w:sz w:val="20"/>
              </w:rPr>
              <w:t> </w:t>
            </w:r>
            <w:r>
              <w:rPr>
                <w:b/>
                <w:sz w:val="20"/>
              </w:rPr>
              <w:t>Control</w:t>
            </w:r>
          </w:p>
        </w:tc>
        <w:tc>
          <w:tcPr>
            <w:tcW w:w="1848" w:type="dxa"/>
            <w:tcBorders>
              <w:top w:val="single" w:sz="4" w:space="0" w:color="0057B5"/>
              <w:bottom w:val="single" w:sz="4" w:space="0" w:color="0057B5"/>
            </w:tcBorders>
            <w:shd w:val="clear" w:color="auto" w:fill="E7EAF3"/>
          </w:tcPr>
          <w:p>
            <w:pPr>
              <w:pStyle w:val="TableParagraph"/>
              <w:spacing w:before="104"/>
              <w:ind w:left="135"/>
              <w:rPr>
                <w:sz w:val="20"/>
              </w:rPr>
            </w:pPr>
            <w:r>
              <w:rPr>
                <w:sz w:val="20"/>
              </w:rPr>
              <w:t>3.PEP.WE.ACONT</w:t>
            </w:r>
          </w:p>
        </w:tc>
        <w:tc>
          <w:tcPr>
            <w:tcW w:w="4277" w:type="dxa"/>
            <w:tcBorders>
              <w:top w:val="single" w:sz="4" w:space="0" w:color="0057B5"/>
              <w:bottom w:val="single" w:sz="4" w:space="0" w:color="0057B5"/>
            </w:tcBorders>
            <w:shd w:val="clear" w:color="auto" w:fill="E7EAF3"/>
          </w:tcPr>
          <w:p>
            <w:pPr>
              <w:pStyle w:val="TableParagraph"/>
              <w:spacing w:before="104"/>
              <w:ind w:left="115" w:right="343"/>
              <w:rPr>
                <w:sz w:val="20"/>
              </w:rPr>
            </w:pPr>
            <w:r>
              <w:rPr>
                <w:sz w:val="20"/>
              </w:rPr>
              <w:t>Access control technologies allow an agency to</w:t>
            </w:r>
            <w:r>
              <w:rPr>
                <w:spacing w:val="-47"/>
                <w:sz w:val="20"/>
              </w:rPr>
              <w:t> </w:t>
            </w:r>
            <w:r>
              <w:rPr>
                <w:sz w:val="20"/>
              </w:rPr>
              <w:t>define policies limiting what actions may be</w:t>
            </w:r>
            <w:r>
              <w:rPr>
                <w:spacing w:val="1"/>
                <w:sz w:val="20"/>
              </w:rPr>
              <w:t> </w:t>
            </w:r>
            <w:r>
              <w:rPr>
                <w:sz w:val="20"/>
              </w:rPr>
              <w:t>performed</w:t>
            </w:r>
            <w:r>
              <w:rPr>
                <w:spacing w:val="-3"/>
                <w:sz w:val="20"/>
              </w:rPr>
              <w:t> </w:t>
            </w:r>
            <w:r>
              <w:rPr>
                <w:sz w:val="20"/>
              </w:rPr>
              <w:t>by connected</w:t>
            </w:r>
            <w:r>
              <w:rPr>
                <w:spacing w:val="-3"/>
                <w:sz w:val="20"/>
              </w:rPr>
              <w:t> </w:t>
            </w:r>
            <w:r>
              <w:rPr>
                <w:sz w:val="20"/>
              </w:rPr>
              <w:t>users</w:t>
            </w:r>
            <w:r>
              <w:rPr>
                <w:spacing w:val="-2"/>
                <w:sz w:val="20"/>
              </w:rPr>
              <w:t> </w:t>
            </w:r>
            <w:r>
              <w:rPr>
                <w:sz w:val="20"/>
              </w:rPr>
              <w:t>and entities.</w:t>
            </w:r>
          </w:p>
        </w:tc>
        <w:tc>
          <w:tcPr>
            <w:tcW w:w="1702" w:type="dxa"/>
            <w:tcBorders>
              <w:top w:val="single" w:sz="4" w:space="0" w:color="0057B5"/>
              <w:bottom w:val="single" w:sz="4" w:space="0" w:color="0057B5"/>
            </w:tcBorders>
            <w:shd w:val="clear" w:color="auto" w:fill="E7EAF3"/>
          </w:tcPr>
          <w:p>
            <w:pPr>
              <w:pStyle w:val="TableParagraph"/>
              <w:spacing w:before="104"/>
              <w:ind w:left="360"/>
              <w:rPr>
                <w:sz w:val="20"/>
              </w:rPr>
            </w:pPr>
            <w:r>
              <w:rPr>
                <w:sz w:val="20"/>
              </w:rPr>
              <w:t>PR.AC</w:t>
            </w:r>
          </w:p>
        </w:tc>
      </w:tr>
    </w:tbl>
    <w:p>
      <w:pPr>
        <w:pStyle w:val="BodyText"/>
        <w:spacing w:before="3"/>
        <w:rPr>
          <w:sz w:val="25"/>
        </w:rPr>
      </w:pPr>
    </w:p>
    <w:p>
      <w:pPr>
        <w:spacing w:before="92"/>
        <w:ind w:left="120" w:right="0" w:firstLine="0"/>
        <w:jc w:val="left"/>
        <w:rPr>
          <w:i/>
          <w:sz w:val="18"/>
        </w:rPr>
      </w:pPr>
      <w:bookmarkStart w:name="_bookmark22" w:id="37"/>
      <w:bookmarkEnd w:id="37"/>
      <w:r>
        <w:rPr/>
      </w:r>
      <w:r>
        <w:rPr>
          <w:i/>
          <w:sz w:val="18"/>
        </w:rPr>
        <w:t>Table</w:t>
      </w:r>
      <w:r>
        <w:rPr>
          <w:i/>
          <w:spacing w:val="-2"/>
          <w:sz w:val="18"/>
        </w:rPr>
        <w:t> </w:t>
      </w:r>
      <w:r>
        <w:rPr>
          <w:i/>
          <w:sz w:val="18"/>
        </w:rPr>
        <w:t>7:</w:t>
      </w:r>
      <w:r>
        <w:rPr>
          <w:i/>
          <w:spacing w:val="-2"/>
          <w:sz w:val="18"/>
        </w:rPr>
        <w:t> </w:t>
      </w:r>
      <w:r>
        <w:rPr>
          <w:i/>
          <w:sz w:val="18"/>
        </w:rPr>
        <w:t>Networking</w:t>
      </w:r>
      <w:r>
        <w:rPr>
          <w:i/>
          <w:spacing w:val="-3"/>
          <w:sz w:val="18"/>
        </w:rPr>
        <w:t> </w:t>
      </w:r>
      <w:r>
        <w:rPr>
          <w:i/>
          <w:sz w:val="18"/>
        </w:rPr>
        <w:t>PEP</w:t>
      </w:r>
      <w:r>
        <w:rPr>
          <w:i/>
          <w:spacing w:val="-3"/>
          <w:sz w:val="18"/>
        </w:rPr>
        <w:t> </w:t>
      </w:r>
      <w:r>
        <w:rPr>
          <w:i/>
          <w:sz w:val="18"/>
        </w:rPr>
        <w:t>Security</w:t>
      </w:r>
      <w:r>
        <w:rPr>
          <w:i/>
          <w:spacing w:val="-1"/>
          <w:sz w:val="18"/>
        </w:rPr>
        <w:t> </w:t>
      </w:r>
      <w:r>
        <w:rPr>
          <w:i/>
          <w:sz w:val="18"/>
        </w:rPr>
        <w:t>Capabilities</w:t>
      </w:r>
    </w:p>
    <w:p>
      <w:pPr>
        <w:pStyle w:val="BodyText"/>
        <w:spacing w:before="4"/>
        <w:rPr>
          <w:i/>
          <w:sz w:val="17"/>
        </w:rPr>
      </w:pPr>
    </w:p>
    <w:p>
      <w:pPr>
        <w:pStyle w:val="Heading3"/>
        <w:spacing w:before="1"/>
      </w:pPr>
      <w:r>
        <w:rPr/>
        <w:t>Networking</w:t>
      </w:r>
      <w:r>
        <w:rPr>
          <w:spacing w:val="-3"/>
        </w:rPr>
        <w:t> </w:t>
      </w:r>
      <w:r>
        <w:rPr/>
        <w:t>PEP</w:t>
      </w:r>
      <w:r>
        <w:rPr>
          <w:spacing w:val="-4"/>
        </w:rPr>
        <w:t> </w:t>
      </w:r>
      <w:r>
        <w:rPr/>
        <w:t>Security</w:t>
      </w:r>
      <w:r>
        <w:rPr>
          <w:spacing w:val="-3"/>
        </w:rPr>
        <w:t> </w:t>
      </w:r>
      <w:r>
        <w:rPr/>
        <w:t>Capabilities</w:t>
      </w:r>
    </w:p>
    <w:p>
      <w:pPr>
        <w:pStyle w:val="BodyText"/>
        <w:spacing w:before="5"/>
        <w:rPr>
          <w:b/>
          <w:sz w:val="10"/>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49"/>
        <w:gridCol w:w="1831"/>
        <w:gridCol w:w="4463"/>
        <w:gridCol w:w="1531"/>
      </w:tblGrid>
      <w:tr>
        <w:trPr>
          <w:trHeight w:val="856" w:hRule="atLeast"/>
        </w:trPr>
        <w:tc>
          <w:tcPr>
            <w:tcW w:w="1549" w:type="dxa"/>
            <w:tcBorders>
              <w:top w:val="single" w:sz="4" w:space="0" w:color="0057B5"/>
              <w:bottom w:val="single" w:sz="4" w:space="0" w:color="0057B5"/>
            </w:tcBorders>
          </w:tcPr>
          <w:p>
            <w:pPr>
              <w:pStyle w:val="TableParagraph"/>
              <w:spacing w:before="0"/>
              <w:ind w:left="0"/>
              <w:rPr>
                <w:b/>
                <w:sz w:val="21"/>
              </w:rPr>
            </w:pPr>
          </w:p>
          <w:p>
            <w:pPr>
              <w:pStyle w:val="TableParagraph"/>
              <w:spacing w:before="0"/>
              <w:rPr>
                <w:b/>
                <w:sz w:val="22"/>
              </w:rPr>
            </w:pPr>
            <w:r>
              <w:rPr>
                <w:b/>
                <w:sz w:val="22"/>
              </w:rPr>
              <w:t>Capability</w:t>
            </w:r>
          </w:p>
        </w:tc>
        <w:tc>
          <w:tcPr>
            <w:tcW w:w="1831" w:type="dxa"/>
            <w:tcBorders>
              <w:top w:val="single" w:sz="4" w:space="0" w:color="0057B5"/>
              <w:bottom w:val="single" w:sz="4" w:space="0" w:color="0057B5"/>
            </w:tcBorders>
          </w:tcPr>
          <w:p>
            <w:pPr>
              <w:pStyle w:val="TableParagraph"/>
              <w:ind w:left="135" w:right="685"/>
              <w:rPr>
                <w:b/>
                <w:sz w:val="22"/>
              </w:rPr>
            </w:pPr>
            <w:r>
              <w:rPr>
                <w:b/>
                <w:sz w:val="22"/>
              </w:rPr>
              <w:t>Capability</w:t>
            </w:r>
            <w:r>
              <w:rPr>
                <w:b/>
                <w:spacing w:val="-52"/>
                <w:sz w:val="22"/>
              </w:rPr>
              <w:t> </w:t>
            </w:r>
            <w:r>
              <w:rPr>
                <w:b/>
                <w:sz w:val="22"/>
              </w:rPr>
              <w:t>Identifier</w:t>
            </w:r>
          </w:p>
        </w:tc>
        <w:tc>
          <w:tcPr>
            <w:tcW w:w="4463" w:type="dxa"/>
            <w:tcBorders>
              <w:top w:val="single" w:sz="4" w:space="0" w:color="0057B5"/>
              <w:bottom w:val="single" w:sz="4" w:space="0" w:color="0057B5"/>
            </w:tcBorders>
          </w:tcPr>
          <w:p>
            <w:pPr>
              <w:pStyle w:val="TableParagraph"/>
              <w:spacing w:before="0"/>
              <w:ind w:left="0"/>
              <w:rPr>
                <w:b/>
                <w:sz w:val="21"/>
              </w:rPr>
            </w:pPr>
          </w:p>
          <w:p>
            <w:pPr>
              <w:pStyle w:val="TableParagraph"/>
              <w:spacing w:before="0"/>
              <w:ind w:left="133"/>
              <w:rPr>
                <w:b/>
                <w:sz w:val="22"/>
              </w:rPr>
            </w:pPr>
            <w:r>
              <w:rPr>
                <w:b/>
                <w:sz w:val="22"/>
              </w:rPr>
              <w:t>Description</w:t>
            </w:r>
          </w:p>
        </w:tc>
        <w:tc>
          <w:tcPr>
            <w:tcW w:w="1531" w:type="dxa"/>
            <w:tcBorders>
              <w:top w:val="single" w:sz="4" w:space="0" w:color="0057B5"/>
              <w:bottom w:val="single" w:sz="4" w:space="0" w:color="0057B5"/>
            </w:tcBorders>
          </w:tcPr>
          <w:p>
            <w:pPr>
              <w:pStyle w:val="TableParagraph"/>
              <w:spacing w:before="175"/>
              <w:ind w:left="192"/>
              <w:rPr>
                <w:b/>
                <w:sz w:val="22"/>
              </w:rPr>
            </w:pPr>
            <w:r>
              <w:rPr>
                <w:b/>
                <w:sz w:val="22"/>
              </w:rPr>
              <w:t>NIST</w:t>
            </w:r>
            <w:r>
              <w:rPr>
                <w:b/>
                <w:spacing w:val="-3"/>
                <w:sz w:val="22"/>
              </w:rPr>
              <w:t> </w:t>
            </w:r>
            <w:r>
              <w:rPr>
                <w:b/>
                <w:sz w:val="22"/>
              </w:rPr>
              <w:t>CSF</w:t>
            </w:r>
          </w:p>
          <w:p>
            <w:pPr>
              <w:pStyle w:val="TableParagraph"/>
              <w:spacing w:before="0"/>
              <w:ind w:left="192"/>
              <w:rPr>
                <w:b/>
                <w:sz w:val="22"/>
              </w:rPr>
            </w:pPr>
            <w:r>
              <w:rPr>
                <w:b/>
                <w:sz w:val="22"/>
              </w:rPr>
              <w:t>Mapping</w:t>
            </w:r>
          </w:p>
        </w:tc>
      </w:tr>
      <w:tr>
        <w:trPr>
          <w:trHeight w:val="1029" w:hRule="atLeast"/>
        </w:trPr>
        <w:tc>
          <w:tcPr>
            <w:tcW w:w="1549" w:type="dxa"/>
            <w:tcBorders>
              <w:top w:val="single" w:sz="4" w:space="0" w:color="0057B5"/>
            </w:tcBorders>
            <w:shd w:val="clear" w:color="auto" w:fill="E7EAF3"/>
          </w:tcPr>
          <w:p>
            <w:pPr>
              <w:pStyle w:val="TableParagraph"/>
              <w:spacing w:before="104"/>
              <w:rPr>
                <w:b/>
                <w:sz w:val="20"/>
              </w:rPr>
            </w:pPr>
            <w:r>
              <w:rPr>
                <w:b/>
                <w:sz w:val="20"/>
              </w:rPr>
              <w:t>Access</w:t>
            </w:r>
            <w:r>
              <w:rPr>
                <w:b/>
                <w:spacing w:val="-3"/>
                <w:sz w:val="20"/>
              </w:rPr>
              <w:t> </w:t>
            </w:r>
            <w:r>
              <w:rPr>
                <w:b/>
                <w:sz w:val="20"/>
              </w:rPr>
              <w:t>Control</w:t>
            </w:r>
          </w:p>
        </w:tc>
        <w:tc>
          <w:tcPr>
            <w:tcW w:w="1831" w:type="dxa"/>
            <w:tcBorders>
              <w:top w:val="single" w:sz="4" w:space="0" w:color="0057B5"/>
            </w:tcBorders>
            <w:shd w:val="clear" w:color="auto" w:fill="E7EAF3"/>
          </w:tcPr>
          <w:p>
            <w:pPr>
              <w:pStyle w:val="TableParagraph"/>
              <w:spacing w:before="104"/>
              <w:ind w:left="108" w:right="113"/>
              <w:jc w:val="center"/>
              <w:rPr>
                <w:sz w:val="20"/>
              </w:rPr>
            </w:pPr>
            <w:r>
              <w:rPr>
                <w:sz w:val="20"/>
              </w:rPr>
              <w:t>3.PEP.NE.ACONT</w:t>
            </w:r>
          </w:p>
        </w:tc>
        <w:tc>
          <w:tcPr>
            <w:tcW w:w="4463" w:type="dxa"/>
            <w:tcBorders>
              <w:top w:val="single" w:sz="4" w:space="0" w:color="0057B5"/>
            </w:tcBorders>
            <w:shd w:val="clear" w:color="auto" w:fill="E7EAF3"/>
          </w:tcPr>
          <w:p>
            <w:pPr>
              <w:pStyle w:val="TableParagraph"/>
              <w:spacing w:before="104"/>
              <w:ind w:left="133" w:right="466"/>
              <w:rPr>
                <w:sz w:val="20"/>
              </w:rPr>
            </w:pPr>
            <w:r>
              <w:rPr>
                <w:sz w:val="20"/>
              </w:rPr>
              <w:t>Access control protections prevent the ingress,</w:t>
            </w:r>
            <w:r>
              <w:rPr>
                <w:spacing w:val="1"/>
                <w:sz w:val="20"/>
              </w:rPr>
              <w:t> </w:t>
            </w:r>
            <w:r>
              <w:rPr>
                <w:sz w:val="20"/>
              </w:rPr>
              <w:t>egress, or transmission of unauthorized network</w:t>
            </w:r>
            <w:r>
              <w:rPr>
                <w:spacing w:val="-48"/>
                <w:sz w:val="20"/>
              </w:rPr>
              <w:t> </w:t>
            </w:r>
            <w:r>
              <w:rPr>
                <w:sz w:val="20"/>
              </w:rPr>
              <w:t>traffic.</w:t>
            </w:r>
          </w:p>
        </w:tc>
        <w:tc>
          <w:tcPr>
            <w:tcW w:w="1531" w:type="dxa"/>
            <w:tcBorders>
              <w:top w:val="single" w:sz="4" w:space="0" w:color="0057B5"/>
            </w:tcBorders>
            <w:shd w:val="clear" w:color="auto" w:fill="E7EAF3"/>
          </w:tcPr>
          <w:p>
            <w:pPr>
              <w:pStyle w:val="TableParagraph"/>
              <w:spacing w:before="104"/>
              <w:ind w:left="192" w:right="124"/>
              <w:rPr>
                <w:sz w:val="20"/>
              </w:rPr>
            </w:pPr>
            <w:r>
              <w:rPr>
                <w:sz w:val="20"/>
              </w:rPr>
              <w:t>PR.AC, PR.IP,</w:t>
            </w:r>
            <w:r>
              <w:rPr>
                <w:spacing w:val="-47"/>
                <w:sz w:val="20"/>
              </w:rPr>
              <w:t> </w:t>
            </w:r>
            <w:r>
              <w:rPr>
                <w:sz w:val="20"/>
              </w:rPr>
              <w:t>DE.CM</w:t>
            </w:r>
          </w:p>
        </w:tc>
      </w:tr>
      <w:tr>
        <w:trPr>
          <w:trHeight w:val="1040" w:hRule="atLeast"/>
        </w:trPr>
        <w:tc>
          <w:tcPr>
            <w:tcW w:w="1549" w:type="dxa"/>
          </w:tcPr>
          <w:p>
            <w:pPr>
              <w:pStyle w:val="TableParagraph"/>
              <w:ind w:right="433"/>
              <w:rPr>
                <w:b/>
                <w:sz w:val="20"/>
              </w:rPr>
            </w:pPr>
            <w:r>
              <w:rPr>
                <w:b/>
                <w:sz w:val="20"/>
              </w:rPr>
              <w:t>Internet</w:t>
            </w:r>
            <w:r>
              <w:rPr>
                <w:b/>
                <w:spacing w:val="1"/>
                <w:sz w:val="20"/>
              </w:rPr>
              <w:t> </w:t>
            </w:r>
            <w:r>
              <w:rPr>
                <w:b/>
                <w:sz w:val="20"/>
              </w:rPr>
              <w:t>Address</w:t>
            </w:r>
            <w:r>
              <w:rPr>
                <w:b/>
                <w:spacing w:val="1"/>
                <w:sz w:val="20"/>
              </w:rPr>
              <w:t> </w:t>
            </w:r>
            <w:r>
              <w:rPr>
                <w:b/>
                <w:sz w:val="20"/>
              </w:rPr>
              <w:t>Denylisting</w:t>
            </w:r>
          </w:p>
        </w:tc>
        <w:tc>
          <w:tcPr>
            <w:tcW w:w="1831" w:type="dxa"/>
          </w:tcPr>
          <w:p>
            <w:pPr>
              <w:pStyle w:val="TableParagraph"/>
              <w:ind w:left="40" w:right="113"/>
              <w:jc w:val="center"/>
              <w:rPr>
                <w:sz w:val="20"/>
              </w:rPr>
            </w:pPr>
            <w:r>
              <w:rPr>
                <w:sz w:val="20"/>
              </w:rPr>
              <w:t>3.PEP.NE.IADEN</w:t>
            </w:r>
          </w:p>
        </w:tc>
        <w:tc>
          <w:tcPr>
            <w:tcW w:w="4463" w:type="dxa"/>
          </w:tcPr>
          <w:p>
            <w:pPr>
              <w:pStyle w:val="TableParagraph"/>
              <w:ind w:left="133" w:right="216"/>
              <w:rPr>
                <w:sz w:val="20"/>
              </w:rPr>
            </w:pPr>
            <w:r>
              <w:rPr>
                <w:sz w:val="20"/>
              </w:rPr>
              <w:t>Internet address denylisting protections prevent the</w:t>
            </w:r>
            <w:r>
              <w:rPr>
                <w:spacing w:val="-47"/>
                <w:sz w:val="20"/>
              </w:rPr>
              <w:t> </w:t>
            </w:r>
            <w:r>
              <w:rPr>
                <w:sz w:val="20"/>
              </w:rPr>
              <w:t>ingest or transiting of traffic received from or</w:t>
            </w:r>
            <w:r>
              <w:rPr>
                <w:spacing w:val="1"/>
                <w:sz w:val="20"/>
              </w:rPr>
              <w:t> </w:t>
            </w:r>
            <w:r>
              <w:rPr>
                <w:sz w:val="20"/>
              </w:rPr>
              <w:t>destined to</w:t>
            </w:r>
            <w:r>
              <w:rPr>
                <w:spacing w:val="-2"/>
                <w:sz w:val="20"/>
              </w:rPr>
              <w:t> </w:t>
            </w:r>
            <w:r>
              <w:rPr>
                <w:sz w:val="20"/>
              </w:rPr>
              <w:t>a</w:t>
            </w:r>
            <w:r>
              <w:rPr>
                <w:spacing w:val="-1"/>
                <w:sz w:val="20"/>
              </w:rPr>
              <w:t> </w:t>
            </w:r>
            <w:r>
              <w:rPr>
                <w:sz w:val="20"/>
              </w:rPr>
              <w:t>denylisted</w:t>
            </w:r>
            <w:r>
              <w:rPr>
                <w:spacing w:val="-2"/>
                <w:sz w:val="20"/>
              </w:rPr>
              <w:t> </w:t>
            </w:r>
            <w:r>
              <w:rPr>
                <w:sz w:val="20"/>
              </w:rPr>
              <w:t>internet</w:t>
            </w:r>
            <w:r>
              <w:rPr>
                <w:spacing w:val="-2"/>
                <w:sz w:val="20"/>
              </w:rPr>
              <w:t> </w:t>
            </w:r>
            <w:r>
              <w:rPr>
                <w:sz w:val="20"/>
              </w:rPr>
              <w:t>address.</w:t>
            </w:r>
          </w:p>
        </w:tc>
        <w:tc>
          <w:tcPr>
            <w:tcW w:w="1531" w:type="dxa"/>
          </w:tcPr>
          <w:p>
            <w:pPr>
              <w:pStyle w:val="TableParagraph"/>
              <w:ind w:left="192" w:right="691"/>
              <w:rPr>
                <w:sz w:val="20"/>
              </w:rPr>
            </w:pPr>
            <w:r>
              <w:rPr>
                <w:sz w:val="20"/>
              </w:rPr>
              <w:t>PR.PT,</w:t>
            </w:r>
            <w:r>
              <w:rPr>
                <w:spacing w:val="1"/>
                <w:sz w:val="20"/>
              </w:rPr>
              <w:t> </w:t>
            </w:r>
            <w:r>
              <w:rPr>
                <w:sz w:val="20"/>
              </w:rPr>
              <w:t>DE.CM</w:t>
            </w:r>
          </w:p>
        </w:tc>
      </w:tr>
      <w:tr>
        <w:trPr>
          <w:trHeight w:val="810" w:hRule="atLeast"/>
        </w:trPr>
        <w:tc>
          <w:tcPr>
            <w:tcW w:w="1549" w:type="dxa"/>
            <w:shd w:val="clear" w:color="auto" w:fill="E7EAF3"/>
          </w:tcPr>
          <w:p>
            <w:pPr>
              <w:pStyle w:val="TableParagraph"/>
              <w:spacing w:before="114"/>
              <w:ind w:right="277"/>
              <w:rPr>
                <w:b/>
                <w:sz w:val="20"/>
              </w:rPr>
            </w:pPr>
            <w:r>
              <w:rPr>
                <w:b/>
                <w:sz w:val="20"/>
              </w:rPr>
              <w:t>Host</w:t>
            </w:r>
            <w:r>
              <w:rPr>
                <w:b/>
                <w:spacing w:val="1"/>
                <w:sz w:val="20"/>
              </w:rPr>
              <w:t> </w:t>
            </w:r>
            <w:r>
              <w:rPr>
                <w:b/>
                <w:sz w:val="20"/>
              </w:rPr>
              <w:t>Containment</w:t>
            </w:r>
          </w:p>
        </w:tc>
        <w:tc>
          <w:tcPr>
            <w:tcW w:w="1831" w:type="dxa"/>
            <w:shd w:val="clear" w:color="auto" w:fill="E7EAF3"/>
          </w:tcPr>
          <w:p>
            <w:pPr>
              <w:pStyle w:val="TableParagraph"/>
              <w:ind w:left="108" w:right="113"/>
              <w:jc w:val="center"/>
              <w:rPr>
                <w:sz w:val="20"/>
              </w:rPr>
            </w:pPr>
            <w:r>
              <w:rPr>
                <w:sz w:val="20"/>
              </w:rPr>
              <w:t>3.PEP.NE.HCONT</w:t>
            </w:r>
          </w:p>
        </w:tc>
        <w:tc>
          <w:tcPr>
            <w:tcW w:w="4463" w:type="dxa"/>
            <w:shd w:val="clear" w:color="auto" w:fill="E7EAF3"/>
          </w:tcPr>
          <w:p>
            <w:pPr>
              <w:pStyle w:val="TableParagraph"/>
              <w:spacing w:before="114"/>
              <w:ind w:left="133"/>
              <w:rPr>
                <w:sz w:val="20"/>
              </w:rPr>
            </w:pPr>
            <w:r>
              <w:rPr>
                <w:sz w:val="20"/>
              </w:rPr>
              <w:t>Host containment protections enable a network to</w:t>
            </w:r>
            <w:r>
              <w:rPr>
                <w:spacing w:val="1"/>
                <w:sz w:val="20"/>
              </w:rPr>
              <w:t> </w:t>
            </w:r>
            <w:r>
              <w:rPr>
                <w:sz w:val="20"/>
              </w:rPr>
              <w:t>revoke</w:t>
            </w:r>
            <w:r>
              <w:rPr>
                <w:spacing w:val="-3"/>
                <w:sz w:val="20"/>
              </w:rPr>
              <w:t> </w:t>
            </w:r>
            <w:r>
              <w:rPr>
                <w:sz w:val="20"/>
              </w:rPr>
              <w:t>or</w:t>
            </w:r>
            <w:r>
              <w:rPr>
                <w:spacing w:val="-3"/>
                <w:sz w:val="20"/>
              </w:rPr>
              <w:t> </w:t>
            </w:r>
            <w:r>
              <w:rPr>
                <w:sz w:val="20"/>
              </w:rPr>
              <w:t>quarantine</w:t>
            </w:r>
            <w:r>
              <w:rPr>
                <w:spacing w:val="-2"/>
                <w:sz w:val="20"/>
              </w:rPr>
              <w:t> </w:t>
            </w:r>
            <w:r>
              <w:rPr>
                <w:sz w:val="20"/>
              </w:rPr>
              <w:t>a</w:t>
            </w:r>
            <w:r>
              <w:rPr>
                <w:spacing w:val="-3"/>
                <w:sz w:val="20"/>
              </w:rPr>
              <w:t> </w:t>
            </w:r>
            <w:r>
              <w:rPr>
                <w:sz w:val="20"/>
              </w:rPr>
              <w:t>host’s</w:t>
            </w:r>
            <w:r>
              <w:rPr>
                <w:spacing w:val="-4"/>
                <w:sz w:val="20"/>
              </w:rPr>
              <w:t> </w:t>
            </w:r>
            <w:r>
              <w:rPr>
                <w:sz w:val="20"/>
              </w:rPr>
              <w:t>access</w:t>
            </w:r>
            <w:r>
              <w:rPr>
                <w:spacing w:val="-1"/>
                <w:sz w:val="20"/>
              </w:rPr>
              <w:t> </w:t>
            </w:r>
            <w:r>
              <w:rPr>
                <w:sz w:val="20"/>
              </w:rPr>
              <w:t>to</w:t>
            </w:r>
            <w:r>
              <w:rPr>
                <w:spacing w:val="-1"/>
                <w:sz w:val="20"/>
              </w:rPr>
              <w:t> </w:t>
            </w:r>
            <w:r>
              <w:rPr>
                <w:sz w:val="20"/>
              </w:rPr>
              <w:t>the</w:t>
            </w:r>
            <w:r>
              <w:rPr>
                <w:spacing w:val="-3"/>
                <w:sz w:val="20"/>
              </w:rPr>
              <w:t> </w:t>
            </w:r>
            <w:r>
              <w:rPr>
                <w:sz w:val="20"/>
              </w:rPr>
              <w:t>network.</w:t>
            </w:r>
          </w:p>
        </w:tc>
        <w:tc>
          <w:tcPr>
            <w:tcW w:w="1531" w:type="dxa"/>
            <w:shd w:val="clear" w:color="auto" w:fill="E7EAF3"/>
          </w:tcPr>
          <w:p>
            <w:pPr>
              <w:pStyle w:val="TableParagraph"/>
              <w:spacing w:before="114"/>
              <w:ind w:left="192" w:right="124"/>
              <w:rPr>
                <w:sz w:val="20"/>
              </w:rPr>
            </w:pPr>
            <w:r>
              <w:rPr>
                <w:sz w:val="20"/>
              </w:rPr>
              <w:t>PR.AC, PR.IP,</w:t>
            </w:r>
            <w:r>
              <w:rPr>
                <w:spacing w:val="-47"/>
                <w:sz w:val="20"/>
              </w:rPr>
              <w:t> </w:t>
            </w:r>
            <w:r>
              <w:rPr>
                <w:sz w:val="20"/>
              </w:rPr>
              <w:t>PR.PT</w:t>
            </w:r>
          </w:p>
        </w:tc>
      </w:tr>
      <w:tr>
        <w:trPr>
          <w:trHeight w:val="1269" w:hRule="atLeast"/>
        </w:trPr>
        <w:tc>
          <w:tcPr>
            <w:tcW w:w="1549" w:type="dxa"/>
          </w:tcPr>
          <w:p>
            <w:pPr>
              <w:pStyle w:val="TableParagraph"/>
              <w:spacing w:before="114"/>
              <w:ind w:right="233"/>
              <w:rPr>
                <w:b/>
                <w:sz w:val="20"/>
              </w:rPr>
            </w:pPr>
            <w:r>
              <w:rPr>
                <w:b/>
                <w:sz w:val="20"/>
              </w:rPr>
              <w:t>Network</w:t>
            </w:r>
            <w:r>
              <w:rPr>
                <w:b/>
                <w:spacing w:val="1"/>
                <w:sz w:val="20"/>
              </w:rPr>
              <w:t> </w:t>
            </w:r>
            <w:r>
              <w:rPr>
                <w:b/>
                <w:sz w:val="20"/>
              </w:rPr>
              <w:t>Segmentation</w:t>
            </w:r>
          </w:p>
        </w:tc>
        <w:tc>
          <w:tcPr>
            <w:tcW w:w="1831" w:type="dxa"/>
          </w:tcPr>
          <w:p>
            <w:pPr>
              <w:pStyle w:val="TableParagraph"/>
              <w:ind w:left="115" w:right="113"/>
              <w:jc w:val="center"/>
              <w:rPr>
                <w:sz w:val="20"/>
              </w:rPr>
            </w:pPr>
            <w:r>
              <w:rPr>
                <w:sz w:val="20"/>
              </w:rPr>
              <w:t>3.PEP.NE.NSEGM</w:t>
            </w:r>
          </w:p>
        </w:tc>
        <w:tc>
          <w:tcPr>
            <w:tcW w:w="4463" w:type="dxa"/>
          </w:tcPr>
          <w:p>
            <w:pPr>
              <w:pStyle w:val="TableParagraph"/>
              <w:spacing w:before="114"/>
              <w:ind w:left="133" w:right="101"/>
              <w:rPr>
                <w:sz w:val="20"/>
              </w:rPr>
            </w:pPr>
            <w:r>
              <w:rPr>
                <w:sz w:val="20"/>
              </w:rPr>
              <w:t>Network segmentation separates a given network</w:t>
            </w:r>
            <w:r>
              <w:rPr>
                <w:spacing w:val="1"/>
                <w:sz w:val="20"/>
              </w:rPr>
              <w:t> </w:t>
            </w:r>
            <w:r>
              <w:rPr>
                <w:sz w:val="20"/>
              </w:rPr>
              <w:t>into subnetworks, facilitating security controls</w:t>
            </w:r>
            <w:r>
              <w:rPr>
                <w:spacing w:val="1"/>
                <w:sz w:val="20"/>
              </w:rPr>
              <w:t> </w:t>
            </w:r>
            <w:r>
              <w:rPr>
                <w:sz w:val="20"/>
              </w:rPr>
              <w:t>between</w:t>
            </w:r>
            <w:r>
              <w:rPr>
                <w:spacing w:val="-3"/>
                <w:sz w:val="20"/>
              </w:rPr>
              <w:t> </w:t>
            </w:r>
            <w:r>
              <w:rPr>
                <w:sz w:val="20"/>
              </w:rPr>
              <w:t>the</w:t>
            </w:r>
            <w:r>
              <w:rPr>
                <w:spacing w:val="-5"/>
                <w:sz w:val="20"/>
              </w:rPr>
              <w:t> </w:t>
            </w:r>
            <w:r>
              <w:rPr>
                <w:sz w:val="20"/>
              </w:rPr>
              <w:t>subnetworks,</w:t>
            </w:r>
            <w:r>
              <w:rPr>
                <w:spacing w:val="-4"/>
                <w:sz w:val="20"/>
              </w:rPr>
              <w:t> </w:t>
            </w:r>
            <w:r>
              <w:rPr>
                <w:sz w:val="20"/>
              </w:rPr>
              <w:t>and</w:t>
            </w:r>
            <w:r>
              <w:rPr>
                <w:spacing w:val="-4"/>
                <w:sz w:val="20"/>
              </w:rPr>
              <w:t> </w:t>
            </w:r>
            <w:r>
              <w:rPr>
                <w:sz w:val="20"/>
              </w:rPr>
              <w:t>decreasing</w:t>
            </w:r>
            <w:r>
              <w:rPr>
                <w:spacing w:val="-3"/>
                <w:sz w:val="20"/>
              </w:rPr>
              <w:t> </w:t>
            </w:r>
            <w:r>
              <w:rPr>
                <w:sz w:val="20"/>
              </w:rPr>
              <w:t>the</w:t>
            </w:r>
            <w:r>
              <w:rPr>
                <w:spacing w:val="-5"/>
                <w:sz w:val="20"/>
              </w:rPr>
              <w:t> </w:t>
            </w:r>
            <w:r>
              <w:rPr>
                <w:sz w:val="20"/>
              </w:rPr>
              <w:t>attack</w:t>
            </w:r>
            <w:r>
              <w:rPr>
                <w:spacing w:val="-47"/>
                <w:sz w:val="20"/>
              </w:rPr>
              <w:t> </w:t>
            </w:r>
            <w:r>
              <w:rPr>
                <w:sz w:val="20"/>
              </w:rPr>
              <w:t>surface</w:t>
            </w:r>
            <w:r>
              <w:rPr>
                <w:spacing w:val="-2"/>
                <w:sz w:val="20"/>
              </w:rPr>
              <w:t> </w:t>
            </w:r>
            <w:r>
              <w:rPr>
                <w:sz w:val="20"/>
              </w:rPr>
              <w:t>of</w:t>
            </w:r>
            <w:r>
              <w:rPr>
                <w:spacing w:val="-1"/>
                <w:sz w:val="20"/>
              </w:rPr>
              <w:t> </w:t>
            </w:r>
            <w:r>
              <w:rPr>
                <w:sz w:val="20"/>
              </w:rPr>
              <w:t>the</w:t>
            </w:r>
            <w:r>
              <w:rPr>
                <w:spacing w:val="-1"/>
                <w:sz w:val="20"/>
              </w:rPr>
              <w:t> </w:t>
            </w:r>
            <w:r>
              <w:rPr>
                <w:sz w:val="20"/>
              </w:rPr>
              <w:t>network.</w:t>
            </w:r>
          </w:p>
        </w:tc>
        <w:tc>
          <w:tcPr>
            <w:tcW w:w="1531" w:type="dxa"/>
          </w:tcPr>
          <w:p>
            <w:pPr>
              <w:pStyle w:val="TableParagraph"/>
              <w:ind w:left="192"/>
              <w:rPr>
                <w:sz w:val="20"/>
              </w:rPr>
            </w:pPr>
            <w:r>
              <w:rPr>
                <w:sz w:val="20"/>
              </w:rPr>
              <w:t>PR.AC</w:t>
            </w:r>
          </w:p>
        </w:tc>
      </w:tr>
      <w:tr>
        <w:trPr>
          <w:trHeight w:val="1499" w:hRule="atLeast"/>
        </w:trPr>
        <w:tc>
          <w:tcPr>
            <w:tcW w:w="1549" w:type="dxa"/>
            <w:tcBorders>
              <w:bottom w:val="single" w:sz="4" w:space="0" w:color="0057B5"/>
            </w:tcBorders>
            <w:shd w:val="clear" w:color="auto" w:fill="E7EAF3"/>
          </w:tcPr>
          <w:p>
            <w:pPr>
              <w:pStyle w:val="TableParagraph"/>
              <w:ind w:right="266"/>
              <w:rPr>
                <w:b/>
                <w:sz w:val="20"/>
              </w:rPr>
            </w:pPr>
            <w:r>
              <w:rPr>
                <w:b/>
                <w:sz w:val="20"/>
              </w:rPr>
              <w:t>Micro-</w:t>
            </w:r>
            <w:r>
              <w:rPr>
                <w:b/>
                <w:spacing w:val="1"/>
                <w:sz w:val="20"/>
              </w:rPr>
              <w:t> </w:t>
            </w:r>
            <w:r>
              <w:rPr>
                <w:b/>
                <w:sz w:val="20"/>
              </w:rPr>
              <w:t>segmentation</w:t>
            </w:r>
          </w:p>
        </w:tc>
        <w:tc>
          <w:tcPr>
            <w:tcW w:w="1831" w:type="dxa"/>
            <w:tcBorders>
              <w:bottom w:val="single" w:sz="4" w:space="0" w:color="0057B5"/>
            </w:tcBorders>
            <w:shd w:val="clear" w:color="auto" w:fill="E7EAF3"/>
          </w:tcPr>
          <w:p>
            <w:pPr>
              <w:pStyle w:val="TableParagraph"/>
              <w:ind w:left="72" w:right="113"/>
              <w:jc w:val="center"/>
              <w:rPr>
                <w:sz w:val="20"/>
              </w:rPr>
            </w:pPr>
            <w:r>
              <w:rPr>
                <w:sz w:val="20"/>
              </w:rPr>
              <w:t>3.PEP.NE.MICRO</w:t>
            </w:r>
          </w:p>
        </w:tc>
        <w:tc>
          <w:tcPr>
            <w:tcW w:w="4463" w:type="dxa"/>
            <w:tcBorders>
              <w:bottom w:val="single" w:sz="4" w:space="0" w:color="0057B5"/>
            </w:tcBorders>
            <w:shd w:val="clear" w:color="auto" w:fill="E7EAF3"/>
          </w:tcPr>
          <w:p>
            <w:pPr>
              <w:pStyle w:val="TableParagraph"/>
              <w:ind w:left="133" w:right="299"/>
              <w:rPr>
                <w:sz w:val="20"/>
              </w:rPr>
            </w:pPr>
            <w:r>
              <w:rPr>
                <w:sz w:val="20"/>
              </w:rPr>
              <w:t>Microsegmentation divides the network, either</w:t>
            </w:r>
            <w:r>
              <w:rPr>
                <w:spacing w:val="1"/>
                <w:sz w:val="20"/>
              </w:rPr>
              <w:t> </w:t>
            </w:r>
            <w:r>
              <w:rPr>
                <w:sz w:val="20"/>
              </w:rPr>
              <w:t>physically or virtually, according to the</w:t>
            </w:r>
            <w:r>
              <w:rPr>
                <w:spacing w:val="1"/>
                <w:sz w:val="20"/>
              </w:rPr>
              <w:t> </w:t>
            </w:r>
            <w:r>
              <w:rPr>
                <w:sz w:val="20"/>
              </w:rPr>
              <w:t>communication needs of application and data</w:t>
            </w:r>
            <w:r>
              <w:rPr>
                <w:spacing w:val="1"/>
                <w:sz w:val="20"/>
              </w:rPr>
              <w:t> </w:t>
            </w:r>
            <w:r>
              <w:rPr>
                <w:sz w:val="20"/>
              </w:rPr>
              <w:t>workflows, facilitating security controls to protect</w:t>
            </w:r>
            <w:r>
              <w:rPr>
                <w:spacing w:val="-47"/>
                <w:sz w:val="20"/>
              </w:rPr>
              <w:t> </w:t>
            </w:r>
            <w:r>
              <w:rPr>
                <w:sz w:val="20"/>
              </w:rPr>
              <w:t>the</w:t>
            </w:r>
            <w:r>
              <w:rPr>
                <w:spacing w:val="-1"/>
                <w:sz w:val="20"/>
              </w:rPr>
              <w:t> </w:t>
            </w:r>
            <w:r>
              <w:rPr>
                <w:sz w:val="20"/>
              </w:rPr>
              <w:t>data.</w:t>
            </w:r>
          </w:p>
        </w:tc>
        <w:tc>
          <w:tcPr>
            <w:tcW w:w="1531" w:type="dxa"/>
            <w:tcBorders>
              <w:bottom w:val="single" w:sz="4" w:space="0" w:color="0057B5"/>
            </w:tcBorders>
            <w:shd w:val="clear" w:color="auto" w:fill="E7EAF3"/>
          </w:tcPr>
          <w:p>
            <w:pPr>
              <w:pStyle w:val="TableParagraph"/>
              <w:ind w:left="192" w:right="146"/>
              <w:rPr>
                <w:sz w:val="20"/>
              </w:rPr>
            </w:pPr>
            <w:r>
              <w:rPr>
                <w:sz w:val="20"/>
              </w:rPr>
              <w:t>PR.AC,</w:t>
            </w:r>
            <w:r>
              <w:rPr>
                <w:spacing w:val="1"/>
                <w:sz w:val="20"/>
              </w:rPr>
              <w:t> </w:t>
            </w:r>
            <w:r>
              <w:rPr>
                <w:sz w:val="20"/>
              </w:rPr>
              <w:t>PR.DS, PR.IP,</w:t>
            </w:r>
            <w:r>
              <w:rPr>
                <w:spacing w:val="-47"/>
                <w:sz w:val="20"/>
              </w:rPr>
              <w:t> </w:t>
            </w:r>
            <w:r>
              <w:rPr>
                <w:sz w:val="20"/>
              </w:rPr>
              <w:t>PR.PT</w:t>
            </w:r>
          </w:p>
        </w:tc>
      </w:tr>
    </w:tbl>
    <w:p>
      <w:pPr>
        <w:spacing w:after="0"/>
        <w:rPr>
          <w:sz w:val="20"/>
        </w:rPr>
        <w:sectPr>
          <w:pgSz w:w="12240" w:h="15840"/>
          <w:pgMar w:header="730" w:footer="764" w:top="960" w:bottom="960" w:left="1320" w:right="1080"/>
        </w:sectPr>
      </w:pPr>
    </w:p>
    <w:p>
      <w:pPr>
        <w:pStyle w:val="BodyText"/>
        <w:rPr>
          <w:b/>
          <w:sz w:val="20"/>
        </w:rPr>
      </w:pPr>
    </w:p>
    <w:p>
      <w:pPr>
        <w:pStyle w:val="BodyText"/>
        <w:spacing w:before="7"/>
        <w:rPr>
          <w:b/>
          <w:sz w:val="20"/>
        </w:rPr>
      </w:pPr>
    </w:p>
    <w:p>
      <w:pPr>
        <w:spacing w:before="0"/>
        <w:ind w:left="120" w:right="0" w:firstLine="0"/>
        <w:jc w:val="left"/>
        <w:rPr>
          <w:i/>
          <w:sz w:val="18"/>
        </w:rPr>
      </w:pPr>
      <w:bookmarkStart w:name="_bookmark23" w:id="38"/>
      <w:bookmarkEnd w:id="38"/>
      <w:r>
        <w:rPr/>
      </w:r>
      <w:r>
        <w:rPr>
          <w:i/>
          <w:sz w:val="18"/>
        </w:rPr>
        <w:t>Table</w:t>
      </w:r>
      <w:r>
        <w:rPr>
          <w:i/>
          <w:spacing w:val="-1"/>
          <w:sz w:val="18"/>
        </w:rPr>
        <w:t> </w:t>
      </w:r>
      <w:r>
        <w:rPr>
          <w:i/>
          <w:sz w:val="18"/>
        </w:rPr>
        <w:t>8:</w:t>
      </w:r>
      <w:r>
        <w:rPr>
          <w:i/>
          <w:spacing w:val="-3"/>
          <w:sz w:val="18"/>
        </w:rPr>
        <w:t> </w:t>
      </w:r>
      <w:r>
        <w:rPr>
          <w:i/>
          <w:sz w:val="18"/>
        </w:rPr>
        <w:t>Resiliency</w:t>
      </w:r>
      <w:r>
        <w:rPr>
          <w:i/>
          <w:spacing w:val="-3"/>
          <w:sz w:val="18"/>
        </w:rPr>
        <w:t> </w:t>
      </w:r>
      <w:r>
        <w:rPr>
          <w:i/>
          <w:sz w:val="18"/>
        </w:rPr>
        <w:t>PEP</w:t>
      </w:r>
      <w:r>
        <w:rPr>
          <w:i/>
          <w:spacing w:val="-3"/>
          <w:sz w:val="18"/>
        </w:rPr>
        <w:t> </w:t>
      </w:r>
      <w:r>
        <w:rPr>
          <w:i/>
          <w:sz w:val="18"/>
        </w:rPr>
        <w:t>Security Capabilities</w:t>
      </w:r>
    </w:p>
    <w:p>
      <w:pPr>
        <w:pStyle w:val="BodyText"/>
        <w:spacing w:before="4"/>
        <w:rPr>
          <w:i/>
          <w:sz w:val="17"/>
        </w:rPr>
      </w:pPr>
    </w:p>
    <w:p>
      <w:pPr>
        <w:pStyle w:val="Heading3"/>
      </w:pPr>
      <w:r>
        <w:rPr/>
        <w:t>Resiliency</w:t>
      </w:r>
      <w:r>
        <w:rPr>
          <w:spacing w:val="-4"/>
        </w:rPr>
        <w:t> </w:t>
      </w:r>
      <w:r>
        <w:rPr/>
        <w:t>PEP</w:t>
      </w:r>
      <w:r>
        <w:rPr>
          <w:spacing w:val="-4"/>
        </w:rPr>
        <w:t> </w:t>
      </w:r>
      <w:r>
        <w:rPr/>
        <w:t>Security</w:t>
      </w:r>
      <w:r>
        <w:rPr>
          <w:spacing w:val="-2"/>
        </w:rPr>
        <w:t> </w:t>
      </w:r>
      <w:r>
        <w:rPr/>
        <w:t>Capabilities</w:t>
      </w:r>
    </w:p>
    <w:p>
      <w:pPr>
        <w:pStyle w:val="BodyText"/>
        <w:spacing w:before="5" w:after="1"/>
        <w:rPr>
          <w:b/>
          <w:sz w:val="10"/>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02"/>
        <w:gridCol w:w="1944"/>
        <w:gridCol w:w="4556"/>
        <w:gridCol w:w="1469"/>
      </w:tblGrid>
      <w:tr>
        <w:trPr>
          <w:trHeight w:val="856" w:hRule="atLeast"/>
        </w:trPr>
        <w:tc>
          <w:tcPr>
            <w:tcW w:w="1402" w:type="dxa"/>
            <w:tcBorders>
              <w:top w:val="single" w:sz="4" w:space="0" w:color="0057B5"/>
              <w:bottom w:val="single" w:sz="4" w:space="0" w:color="0057B5"/>
            </w:tcBorders>
          </w:tcPr>
          <w:p>
            <w:pPr>
              <w:pStyle w:val="TableParagraph"/>
              <w:spacing w:before="0"/>
              <w:ind w:left="0"/>
              <w:rPr>
                <w:b/>
                <w:sz w:val="21"/>
              </w:rPr>
            </w:pPr>
          </w:p>
          <w:p>
            <w:pPr>
              <w:pStyle w:val="TableParagraph"/>
              <w:spacing w:before="0"/>
              <w:rPr>
                <w:b/>
                <w:sz w:val="22"/>
              </w:rPr>
            </w:pPr>
            <w:r>
              <w:rPr>
                <w:b/>
                <w:sz w:val="22"/>
              </w:rPr>
              <w:t>Capability</w:t>
            </w:r>
          </w:p>
        </w:tc>
        <w:tc>
          <w:tcPr>
            <w:tcW w:w="1944" w:type="dxa"/>
            <w:tcBorders>
              <w:top w:val="single" w:sz="4" w:space="0" w:color="0057B5"/>
              <w:bottom w:val="single" w:sz="4" w:space="0" w:color="0057B5"/>
            </w:tcBorders>
          </w:tcPr>
          <w:p>
            <w:pPr>
              <w:pStyle w:val="TableParagraph"/>
              <w:ind w:left="282" w:right="651"/>
              <w:rPr>
                <w:b/>
                <w:sz w:val="22"/>
              </w:rPr>
            </w:pPr>
            <w:r>
              <w:rPr>
                <w:b/>
                <w:sz w:val="22"/>
              </w:rPr>
              <w:t>Capability</w:t>
            </w:r>
            <w:r>
              <w:rPr>
                <w:b/>
                <w:spacing w:val="-52"/>
                <w:sz w:val="22"/>
              </w:rPr>
              <w:t> </w:t>
            </w:r>
            <w:r>
              <w:rPr>
                <w:b/>
                <w:sz w:val="22"/>
              </w:rPr>
              <w:t>Identifier</w:t>
            </w:r>
          </w:p>
        </w:tc>
        <w:tc>
          <w:tcPr>
            <w:tcW w:w="4556" w:type="dxa"/>
            <w:tcBorders>
              <w:top w:val="single" w:sz="4" w:space="0" w:color="0057B5"/>
              <w:bottom w:val="single" w:sz="4" w:space="0" w:color="0057B5"/>
            </w:tcBorders>
          </w:tcPr>
          <w:p>
            <w:pPr>
              <w:pStyle w:val="TableParagraph"/>
              <w:spacing w:before="0"/>
              <w:ind w:left="0"/>
              <w:rPr>
                <w:b/>
                <w:sz w:val="21"/>
              </w:rPr>
            </w:pPr>
          </w:p>
          <w:p>
            <w:pPr>
              <w:pStyle w:val="TableParagraph"/>
              <w:spacing w:before="0"/>
              <w:ind w:left="167"/>
              <w:rPr>
                <w:b/>
                <w:sz w:val="22"/>
              </w:rPr>
            </w:pPr>
            <w:r>
              <w:rPr>
                <w:b/>
                <w:sz w:val="22"/>
              </w:rPr>
              <w:t>Description</w:t>
            </w:r>
          </w:p>
        </w:tc>
        <w:tc>
          <w:tcPr>
            <w:tcW w:w="1469" w:type="dxa"/>
            <w:tcBorders>
              <w:top w:val="single" w:sz="4" w:space="0" w:color="0057B5"/>
              <w:bottom w:val="single" w:sz="4" w:space="0" w:color="0057B5"/>
            </w:tcBorders>
          </w:tcPr>
          <w:p>
            <w:pPr>
              <w:pStyle w:val="TableParagraph"/>
              <w:ind w:left="133"/>
              <w:rPr>
                <w:b/>
                <w:sz w:val="22"/>
              </w:rPr>
            </w:pPr>
            <w:r>
              <w:rPr>
                <w:b/>
                <w:sz w:val="22"/>
              </w:rPr>
              <w:t>NIST</w:t>
            </w:r>
            <w:r>
              <w:rPr>
                <w:b/>
                <w:spacing w:val="-3"/>
                <w:sz w:val="22"/>
              </w:rPr>
              <w:t> </w:t>
            </w:r>
            <w:r>
              <w:rPr>
                <w:b/>
                <w:sz w:val="22"/>
              </w:rPr>
              <w:t>CSF</w:t>
            </w:r>
          </w:p>
          <w:p>
            <w:pPr>
              <w:pStyle w:val="TableParagraph"/>
              <w:spacing w:before="0"/>
              <w:ind w:left="133"/>
              <w:rPr>
                <w:b/>
                <w:sz w:val="22"/>
              </w:rPr>
            </w:pPr>
            <w:r>
              <w:rPr>
                <w:b/>
                <w:sz w:val="22"/>
              </w:rPr>
              <w:t>Mapping</w:t>
            </w:r>
          </w:p>
        </w:tc>
      </w:tr>
      <w:tr>
        <w:trPr>
          <w:trHeight w:val="1259" w:hRule="atLeast"/>
        </w:trPr>
        <w:tc>
          <w:tcPr>
            <w:tcW w:w="1402" w:type="dxa"/>
            <w:tcBorders>
              <w:top w:val="single" w:sz="4" w:space="0" w:color="0057B5"/>
            </w:tcBorders>
            <w:shd w:val="clear" w:color="auto" w:fill="E7EAF3"/>
          </w:tcPr>
          <w:p>
            <w:pPr>
              <w:pStyle w:val="TableParagraph"/>
              <w:spacing w:before="104"/>
              <w:ind w:right="275"/>
              <w:rPr>
                <w:b/>
                <w:sz w:val="20"/>
              </w:rPr>
            </w:pPr>
            <w:r>
              <w:rPr>
                <w:b/>
                <w:sz w:val="20"/>
              </w:rPr>
              <w:t>Distributed</w:t>
            </w:r>
            <w:r>
              <w:rPr>
                <w:b/>
                <w:spacing w:val="-47"/>
                <w:sz w:val="20"/>
              </w:rPr>
              <w:t> </w:t>
            </w:r>
            <w:r>
              <w:rPr>
                <w:b/>
                <w:sz w:val="20"/>
              </w:rPr>
              <w:t>Denial of</w:t>
            </w:r>
            <w:r>
              <w:rPr>
                <w:b/>
                <w:spacing w:val="1"/>
                <w:sz w:val="20"/>
              </w:rPr>
              <w:t> </w:t>
            </w:r>
            <w:r>
              <w:rPr>
                <w:b/>
                <w:sz w:val="20"/>
              </w:rPr>
              <w:t>Service</w:t>
            </w:r>
            <w:r>
              <w:rPr>
                <w:b/>
                <w:spacing w:val="1"/>
                <w:sz w:val="20"/>
              </w:rPr>
              <w:t> </w:t>
            </w:r>
            <w:r>
              <w:rPr>
                <w:b/>
                <w:sz w:val="20"/>
              </w:rPr>
              <w:t>Protections</w:t>
            </w:r>
          </w:p>
        </w:tc>
        <w:tc>
          <w:tcPr>
            <w:tcW w:w="1944" w:type="dxa"/>
            <w:tcBorders>
              <w:top w:val="single" w:sz="4" w:space="0" w:color="0057B5"/>
            </w:tcBorders>
            <w:shd w:val="clear" w:color="auto" w:fill="E7EAF3"/>
          </w:tcPr>
          <w:p>
            <w:pPr>
              <w:pStyle w:val="TableParagraph"/>
              <w:spacing w:before="104"/>
              <w:ind w:left="0" w:right="163"/>
              <w:jc w:val="right"/>
              <w:rPr>
                <w:sz w:val="20"/>
              </w:rPr>
            </w:pPr>
            <w:r>
              <w:rPr>
                <w:sz w:val="20"/>
              </w:rPr>
              <w:t>3.PEP.RE.DDSPR</w:t>
            </w:r>
          </w:p>
        </w:tc>
        <w:tc>
          <w:tcPr>
            <w:tcW w:w="4556" w:type="dxa"/>
            <w:tcBorders>
              <w:top w:val="single" w:sz="4" w:space="0" w:color="0057B5"/>
            </w:tcBorders>
            <w:shd w:val="clear" w:color="auto" w:fill="E7EAF3"/>
          </w:tcPr>
          <w:p>
            <w:pPr>
              <w:pStyle w:val="TableParagraph"/>
              <w:spacing w:before="104"/>
              <w:ind w:left="167" w:right="359"/>
              <w:jc w:val="both"/>
              <w:rPr>
                <w:sz w:val="20"/>
              </w:rPr>
            </w:pPr>
            <w:r>
              <w:rPr>
                <w:sz w:val="20"/>
              </w:rPr>
              <w:t>Distributed Denial of Service (DDoS) protections</w:t>
            </w:r>
            <w:r>
              <w:rPr>
                <w:spacing w:val="1"/>
                <w:sz w:val="20"/>
              </w:rPr>
              <w:t> </w:t>
            </w:r>
            <w:r>
              <w:rPr>
                <w:sz w:val="20"/>
              </w:rPr>
              <w:t>mitigate the effects of distributed denial of service</w:t>
            </w:r>
            <w:r>
              <w:rPr>
                <w:spacing w:val="-47"/>
                <w:sz w:val="20"/>
              </w:rPr>
              <w:t> </w:t>
            </w:r>
            <w:r>
              <w:rPr>
                <w:sz w:val="20"/>
              </w:rPr>
              <w:t>attacks.</w:t>
            </w:r>
          </w:p>
        </w:tc>
        <w:tc>
          <w:tcPr>
            <w:tcW w:w="1469" w:type="dxa"/>
            <w:tcBorders>
              <w:top w:val="single" w:sz="4" w:space="0" w:color="0057B5"/>
            </w:tcBorders>
            <w:shd w:val="clear" w:color="auto" w:fill="E7EAF3"/>
          </w:tcPr>
          <w:p>
            <w:pPr>
              <w:pStyle w:val="TableParagraph"/>
              <w:spacing w:before="104"/>
              <w:ind w:left="133"/>
              <w:rPr>
                <w:sz w:val="20"/>
              </w:rPr>
            </w:pPr>
            <w:r>
              <w:rPr>
                <w:sz w:val="20"/>
              </w:rPr>
              <w:t>PR.PT</w:t>
            </w:r>
          </w:p>
        </w:tc>
      </w:tr>
      <w:tr>
        <w:trPr>
          <w:trHeight w:val="1039" w:hRule="atLeast"/>
        </w:trPr>
        <w:tc>
          <w:tcPr>
            <w:tcW w:w="1402" w:type="dxa"/>
          </w:tcPr>
          <w:p>
            <w:pPr>
              <w:pStyle w:val="TableParagraph"/>
              <w:spacing w:before="114"/>
              <w:ind w:right="352"/>
              <w:rPr>
                <w:b/>
                <w:sz w:val="20"/>
              </w:rPr>
            </w:pPr>
            <w:r>
              <w:rPr>
                <w:b/>
                <w:sz w:val="20"/>
              </w:rPr>
              <w:t>Elastic</w:t>
            </w:r>
            <w:r>
              <w:rPr>
                <w:b/>
                <w:spacing w:val="1"/>
                <w:sz w:val="20"/>
              </w:rPr>
              <w:t> </w:t>
            </w:r>
            <w:r>
              <w:rPr>
                <w:b/>
                <w:sz w:val="20"/>
              </w:rPr>
              <w:t>Expansion</w:t>
            </w:r>
          </w:p>
        </w:tc>
        <w:tc>
          <w:tcPr>
            <w:tcW w:w="1944" w:type="dxa"/>
          </w:tcPr>
          <w:p>
            <w:pPr>
              <w:pStyle w:val="TableParagraph"/>
              <w:ind w:left="0" w:right="196"/>
              <w:jc w:val="right"/>
              <w:rPr>
                <w:sz w:val="20"/>
              </w:rPr>
            </w:pPr>
            <w:r>
              <w:rPr>
                <w:sz w:val="20"/>
              </w:rPr>
              <w:t>3.PEP.RE.EEXPS</w:t>
            </w:r>
          </w:p>
        </w:tc>
        <w:tc>
          <w:tcPr>
            <w:tcW w:w="4556" w:type="dxa"/>
          </w:tcPr>
          <w:p>
            <w:pPr>
              <w:pStyle w:val="TableParagraph"/>
              <w:spacing w:before="114"/>
              <w:ind w:left="167"/>
              <w:rPr>
                <w:sz w:val="20"/>
              </w:rPr>
            </w:pPr>
            <w:r>
              <w:rPr>
                <w:sz w:val="20"/>
              </w:rPr>
              <w:t>Elastic</w:t>
            </w:r>
            <w:r>
              <w:rPr>
                <w:spacing w:val="-5"/>
                <w:sz w:val="20"/>
              </w:rPr>
              <w:t> </w:t>
            </w:r>
            <w:r>
              <w:rPr>
                <w:sz w:val="20"/>
              </w:rPr>
              <w:t>expansion</w:t>
            </w:r>
            <w:r>
              <w:rPr>
                <w:spacing w:val="-5"/>
                <w:sz w:val="20"/>
              </w:rPr>
              <w:t> </w:t>
            </w:r>
            <w:r>
              <w:rPr>
                <w:sz w:val="20"/>
              </w:rPr>
              <w:t>enables</w:t>
            </w:r>
            <w:r>
              <w:rPr>
                <w:spacing w:val="-5"/>
                <w:sz w:val="20"/>
              </w:rPr>
              <w:t> </w:t>
            </w:r>
            <w:r>
              <w:rPr>
                <w:sz w:val="20"/>
              </w:rPr>
              <w:t>agencies</w:t>
            </w:r>
            <w:r>
              <w:rPr>
                <w:spacing w:val="-4"/>
                <w:sz w:val="20"/>
              </w:rPr>
              <w:t> </w:t>
            </w:r>
            <w:r>
              <w:rPr>
                <w:sz w:val="20"/>
              </w:rPr>
              <w:t>to</w:t>
            </w:r>
            <w:r>
              <w:rPr>
                <w:spacing w:val="-5"/>
                <w:sz w:val="20"/>
              </w:rPr>
              <w:t> </w:t>
            </w:r>
            <w:r>
              <w:rPr>
                <w:sz w:val="20"/>
              </w:rPr>
              <w:t>dynamically</w:t>
            </w:r>
            <w:r>
              <w:rPr>
                <w:spacing w:val="-47"/>
                <w:sz w:val="20"/>
              </w:rPr>
              <w:t> </w:t>
            </w:r>
            <w:r>
              <w:rPr>
                <w:sz w:val="20"/>
              </w:rPr>
              <w:t>expand the resources available for services as</w:t>
            </w:r>
            <w:r>
              <w:rPr>
                <w:spacing w:val="1"/>
                <w:sz w:val="20"/>
              </w:rPr>
              <w:t> </w:t>
            </w:r>
            <w:r>
              <w:rPr>
                <w:sz w:val="20"/>
              </w:rPr>
              <w:t>conditions</w:t>
            </w:r>
            <w:r>
              <w:rPr>
                <w:spacing w:val="-1"/>
                <w:sz w:val="20"/>
              </w:rPr>
              <w:t> </w:t>
            </w:r>
            <w:r>
              <w:rPr>
                <w:sz w:val="20"/>
              </w:rPr>
              <w:t>require.</w:t>
            </w:r>
          </w:p>
        </w:tc>
        <w:tc>
          <w:tcPr>
            <w:tcW w:w="1469" w:type="dxa"/>
          </w:tcPr>
          <w:p>
            <w:pPr>
              <w:pStyle w:val="TableParagraph"/>
              <w:spacing w:before="114"/>
              <w:ind w:left="133" w:right="682"/>
              <w:rPr>
                <w:sz w:val="20"/>
              </w:rPr>
            </w:pPr>
            <w:r>
              <w:rPr>
                <w:sz w:val="20"/>
              </w:rPr>
              <w:t>ID.AM,</w:t>
            </w:r>
            <w:r>
              <w:rPr>
                <w:spacing w:val="-47"/>
                <w:sz w:val="20"/>
              </w:rPr>
              <w:t> </w:t>
            </w:r>
            <w:r>
              <w:rPr>
                <w:sz w:val="20"/>
              </w:rPr>
              <w:t>PR.DS</w:t>
            </w:r>
          </w:p>
        </w:tc>
      </w:tr>
      <w:tr>
        <w:trPr>
          <w:trHeight w:val="1040" w:hRule="atLeast"/>
        </w:trPr>
        <w:tc>
          <w:tcPr>
            <w:tcW w:w="1402" w:type="dxa"/>
            <w:tcBorders>
              <w:bottom w:val="single" w:sz="4" w:space="0" w:color="0057B5"/>
            </w:tcBorders>
            <w:shd w:val="clear" w:color="auto" w:fill="E7EAF3"/>
          </w:tcPr>
          <w:p>
            <w:pPr>
              <w:pStyle w:val="TableParagraph"/>
              <w:ind w:right="497"/>
              <w:rPr>
                <w:b/>
                <w:sz w:val="20"/>
              </w:rPr>
            </w:pPr>
            <w:r>
              <w:rPr>
                <w:b/>
                <w:sz w:val="20"/>
              </w:rPr>
              <w:t>Regional</w:t>
            </w:r>
            <w:r>
              <w:rPr>
                <w:b/>
                <w:spacing w:val="-47"/>
                <w:sz w:val="20"/>
              </w:rPr>
              <w:t> </w:t>
            </w:r>
            <w:r>
              <w:rPr>
                <w:b/>
                <w:sz w:val="20"/>
              </w:rPr>
              <w:t>Delivery</w:t>
            </w:r>
          </w:p>
        </w:tc>
        <w:tc>
          <w:tcPr>
            <w:tcW w:w="1944" w:type="dxa"/>
            <w:tcBorders>
              <w:bottom w:val="single" w:sz="4" w:space="0" w:color="0057B5"/>
            </w:tcBorders>
            <w:shd w:val="clear" w:color="auto" w:fill="E7EAF3"/>
          </w:tcPr>
          <w:p>
            <w:pPr>
              <w:pStyle w:val="TableParagraph"/>
              <w:ind w:left="0" w:right="219"/>
              <w:jc w:val="right"/>
              <w:rPr>
                <w:sz w:val="20"/>
              </w:rPr>
            </w:pPr>
            <w:r>
              <w:rPr>
                <w:sz w:val="20"/>
              </w:rPr>
              <w:t>3.PEP.RE.RDELI</w:t>
            </w:r>
          </w:p>
        </w:tc>
        <w:tc>
          <w:tcPr>
            <w:tcW w:w="4556" w:type="dxa"/>
            <w:tcBorders>
              <w:bottom w:val="single" w:sz="4" w:space="0" w:color="0057B5"/>
            </w:tcBorders>
            <w:shd w:val="clear" w:color="auto" w:fill="E7EAF3"/>
          </w:tcPr>
          <w:p>
            <w:pPr>
              <w:pStyle w:val="TableParagraph"/>
              <w:ind w:left="167" w:right="109"/>
              <w:rPr>
                <w:sz w:val="20"/>
              </w:rPr>
            </w:pPr>
            <w:r>
              <w:rPr>
                <w:sz w:val="20"/>
              </w:rPr>
              <w:t>Regional delivery technologies enable the</w:t>
            </w:r>
            <w:r>
              <w:rPr>
                <w:spacing w:val="1"/>
                <w:sz w:val="20"/>
              </w:rPr>
              <w:t> </w:t>
            </w:r>
            <w:r>
              <w:rPr>
                <w:sz w:val="20"/>
              </w:rPr>
              <w:t>deployment of agency services across geographically</w:t>
            </w:r>
            <w:r>
              <w:rPr>
                <w:spacing w:val="-48"/>
                <w:sz w:val="20"/>
              </w:rPr>
              <w:t> </w:t>
            </w:r>
            <w:r>
              <w:rPr>
                <w:sz w:val="20"/>
              </w:rPr>
              <w:t>diverse</w:t>
            </w:r>
            <w:r>
              <w:rPr>
                <w:spacing w:val="-1"/>
                <w:sz w:val="20"/>
              </w:rPr>
              <w:t> </w:t>
            </w:r>
            <w:r>
              <w:rPr>
                <w:sz w:val="20"/>
              </w:rPr>
              <w:t>locations.</w:t>
            </w:r>
          </w:p>
        </w:tc>
        <w:tc>
          <w:tcPr>
            <w:tcW w:w="1469" w:type="dxa"/>
            <w:tcBorders>
              <w:bottom w:val="single" w:sz="4" w:space="0" w:color="0057B5"/>
            </w:tcBorders>
            <w:shd w:val="clear" w:color="auto" w:fill="E7EAF3"/>
          </w:tcPr>
          <w:p>
            <w:pPr>
              <w:pStyle w:val="TableParagraph"/>
              <w:ind w:left="133" w:right="106"/>
              <w:rPr>
                <w:sz w:val="20"/>
              </w:rPr>
            </w:pPr>
            <w:r>
              <w:rPr>
                <w:sz w:val="20"/>
              </w:rPr>
              <w:t>ID.AM,</w:t>
            </w:r>
            <w:r>
              <w:rPr>
                <w:spacing w:val="1"/>
                <w:sz w:val="20"/>
              </w:rPr>
              <w:t> </w:t>
            </w:r>
            <w:r>
              <w:rPr>
                <w:sz w:val="20"/>
              </w:rPr>
              <w:t>PR.AC,</w:t>
            </w:r>
            <w:r>
              <w:rPr>
                <w:spacing w:val="-13"/>
                <w:sz w:val="20"/>
              </w:rPr>
              <w:t> </w:t>
            </w:r>
            <w:r>
              <w:rPr>
                <w:sz w:val="20"/>
              </w:rPr>
              <w:t>PR.DS</w:t>
            </w:r>
          </w:p>
        </w:tc>
      </w:tr>
    </w:tbl>
    <w:p>
      <w:pPr>
        <w:pStyle w:val="BodyText"/>
        <w:rPr>
          <w:b/>
          <w:sz w:val="24"/>
        </w:rPr>
      </w:pPr>
    </w:p>
    <w:p>
      <w:pPr>
        <w:spacing w:before="158"/>
        <w:ind w:left="120" w:right="0" w:firstLine="0"/>
        <w:jc w:val="left"/>
        <w:rPr>
          <w:i/>
          <w:sz w:val="18"/>
        </w:rPr>
      </w:pPr>
      <w:bookmarkStart w:name="_bookmark24" w:id="39"/>
      <w:bookmarkEnd w:id="39"/>
      <w:r>
        <w:rPr/>
      </w:r>
      <w:r>
        <w:rPr>
          <w:i/>
          <w:sz w:val="18"/>
        </w:rPr>
        <w:t>Table</w:t>
      </w:r>
      <w:r>
        <w:rPr>
          <w:i/>
          <w:spacing w:val="-1"/>
          <w:sz w:val="18"/>
        </w:rPr>
        <w:t> </w:t>
      </w:r>
      <w:r>
        <w:rPr>
          <w:i/>
          <w:sz w:val="18"/>
        </w:rPr>
        <w:t>9:</w:t>
      </w:r>
      <w:r>
        <w:rPr>
          <w:i/>
          <w:spacing w:val="-2"/>
          <w:sz w:val="18"/>
        </w:rPr>
        <w:t> </w:t>
      </w:r>
      <w:r>
        <w:rPr>
          <w:i/>
          <w:sz w:val="18"/>
        </w:rPr>
        <w:t>Domain</w:t>
      </w:r>
      <w:r>
        <w:rPr>
          <w:i/>
          <w:spacing w:val="-2"/>
          <w:sz w:val="18"/>
        </w:rPr>
        <w:t> </w:t>
      </w:r>
      <w:r>
        <w:rPr>
          <w:i/>
          <w:sz w:val="18"/>
        </w:rPr>
        <w:t>Name System</w:t>
      </w:r>
      <w:r>
        <w:rPr>
          <w:i/>
          <w:spacing w:val="-3"/>
          <w:sz w:val="18"/>
        </w:rPr>
        <w:t> </w:t>
      </w:r>
      <w:r>
        <w:rPr>
          <w:i/>
          <w:sz w:val="18"/>
        </w:rPr>
        <w:t>PEP</w:t>
      </w:r>
      <w:r>
        <w:rPr>
          <w:i/>
          <w:spacing w:val="-3"/>
          <w:sz w:val="18"/>
        </w:rPr>
        <w:t> </w:t>
      </w:r>
      <w:r>
        <w:rPr>
          <w:i/>
          <w:sz w:val="18"/>
        </w:rPr>
        <w:t>Security</w:t>
      </w:r>
      <w:r>
        <w:rPr>
          <w:i/>
          <w:spacing w:val="-2"/>
          <w:sz w:val="18"/>
        </w:rPr>
        <w:t> </w:t>
      </w:r>
      <w:r>
        <w:rPr>
          <w:i/>
          <w:sz w:val="18"/>
        </w:rPr>
        <w:t>Capabilities</w:t>
      </w:r>
    </w:p>
    <w:p>
      <w:pPr>
        <w:pStyle w:val="BodyText"/>
        <w:spacing w:before="4"/>
        <w:rPr>
          <w:i/>
          <w:sz w:val="17"/>
        </w:rPr>
      </w:pPr>
    </w:p>
    <w:p>
      <w:pPr>
        <w:pStyle w:val="Heading3"/>
      </w:pPr>
      <w:r>
        <w:rPr/>
        <w:t>Domain</w:t>
      </w:r>
      <w:r>
        <w:rPr>
          <w:spacing w:val="-3"/>
        </w:rPr>
        <w:t> </w:t>
      </w:r>
      <w:r>
        <w:rPr/>
        <w:t>Name</w:t>
      </w:r>
      <w:r>
        <w:rPr>
          <w:spacing w:val="-4"/>
        </w:rPr>
        <w:t> </w:t>
      </w:r>
      <w:r>
        <w:rPr/>
        <w:t>System</w:t>
      </w:r>
      <w:r>
        <w:rPr>
          <w:spacing w:val="-4"/>
        </w:rPr>
        <w:t> </w:t>
      </w:r>
      <w:r>
        <w:rPr/>
        <w:t>PEP</w:t>
      </w:r>
      <w:r>
        <w:rPr>
          <w:spacing w:val="-3"/>
        </w:rPr>
        <w:t> </w:t>
      </w:r>
      <w:r>
        <w:rPr/>
        <w:t>Security</w:t>
      </w:r>
      <w:r>
        <w:rPr>
          <w:spacing w:val="-1"/>
        </w:rPr>
        <w:t> </w:t>
      </w:r>
      <w:r>
        <w:rPr/>
        <w:t>Capabilities</w:t>
      </w:r>
    </w:p>
    <w:p>
      <w:pPr>
        <w:pStyle w:val="BodyText"/>
        <w:spacing w:before="6"/>
        <w:rPr>
          <w:b/>
          <w:sz w:val="10"/>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22"/>
        <w:gridCol w:w="1918"/>
        <w:gridCol w:w="4438"/>
        <w:gridCol w:w="1499"/>
      </w:tblGrid>
      <w:tr>
        <w:trPr>
          <w:trHeight w:val="856" w:hRule="atLeast"/>
        </w:trPr>
        <w:tc>
          <w:tcPr>
            <w:tcW w:w="1522" w:type="dxa"/>
            <w:tcBorders>
              <w:top w:val="single" w:sz="4" w:space="0" w:color="0057B5"/>
              <w:bottom w:val="single" w:sz="4" w:space="0" w:color="0057B5"/>
            </w:tcBorders>
          </w:tcPr>
          <w:p>
            <w:pPr>
              <w:pStyle w:val="TableParagraph"/>
              <w:spacing w:before="0"/>
              <w:ind w:left="0"/>
              <w:rPr>
                <w:b/>
                <w:sz w:val="21"/>
              </w:rPr>
            </w:pPr>
          </w:p>
          <w:p>
            <w:pPr>
              <w:pStyle w:val="TableParagraph"/>
              <w:spacing w:before="0"/>
              <w:rPr>
                <w:b/>
                <w:sz w:val="22"/>
              </w:rPr>
            </w:pPr>
            <w:r>
              <w:rPr>
                <w:b/>
                <w:sz w:val="22"/>
              </w:rPr>
              <w:t>Capability</w:t>
            </w:r>
          </w:p>
        </w:tc>
        <w:tc>
          <w:tcPr>
            <w:tcW w:w="1918" w:type="dxa"/>
            <w:tcBorders>
              <w:top w:val="single" w:sz="4" w:space="0" w:color="0057B5"/>
              <w:bottom w:val="single" w:sz="4" w:space="0" w:color="0057B5"/>
            </w:tcBorders>
          </w:tcPr>
          <w:p>
            <w:pPr>
              <w:pStyle w:val="TableParagraph"/>
              <w:ind w:left="162" w:right="745"/>
              <w:rPr>
                <w:b/>
                <w:sz w:val="22"/>
              </w:rPr>
            </w:pPr>
            <w:r>
              <w:rPr>
                <w:b/>
                <w:sz w:val="22"/>
              </w:rPr>
              <w:t>Capability</w:t>
            </w:r>
            <w:r>
              <w:rPr>
                <w:b/>
                <w:spacing w:val="-52"/>
                <w:sz w:val="22"/>
              </w:rPr>
              <w:t> </w:t>
            </w:r>
            <w:r>
              <w:rPr>
                <w:b/>
                <w:sz w:val="22"/>
              </w:rPr>
              <w:t>Identifier</w:t>
            </w:r>
          </w:p>
        </w:tc>
        <w:tc>
          <w:tcPr>
            <w:tcW w:w="4438" w:type="dxa"/>
            <w:tcBorders>
              <w:top w:val="single" w:sz="4" w:space="0" w:color="0057B5"/>
              <w:bottom w:val="single" w:sz="4" w:space="0" w:color="0057B5"/>
            </w:tcBorders>
          </w:tcPr>
          <w:p>
            <w:pPr>
              <w:pStyle w:val="TableParagraph"/>
              <w:spacing w:before="0"/>
              <w:ind w:left="0"/>
              <w:rPr>
                <w:b/>
                <w:sz w:val="21"/>
              </w:rPr>
            </w:pPr>
          </w:p>
          <w:p>
            <w:pPr>
              <w:pStyle w:val="TableParagraph"/>
              <w:spacing w:before="0"/>
              <w:ind w:left="114"/>
              <w:rPr>
                <w:b/>
                <w:sz w:val="22"/>
              </w:rPr>
            </w:pPr>
            <w:r>
              <w:rPr>
                <w:b/>
                <w:sz w:val="22"/>
              </w:rPr>
              <w:t>Description</w:t>
            </w:r>
          </w:p>
        </w:tc>
        <w:tc>
          <w:tcPr>
            <w:tcW w:w="1499" w:type="dxa"/>
            <w:tcBorders>
              <w:top w:val="single" w:sz="4" w:space="0" w:color="0057B5"/>
              <w:bottom w:val="single" w:sz="4" w:space="0" w:color="0057B5"/>
            </w:tcBorders>
          </w:tcPr>
          <w:p>
            <w:pPr>
              <w:pStyle w:val="TableParagraph"/>
              <w:ind w:left="154"/>
              <w:rPr>
                <w:b/>
                <w:sz w:val="22"/>
              </w:rPr>
            </w:pPr>
            <w:r>
              <w:rPr>
                <w:b/>
                <w:sz w:val="22"/>
              </w:rPr>
              <w:t>NIST</w:t>
            </w:r>
            <w:r>
              <w:rPr>
                <w:b/>
                <w:spacing w:val="-3"/>
                <w:sz w:val="22"/>
              </w:rPr>
              <w:t> </w:t>
            </w:r>
            <w:r>
              <w:rPr>
                <w:b/>
                <w:sz w:val="22"/>
              </w:rPr>
              <w:t>CSF</w:t>
            </w:r>
          </w:p>
          <w:p>
            <w:pPr>
              <w:pStyle w:val="TableParagraph"/>
              <w:spacing w:before="0"/>
              <w:ind w:left="154"/>
              <w:rPr>
                <w:b/>
                <w:sz w:val="22"/>
              </w:rPr>
            </w:pPr>
            <w:r>
              <w:rPr>
                <w:b/>
                <w:sz w:val="22"/>
              </w:rPr>
              <w:t>Mapping</w:t>
            </w:r>
          </w:p>
        </w:tc>
      </w:tr>
      <w:tr>
        <w:trPr>
          <w:trHeight w:val="1259" w:hRule="atLeast"/>
        </w:trPr>
        <w:tc>
          <w:tcPr>
            <w:tcW w:w="1522" w:type="dxa"/>
            <w:tcBorders>
              <w:top w:val="single" w:sz="4" w:space="0" w:color="0057B5"/>
            </w:tcBorders>
            <w:shd w:val="clear" w:color="auto" w:fill="E7EAF3"/>
          </w:tcPr>
          <w:p>
            <w:pPr>
              <w:pStyle w:val="TableParagraph"/>
              <w:spacing w:before="104"/>
              <w:ind w:right="145"/>
              <w:rPr>
                <w:b/>
                <w:sz w:val="20"/>
              </w:rPr>
            </w:pPr>
            <w:r>
              <w:rPr>
                <w:b/>
                <w:sz w:val="20"/>
              </w:rPr>
              <w:t>Domain Name</w:t>
            </w:r>
            <w:r>
              <w:rPr>
                <w:b/>
                <w:spacing w:val="-47"/>
                <w:sz w:val="20"/>
              </w:rPr>
              <w:t> </w:t>
            </w:r>
            <w:r>
              <w:rPr>
                <w:b/>
                <w:sz w:val="20"/>
              </w:rPr>
              <w:t>Sinkholing</w:t>
            </w:r>
          </w:p>
        </w:tc>
        <w:tc>
          <w:tcPr>
            <w:tcW w:w="1918" w:type="dxa"/>
            <w:tcBorders>
              <w:top w:val="single" w:sz="4" w:space="0" w:color="0057B5"/>
            </w:tcBorders>
            <w:shd w:val="clear" w:color="auto" w:fill="E7EAF3"/>
          </w:tcPr>
          <w:p>
            <w:pPr>
              <w:pStyle w:val="TableParagraph"/>
              <w:spacing w:before="106"/>
              <w:ind w:left="162"/>
              <w:rPr>
                <w:sz w:val="20"/>
              </w:rPr>
            </w:pPr>
            <w:r>
              <w:rPr>
                <w:sz w:val="20"/>
              </w:rPr>
              <w:t>3.PEP.DO.DNSIN</w:t>
            </w:r>
          </w:p>
        </w:tc>
        <w:tc>
          <w:tcPr>
            <w:tcW w:w="4438" w:type="dxa"/>
            <w:tcBorders>
              <w:top w:val="single" w:sz="4" w:space="0" w:color="0057B5"/>
            </w:tcBorders>
            <w:shd w:val="clear" w:color="auto" w:fill="E7EAF3"/>
          </w:tcPr>
          <w:p>
            <w:pPr>
              <w:pStyle w:val="TableParagraph"/>
              <w:spacing w:before="104"/>
              <w:ind w:left="114" w:right="255"/>
              <w:rPr>
                <w:sz w:val="20"/>
              </w:rPr>
            </w:pPr>
            <w:r>
              <w:rPr>
                <w:sz w:val="20"/>
              </w:rPr>
              <w:t>Domain name sinkholing protections are a form of</w:t>
            </w:r>
            <w:r>
              <w:rPr>
                <w:spacing w:val="-47"/>
                <w:sz w:val="20"/>
              </w:rPr>
              <w:t> </w:t>
            </w:r>
            <w:r>
              <w:rPr>
                <w:sz w:val="20"/>
              </w:rPr>
              <w:t>denylisting that protect clients from accessing</w:t>
            </w:r>
            <w:r>
              <w:rPr>
                <w:spacing w:val="1"/>
                <w:sz w:val="20"/>
              </w:rPr>
              <w:t> </w:t>
            </w:r>
            <w:r>
              <w:rPr>
                <w:sz w:val="20"/>
              </w:rPr>
              <w:t>malicious domains by responding to DNS queries</w:t>
            </w:r>
            <w:r>
              <w:rPr>
                <w:spacing w:val="1"/>
                <w:sz w:val="20"/>
              </w:rPr>
              <w:t> </w:t>
            </w:r>
            <w:r>
              <w:rPr>
                <w:sz w:val="20"/>
              </w:rPr>
              <w:t>for</w:t>
            </w:r>
            <w:r>
              <w:rPr>
                <w:spacing w:val="-1"/>
                <w:sz w:val="20"/>
              </w:rPr>
              <w:t> </w:t>
            </w:r>
            <w:r>
              <w:rPr>
                <w:sz w:val="20"/>
              </w:rPr>
              <w:t>those</w:t>
            </w:r>
            <w:r>
              <w:rPr>
                <w:spacing w:val="-1"/>
                <w:sz w:val="20"/>
              </w:rPr>
              <w:t> </w:t>
            </w:r>
            <w:r>
              <w:rPr>
                <w:sz w:val="20"/>
              </w:rPr>
              <w:t>domains.</w:t>
            </w:r>
          </w:p>
        </w:tc>
        <w:tc>
          <w:tcPr>
            <w:tcW w:w="1499" w:type="dxa"/>
            <w:tcBorders>
              <w:top w:val="single" w:sz="4" w:space="0" w:color="0057B5"/>
            </w:tcBorders>
            <w:shd w:val="clear" w:color="auto" w:fill="E7EAF3"/>
          </w:tcPr>
          <w:p>
            <w:pPr>
              <w:pStyle w:val="TableParagraph"/>
              <w:spacing w:before="106"/>
              <w:ind w:left="154"/>
              <w:rPr>
                <w:sz w:val="20"/>
              </w:rPr>
            </w:pPr>
            <w:r>
              <w:rPr>
                <w:sz w:val="20"/>
              </w:rPr>
              <w:t>PR.PT</w:t>
            </w:r>
          </w:p>
        </w:tc>
      </w:tr>
      <w:tr>
        <w:trPr>
          <w:trHeight w:val="1499" w:hRule="atLeast"/>
        </w:trPr>
        <w:tc>
          <w:tcPr>
            <w:tcW w:w="1522" w:type="dxa"/>
          </w:tcPr>
          <w:p>
            <w:pPr>
              <w:pStyle w:val="TableParagraph"/>
              <w:ind w:right="145"/>
              <w:rPr>
                <w:b/>
                <w:sz w:val="20"/>
              </w:rPr>
            </w:pPr>
            <w:r>
              <w:rPr>
                <w:b/>
                <w:sz w:val="20"/>
              </w:rPr>
              <w:t>Domain Name</w:t>
            </w:r>
            <w:r>
              <w:rPr>
                <w:b/>
                <w:spacing w:val="-47"/>
                <w:sz w:val="20"/>
              </w:rPr>
              <w:t> </w:t>
            </w:r>
            <w:r>
              <w:rPr>
                <w:b/>
                <w:sz w:val="20"/>
              </w:rPr>
              <w:t>Verification</w:t>
            </w:r>
            <w:r>
              <w:rPr>
                <w:b/>
                <w:spacing w:val="1"/>
                <w:sz w:val="20"/>
              </w:rPr>
              <w:t> </w:t>
            </w:r>
            <w:r>
              <w:rPr>
                <w:b/>
                <w:sz w:val="20"/>
              </w:rPr>
              <w:t>for Agency</w:t>
            </w:r>
            <w:r>
              <w:rPr>
                <w:b/>
                <w:spacing w:val="1"/>
                <w:sz w:val="20"/>
              </w:rPr>
              <w:t> </w:t>
            </w:r>
            <w:r>
              <w:rPr>
                <w:b/>
                <w:sz w:val="20"/>
              </w:rPr>
              <w:t>Clients</w:t>
            </w:r>
          </w:p>
        </w:tc>
        <w:tc>
          <w:tcPr>
            <w:tcW w:w="1918" w:type="dxa"/>
          </w:tcPr>
          <w:p>
            <w:pPr>
              <w:pStyle w:val="TableParagraph"/>
              <w:ind w:left="162"/>
              <w:rPr>
                <w:sz w:val="20"/>
              </w:rPr>
            </w:pPr>
            <w:r>
              <w:rPr>
                <w:sz w:val="20"/>
              </w:rPr>
              <w:t>3.PEP.DO.DNVAC</w:t>
            </w:r>
          </w:p>
        </w:tc>
        <w:tc>
          <w:tcPr>
            <w:tcW w:w="4438" w:type="dxa"/>
          </w:tcPr>
          <w:p>
            <w:pPr>
              <w:pStyle w:val="TableParagraph"/>
              <w:ind w:left="114" w:right="166"/>
              <w:rPr>
                <w:sz w:val="20"/>
              </w:rPr>
            </w:pPr>
            <w:r>
              <w:rPr>
                <w:sz w:val="20"/>
              </w:rPr>
              <w:t>Domain name verification protections ensure that</w:t>
            </w:r>
            <w:r>
              <w:rPr>
                <w:spacing w:val="1"/>
                <w:sz w:val="20"/>
              </w:rPr>
              <w:t> </w:t>
            </w:r>
            <w:r>
              <w:rPr>
                <w:sz w:val="20"/>
              </w:rPr>
              <w:t>domain name lookups from agency clients, whether</w:t>
            </w:r>
            <w:r>
              <w:rPr>
                <w:spacing w:val="-47"/>
                <w:sz w:val="20"/>
              </w:rPr>
              <w:t> </w:t>
            </w:r>
            <w:r>
              <w:rPr>
                <w:sz w:val="20"/>
              </w:rPr>
              <w:t>for internal or external domains, are validated</w:t>
            </w:r>
            <w:r>
              <w:rPr>
                <w:spacing w:val="1"/>
                <w:sz w:val="20"/>
              </w:rPr>
              <w:t> </w:t>
            </w:r>
            <w:r>
              <w:rPr>
                <w:sz w:val="20"/>
              </w:rPr>
              <w:t>according to Domain Name System Security</w:t>
            </w:r>
            <w:r>
              <w:rPr>
                <w:spacing w:val="1"/>
                <w:sz w:val="20"/>
              </w:rPr>
              <w:t> </w:t>
            </w:r>
            <w:r>
              <w:rPr>
                <w:sz w:val="20"/>
              </w:rPr>
              <w:t>Extensions</w:t>
            </w:r>
            <w:r>
              <w:rPr>
                <w:spacing w:val="-1"/>
                <w:sz w:val="20"/>
              </w:rPr>
              <w:t> </w:t>
            </w:r>
            <w:r>
              <w:rPr>
                <w:sz w:val="20"/>
              </w:rPr>
              <w:t>(DNSSEC).</w:t>
            </w:r>
          </w:p>
        </w:tc>
        <w:tc>
          <w:tcPr>
            <w:tcW w:w="1499" w:type="dxa"/>
          </w:tcPr>
          <w:p>
            <w:pPr>
              <w:pStyle w:val="TableParagraph"/>
              <w:ind w:left="154"/>
              <w:rPr>
                <w:sz w:val="20"/>
              </w:rPr>
            </w:pPr>
            <w:r>
              <w:rPr>
                <w:sz w:val="20"/>
              </w:rPr>
              <w:t>PR.PT</w:t>
            </w:r>
          </w:p>
        </w:tc>
      </w:tr>
      <w:tr>
        <w:trPr>
          <w:trHeight w:val="1269" w:hRule="atLeast"/>
        </w:trPr>
        <w:tc>
          <w:tcPr>
            <w:tcW w:w="1522" w:type="dxa"/>
            <w:shd w:val="clear" w:color="auto" w:fill="E7EAF3"/>
          </w:tcPr>
          <w:p>
            <w:pPr>
              <w:pStyle w:val="TableParagraph"/>
              <w:ind w:right="145"/>
              <w:rPr>
                <w:b/>
                <w:sz w:val="20"/>
              </w:rPr>
            </w:pPr>
            <w:r>
              <w:rPr>
                <w:b/>
                <w:sz w:val="20"/>
              </w:rPr>
              <w:t>Domain Name</w:t>
            </w:r>
            <w:r>
              <w:rPr>
                <w:b/>
                <w:spacing w:val="-47"/>
                <w:sz w:val="20"/>
              </w:rPr>
              <w:t> </w:t>
            </w:r>
            <w:r>
              <w:rPr>
                <w:b/>
                <w:sz w:val="20"/>
              </w:rPr>
              <w:t>Validation for</w:t>
            </w:r>
            <w:r>
              <w:rPr>
                <w:b/>
                <w:spacing w:val="-47"/>
                <w:sz w:val="20"/>
              </w:rPr>
              <w:t> </w:t>
            </w:r>
            <w:r>
              <w:rPr>
                <w:b/>
                <w:sz w:val="20"/>
              </w:rPr>
              <w:t>Agency</w:t>
            </w:r>
            <w:r>
              <w:rPr>
                <w:b/>
                <w:spacing w:val="1"/>
                <w:sz w:val="20"/>
              </w:rPr>
              <w:t> </w:t>
            </w:r>
            <w:r>
              <w:rPr>
                <w:b/>
                <w:sz w:val="20"/>
              </w:rPr>
              <w:t>Domains</w:t>
            </w:r>
          </w:p>
        </w:tc>
        <w:tc>
          <w:tcPr>
            <w:tcW w:w="1918" w:type="dxa"/>
            <w:shd w:val="clear" w:color="auto" w:fill="E7EAF3"/>
          </w:tcPr>
          <w:p>
            <w:pPr>
              <w:pStyle w:val="TableParagraph"/>
              <w:ind w:left="162"/>
              <w:rPr>
                <w:sz w:val="20"/>
              </w:rPr>
            </w:pPr>
            <w:r>
              <w:rPr>
                <w:sz w:val="20"/>
              </w:rPr>
              <w:t>3.PEP.DO.DNVAD</w:t>
            </w:r>
          </w:p>
        </w:tc>
        <w:tc>
          <w:tcPr>
            <w:tcW w:w="4438" w:type="dxa"/>
            <w:shd w:val="clear" w:color="auto" w:fill="E7EAF3"/>
          </w:tcPr>
          <w:p>
            <w:pPr>
              <w:pStyle w:val="TableParagraph"/>
              <w:ind w:left="114" w:right="138"/>
              <w:rPr>
                <w:sz w:val="20"/>
              </w:rPr>
            </w:pPr>
            <w:r>
              <w:rPr>
                <w:sz w:val="20"/>
              </w:rPr>
              <w:t>Domain name validation protections ensure that all</w:t>
            </w:r>
            <w:r>
              <w:rPr>
                <w:spacing w:val="1"/>
                <w:sz w:val="20"/>
              </w:rPr>
              <w:t> </w:t>
            </w:r>
            <w:r>
              <w:rPr>
                <w:sz w:val="20"/>
              </w:rPr>
              <w:t>agency domain names are secured using DNSSEC,</w:t>
            </w:r>
            <w:r>
              <w:rPr>
                <w:spacing w:val="1"/>
                <w:sz w:val="20"/>
              </w:rPr>
              <w:t> </w:t>
            </w:r>
            <w:r>
              <w:rPr>
                <w:sz w:val="20"/>
              </w:rPr>
              <w:t>enabling external entities to validate their resolution</w:t>
            </w:r>
            <w:r>
              <w:rPr>
                <w:spacing w:val="-47"/>
                <w:sz w:val="20"/>
              </w:rPr>
              <w:t> </w:t>
            </w:r>
            <w:r>
              <w:rPr>
                <w:sz w:val="20"/>
              </w:rPr>
              <w:t>to the</w:t>
            </w:r>
            <w:r>
              <w:rPr>
                <w:spacing w:val="-1"/>
                <w:sz w:val="20"/>
              </w:rPr>
              <w:t> </w:t>
            </w:r>
            <w:r>
              <w:rPr>
                <w:sz w:val="20"/>
              </w:rPr>
              <w:t>domain</w:t>
            </w:r>
            <w:r>
              <w:rPr>
                <w:spacing w:val="-1"/>
                <w:sz w:val="20"/>
              </w:rPr>
              <w:t> </w:t>
            </w:r>
            <w:r>
              <w:rPr>
                <w:sz w:val="20"/>
              </w:rPr>
              <w:t>names.</w:t>
            </w:r>
          </w:p>
        </w:tc>
        <w:tc>
          <w:tcPr>
            <w:tcW w:w="1499" w:type="dxa"/>
            <w:shd w:val="clear" w:color="auto" w:fill="E7EAF3"/>
          </w:tcPr>
          <w:p>
            <w:pPr>
              <w:pStyle w:val="TableParagraph"/>
              <w:ind w:left="154"/>
              <w:rPr>
                <w:sz w:val="20"/>
              </w:rPr>
            </w:pPr>
            <w:r>
              <w:rPr>
                <w:sz w:val="20"/>
              </w:rPr>
              <w:t>PR.PT</w:t>
            </w:r>
          </w:p>
        </w:tc>
      </w:tr>
      <w:tr>
        <w:trPr>
          <w:trHeight w:val="1040" w:hRule="atLeast"/>
        </w:trPr>
        <w:tc>
          <w:tcPr>
            <w:tcW w:w="1522" w:type="dxa"/>
            <w:tcBorders>
              <w:bottom w:val="single" w:sz="4" w:space="0" w:color="0057B5"/>
            </w:tcBorders>
          </w:tcPr>
          <w:p>
            <w:pPr>
              <w:pStyle w:val="TableParagraph"/>
              <w:ind w:right="145"/>
              <w:rPr>
                <w:b/>
                <w:sz w:val="20"/>
              </w:rPr>
            </w:pPr>
            <w:r>
              <w:rPr>
                <w:b/>
                <w:sz w:val="20"/>
              </w:rPr>
              <w:t>Domain Name</w:t>
            </w:r>
            <w:r>
              <w:rPr>
                <w:b/>
                <w:spacing w:val="-47"/>
                <w:sz w:val="20"/>
              </w:rPr>
              <w:t> </w:t>
            </w:r>
            <w:r>
              <w:rPr>
                <w:b/>
                <w:sz w:val="20"/>
              </w:rPr>
              <w:t>Monitoring</w:t>
            </w:r>
          </w:p>
        </w:tc>
        <w:tc>
          <w:tcPr>
            <w:tcW w:w="1918" w:type="dxa"/>
            <w:tcBorders>
              <w:bottom w:val="single" w:sz="4" w:space="0" w:color="0057B5"/>
            </w:tcBorders>
          </w:tcPr>
          <w:p>
            <w:pPr>
              <w:pStyle w:val="TableParagraph"/>
              <w:ind w:left="162"/>
              <w:rPr>
                <w:sz w:val="20"/>
              </w:rPr>
            </w:pPr>
            <w:r>
              <w:rPr>
                <w:sz w:val="20"/>
              </w:rPr>
              <w:t>3.PEP.DO.DNMON</w:t>
            </w:r>
          </w:p>
        </w:tc>
        <w:tc>
          <w:tcPr>
            <w:tcW w:w="4438" w:type="dxa"/>
            <w:tcBorders>
              <w:bottom w:val="single" w:sz="4" w:space="0" w:color="0057B5"/>
            </w:tcBorders>
          </w:tcPr>
          <w:p>
            <w:pPr>
              <w:pStyle w:val="TableParagraph"/>
              <w:ind w:left="114" w:right="706"/>
              <w:jc w:val="both"/>
              <w:rPr>
                <w:sz w:val="20"/>
              </w:rPr>
            </w:pPr>
            <w:r>
              <w:rPr>
                <w:sz w:val="20"/>
              </w:rPr>
              <w:t>Domain name monitoring allows agencies to</w:t>
            </w:r>
            <w:r>
              <w:rPr>
                <w:spacing w:val="-47"/>
                <w:sz w:val="20"/>
              </w:rPr>
              <w:t> </w:t>
            </w:r>
            <w:r>
              <w:rPr>
                <w:sz w:val="20"/>
              </w:rPr>
              <w:t>discover the creation of or changes to agency</w:t>
            </w:r>
            <w:r>
              <w:rPr>
                <w:spacing w:val="-48"/>
                <w:sz w:val="20"/>
              </w:rPr>
              <w:t> </w:t>
            </w:r>
            <w:r>
              <w:rPr>
                <w:sz w:val="20"/>
              </w:rPr>
              <w:t>domains.</w:t>
            </w:r>
          </w:p>
        </w:tc>
        <w:tc>
          <w:tcPr>
            <w:tcW w:w="1499" w:type="dxa"/>
            <w:tcBorders>
              <w:bottom w:val="single" w:sz="4" w:space="0" w:color="0057B5"/>
            </w:tcBorders>
          </w:tcPr>
          <w:p>
            <w:pPr>
              <w:pStyle w:val="TableParagraph"/>
              <w:spacing w:line="230" w:lineRule="exact"/>
              <w:ind w:left="154"/>
              <w:rPr>
                <w:sz w:val="20"/>
              </w:rPr>
            </w:pPr>
            <w:r>
              <w:rPr>
                <w:sz w:val="20"/>
              </w:rPr>
              <w:t>ID.RA,</w:t>
            </w:r>
          </w:p>
          <w:p>
            <w:pPr>
              <w:pStyle w:val="TableParagraph"/>
              <w:spacing w:before="0"/>
              <w:ind w:left="154" w:right="697"/>
              <w:rPr>
                <w:sz w:val="20"/>
              </w:rPr>
            </w:pPr>
            <w:r>
              <w:rPr>
                <w:sz w:val="20"/>
              </w:rPr>
              <w:t>PR.AC,</w:t>
            </w:r>
            <w:r>
              <w:rPr>
                <w:spacing w:val="-47"/>
                <w:sz w:val="20"/>
              </w:rPr>
              <w:t> </w:t>
            </w:r>
            <w:r>
              <w:rPr>
                <w:sz w:val="20"/>
              </w:rPr>
              <w:t>DE.CM</w:t>
            </w:r>
          </w:p>
        </w:tc>
      </w:tr>
    </w:tbl>
    <w:p>
      <w:pPr>
        <w:spacing w:after="0"/>
        <w:rPr>
          <w:sz w:val="20"/>
        </w:rPr>
        <w:sectPr>
          <w:pgSz w:w="12240" w:h="15840"/>
          <w:pgMar w:header="730" w:footer="764" w:top="960" w:bottom="960" w:left="1320" w:right="1080"/>
        </w:sectPr>
      </w:pPr>
    </w:p>
    <w:p>
      <w:pPr>
        <w:pStyle w:val="BodyText"/>
        <w:rPr>
          <w:b/>
          <w:sz w:val="20"/>
        </w:rPr>
      </w:pPr>
    </w:p>
    <w:p>
      <w:pPr>
        <w:pStyle w:val="BodyText"/>
        <w:spacing w:before="7"/>
        <w:rPr>
          <w:b/>
          <w:sz w:val="20"/>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22"/>
        <w:gridCol w:w="1868"/>
        <w:gridCol w:w="4473"/>
        <w:gridCol w:w="1513"/>
      </w:tblGrid>
      <w:tr>
        <w:trPr>
          <w:trHeight w:val="856" w:hRule="atLeast"/>
        </w:trPr>
        <w:tc>
          <w:tcPr>
            <w:tcW w:w="1522" w:type="dxa"/>
            <w:tcBorders>
              <w:top w:val="single" w:sz="4" w:space="0" w:color="0057B5"/>
              <w:bottom w:val="single" w:sz="4" w:space="0" w:color="0057B5"/>
            </w:tcBorders>
          </w:tcPr>
          <w:p>
            <w:pPr>
              <w:pStyle w:val="TableParagraph"/>
              <w:spacing w:before="0"/>
              <w:ind w:left="0"/>
              <w:rPr>
                <w:b/>
                <w:sz w:val="21"/>
              </w:rPr>
            </w:pPr>
          </w:p>
          <w:p>
            <w:pPr>
              <w:pStyle w:val="TableParagraph"/>
              <w:spacing w:before="0"/>
              <w:rPr>
                <w:b/>
                <w:sz w:val="22"/>
              </w:rPr>
            </w:pPr>
            <w:r>
              <w:rPr>
                <w:b/>
                <w:sz w:val="22"/>
              </w:rPr>
              <w:t>Capability</w:t>
            </w:r>
          </w:p>
        </w:tc>
        <w:tc>
          <w:tcPr>
            <w:tcW w:w="1868" w:type="dxa"/>
            <w:tcBorders>
              <w:top w:val="single" w:sz="4" w:space="0" w:color="0057B5"/>
              <w:bottom w:val="single" w:sz="4" w:space="0" w:color="0057B5"/>
            </w:tcBorders>
          </w:tcPr>
          <w:p>
            <w:pPr>
              <w:pStyle w:val="TableParagraph"/>
              <w:ind w:left="162" w:right="695"/>
              <w:rPr>
                <w:b/>
                <w:sz w:val="22"/>
              </w:rPr>
            </w:pPr>
            <w:r>
              <w:rPr>
                <w:b/>
                <w:sz w:val="22"/>
              </w:rPr>
              <w:t>Capability</w:t>
            </w:r>
            <w:r>
              <w:rPr>
                <w:b/>
                <w:spacing w:val="-52"/>
                <w:sz w:val="22"/>
              </w:rPr>
              <w:t> </w:t>
            </w:r>
            <w:r>
              <w:rPr>
                <w:b/>
                <w:sz w:val="22"/>
              </w:rPr>
              <w:t>Identifier</w:t>
            </w:r>
          </w:p>
        </w:tc>
        <w:tc>
          <w:tcPr>
            <w:tcW w:w="4473" w:type="dxa"/>
            <w:tcBorders>
              <w:top w:val="single" w:sz="4" w:space="0" w:color="0057B5"/>
              <w:bottom w:val="single" w:sz="4" w:space="0" w:color="0057B5"/>
            </w:tcBorders>
          </w:tcPr>
          <w:p>
            <w:pPr>
              <w:pStyle w:val="TableParagraph"/>
              <w:spacing w:before="0"/>
              <w:ind w:left="0"/>
              <w:rPr>
                <w:b/>
                <w:sz w:val="21"/>
              </w:rPr>
            </w:pPr>
          </w:p>
          <w:p>
            <w:pPr>
              <w:pStyle w:val="TableParagraph"/>
              <w:spacing w:before="0"/>
              <w:ind w:left="164"/>
              <w:rPr>
                <w:b/>
                <w:sz w:val="22"/>
              </w:rPr>
            </w:pPr>
            <w:r>
              <w:rPr>
                <w:b/>
                <w:sz w:val="22"/>
              </w:rPr>
              <w:t>Description</w:t>
            </w:r>
          </w:p>
        </w:tc>
        <w:tc>
          <w:tcPr>
            <w:tcW w:w="1513" w:type="dxa"/>
            <w:tcBorders>
              <w:top w:val="single" w:sz="4" w:space="0" w:color="0057B5"/>
              <w:bottom w:val="single" w:sz="4" w:space="0" w:color="0057B5"/>
            </w:tcBorders>
          </w:tcPr>
          <w:p>
            <w:pPr>
              <w:pStyle w:val="TableParagraph"/>
              <w:ind w:left="169"/>
              <w:rPr>
                <w:b/>
                <w:sz w:val="22"/>
              </w:rPr>
            </w:pPr>
            <w:r>
              <w:rPr>
                <w:b/>
                <w:sz w:val="22"/>
              </w:rPr>
              <w:t>NIST</w:t>
            </w:r>
            <w:r>
              <w:rPr>
                <w:b/>
                <w:spacing w:val="-3"/>
                <w:sz w:val="22"/>
              </w:rPr>
              <w:t> </w:t>
            </w:r>
            <w:r>
              <w:rPr>
                <w:b/>
                <w:sz w:val="22"/>
              </w:rPr>
              <w:t>CSF</w:t>
            </w:r>
          </w:p>
          <w:p>
            <w:pPr>
              <w:pStyle w:val="TableParagraph"/>
              <w:spacing w:before="0"/>
              <w:ind w:left="169"/>
              <w:rPr>
                <w:b/>
                <w:sz w:val="22"/>
              </w:rPr>
            </w:pPr>
            <w:r>
              <w:rPr>
                <w:b/>
                <w:sz w:val="22"/>
              </w:rPr>
              <w:t>Mapping</w:t>
            </w:r>
          </w:p>
        </w:tc>
      </w:tr>
      <w:tr>
        <w:trPr>
          <w:trHeight w:val="1259" w:hRule="atLeast"/>
        </w:trPr>
        <w:tc>
          <w:tcPr>
            <w:tcW w:w="1522" w:type="dxa"/>
            <w:tcBorders>
              <w:top w:val="single" w:sz="4" w:space="0" w:color="0057B5"/>
              <w:bottom w:val="single" w:sz="4" w:space="0" w:color="0057B5"/>
            </w:tcBorders>
            <w:shd w:val="clear" w:color="auto" w:fill="E7EAF3"/>
          </w:tcPr>
          <w:p>
            <w:pPr>
              <w:pStyle w:val="TableParagraph"/>
              <w:spacing w:before="104"/>
              <w:rPr>
                <w:b/>
                <w:sz w:val="20"/>
              </w:rPr>
            </w:pPr>
            <w:r>
              <w:rPr>
                <w:b/>
                <w:sz w:val="20"/>
              </w:rPr>
              <w:t>EINSTEIN</w:t>
            </w:r>
            <w:r>
              <w:rPr>
                <w:b/>
                <w:spacing w:val="-2"/>
                <w:sz w:val="20"/>
              </w:rPr>
              <w:t> </w:t>
            </w:r>
            <w:r>
              <w:rPr>
                <w:b/>
                <w:sz w:val="20"/>
              </w:rPr>
              <w:t>3</w:t>
            </w:r>
          </w:p>
          <w:p>
            <w:pPr>
              <w:pStyle w:val="TableParagraph"/>
              <w:spacing w:before="1"/>
              <w:ind w:right="145"/>
              <w:rPr>
                <w:b/>
                <w:sz w:val="20"/>
              </w:rPr>
            </w:pPr>
            <w:r>
              <w:rPr>
                <w:b/>
                <w:sz w:val="20"/>
              </w:rPr>
              <w:t>Accelerated</w:t>
            </w:r>
            <w:r>
              <w:rPr>
                <w:b/>
                <w:spacing w:val="1"/>
                <w:sz w:val="20"/>
              </w:rPr>
              <w:t> </w:t>
            </w:r>
            <w:r>
              <w:rPr>
                <w:b/>
                <w:sz w:val="20"/>
              </w:rPr>
              <w:t>Domain Name</w:t>
            </w:r>
            <w:r>
              <w:rPr>
                <w:b/>
                <w:spacing w:val="-47"/>
                <w:sz w:val="20"/>
              </w:rPr>
              <w:t> </w:t>
            </w:r>
            <w:r>
              <w:rPr>
                <w:b/>
                <w:sz w:val="20"/>
              </w:rPr>
              <w:t>Protections</w:t>
            </w:r>
          </w:p>
        </w:tc>
        <w:tc>
          <w:tcPr>
            <w:tcW w:w="1868" w:type="dxa"/>
            <w:tcBorders>
              <w:top w:val="single" w:sz="4" w:space="0" w:color="0057B5"/>
              <w:bottom w:val="single" w:sz="4" w:space="0" w:color="0057B5"/>
            </w:tcBorders>
            <w:shd w:val="clear" w:color="auto" w:fill="E7EAF3"/>
          </w:tcPr>
          <w:p>
            <w:pPr>
              <w:pStyle w:val="TableParagraph"/>
              <w:spacing w:before="104"/>
              <w:ind w:left="162"/>
              <w:rPr>
                <w:sz w:val="20"/>
              </w:rPr>
            </w:pPr>
            <w:r>
              <w:rPr>
                <w:sz w:val="20"/>
              </w:rPr>
              <w:t>3.PEP.DO.E3ADN</w:t>
            </w:r>
          </w:p>
        </w:tc>
        <w:tc>
          <w:tcPr>
            <w:tcW w:w="4473" w:type="dxa"/>
            <w:tcBorders>
              <w:top w:val="single" w:sz="4" w:space="0" w:color="0057B5"/>
              <w:bottom w:val="single" w:sz="4" w:space="0" w:color="0057B5"/>
            </w:tcBorders>
            <w:shd w:val="clear" w:color="auto" w:fill="E7EAF3"/>
          </w:tcPr>
          <w:p>
            <w:pPr>
              <w:pStyle w:val="TableParagraph"/>
              <w:spacing w:before="104"/>
              <w:ind w:left="164" w:right="152"/>
              <w:rPr>
                <w:sz w:val="20"/>
              </w:rPr>
            </w:pPr>
            <w:r>
              <w:rPr>
                <w:sz w:val="20"/>
              </w:rPr>
              <w:t>E</w:t>
            </w:r>
            <w:r>
              <w:rPr>
                <w:sz w:val="20"/>
                <w:vertAlign w:val="superscript"/>
              </w:rPr>
              <w:t>3</w:t>
            </w:r>
            <w:r>
              <w:rPr>
                <w:sz w:val="20"/>
                <w:vertAlign w:val="baseline"/>
              </w:rPr>
              <w:t>A is an intrusion prevention capability offered by</w:t>
            </w:r>
            <w:r>
              <w:rPr>
                <w:spacing w:val="-48"/>
                <w:sz w:val="20"/>
                <w:vertAlign w:val="baseline"/>
              </w:rPr>
              <w:t> </w:t>
            </w:r>
            <w:r>
              <w:rPr>
                <w:sz w:val="20"/>
                <w:vertAlign w:val="baseline"/>
              </w:rPr>
              <w:t>NCPS, provided by CISA, that includes a DNS</w:t>
            </w:r>
            <w:r>
              <w:rPr>
                <w:spacing w:val="1"/>
                <w:sz w:val="20"/>
                <w:vertAlign w:val="baseline"/>
              </w:rPr>
              <w:t> </w:t>
            </w:r>
            <w:r>
              <w:rPr>
                <w:sz w:val="20"/>
                <w:vertAlign w:val="baseline"/>
              </w:rPr>
              <w:t>sinkholing</w:t>
            </w:r>
            <w:r>
              <w:rPr>
                <w:spacing w:val="-2"/>
                <w:sz w:val="20"/>
                <w:vertAlign w:val="baseline"/>
              </w:rPr>
              <w:t> </w:t>
            </w:r>
            <w:r>
              <w:rPr>
                <w:sz w:val="20"/>
                <w:vertAlign w:val="baseline"/>
              </w:rPr>
              <w:t>security</w:t>
            </w:r>
            <w:r>
              <w:rPr>
                <w:spacing w:val="-1"/>
                <w:sz w:val="20"/>
                <w:vertAlign w:val="baseline"/>
              </w:rPr>
              <w:t> </w:t>
            </w:r>
            <w:r>
              <w:rPr>
                <w:sz w:val="20"/>
                <w:vertAlign w:val="baseline"/>
              </w:rPr>
              <w:t>service.</w:t>
            </w:r>
          </w:p>
        </w:tc>
        <w:tc>
          <w:tcPr>
            <w:tcW w:w="1513" w:type="dxa"/>
            <w:tcBorders>
              <w:top w:val="single" w:sz="4" w:space="0" w:color="0057B5"/>
              <w:bottom w:val="single" w:sz="4" w:space="0" w:color="0057B5"/>
            </w:tcBorders>
            <w:shd w:val="clear" w:color="auto" w:fill="E7EAF3"/>
          </w:tcPr>
          <w:p>
            <w:pPr>
              <w:pStyle w:val="TableParagraph"/>
              <w:spacing w:before="104"/>
              <w:ind w:left="169"/>
              <w:rPr>
                <w:sz w:val="20"/>
              </w:rPr>
            </w:pPr>
            <w:r>
              <w:rPr>
                <w:sz w:val="20"/>
              </w:rPr>
              <w:t>PR.PT</w:t>
            </w:r>
          </w:p>
        </w:tc>
      </w:tr>
    </w:tbl>
    <w:p>
      <w:pPr>
        <w:pStyle w:val="BodyText"/>
        <w:spacing w:before="5"/>
        <w:rPr>
          <w:b/>
          <w:sz w:val="24"/>
        </w:rPr>
      </w:pPr>
    </w:p>
    <w:p>
      <w:pPr>
        <w:spacing w:before="92"/>
        <w:ind w:left="120" w:right="0" w:firstLine="0"/>
        <w:jc w:val="left"/>
        <w:rPr>
          <w:i/>
          <w:sz w:val="18"/>
        </w:rPr>
      </w:pPr>
      <w:bookmarkStart w:name="_bookmark25" w:id="40"/>
      <w:bookmarkEnd w:id="40"/>
      <w:r>
        <w:rPr/>
      </w:r>
      <w:r>
        <w:rPr>
          <w:i/>
          <w:sz w:val="18"/>
        </w:rPr>
        <w:t>Table</w:t>
      </w:r>
      <w:r>
        <w:rPr>
          <w:i/>
          <w:spacing w:val="-2"/>
          <w:sz w:val="18"/>
        </w:rPr>
        <w:t> </w:t>
      </w:r>
      <w:r>
        <w:rPr>
          <w:i/>
          <w:sz w:val="18"/>
        </w:rPr>
        <w:t>10:</w:t>
      </w:r>
      <w:r>
        <w:rPr>
          <w:i/>
          <w:spacing w:val="-2"/>
          <w:sz w:val="18"/>
        </w:rPr>
        <w:t> </w:t>
      </w:r>
      <w:r>
        <w:rPr>
          <w:i/>
          <w:sz w:val="18"/>
        </w:rPr>
        <w:t>Intrusion</w:t>
      </w:r>
      <w:r>
        <w:rPr>
          <w:i/>
          <w:spacing w:val="-3"/>
          <w:sz w:val="18"/>
        </w:rPr>
        <w:t> </w:t>
      </w:r>
      <w:r>
        <w:rPr>
          <w:i/>
          <w:sz w:val="18"/>
        </w:rPr>
        <w:t>Detection</w:t>
      </w:r>
      <w:r>
        <w:rPr>
          <w:i/>
          <w:spacing w:val="-3"/>
          <w:sz w:val="18"/>
        </w:rPr>
        <w:t> </w:t>
      </w:r>
      <w:r>
        <w:rPr>
          <w:i/>
          <w:sz w:val="18"/>
        </w:rPr>
        <w:t>PEP</w:t>
      </w:r>
      <w:r>
        <w:rPr>
          <w:i/>
          <w:spacing w:val="-1"/>
          <w:sz w:val="18"/>
        </w:rPr>
        <w:t> </w:t>
      </w:r>
      <w:r>
        <w:rPr>
          <w:i/>
          <w:sz w:val="18"/>
        </w:rPr>
        <w:t>Security</w:t>
      </w:r>
      <w:r>
        <w:rPr>
          <w:i/>
          <w:spacing w:val="-3"/>
          <w:sz w:val="18"/>
        </w:rPr>
        <w:t> </w:t>
      </w:r>
      <w:r>
        <w:rPr>
          <w:i/>
          <w:sz w:val="18"/>
        </w:rPr>
        <w:t>Capabilities</w:t>
      </w:r>
    </w:p>
    <w:p>
      <w:pPr>
        <w:pStyle w:val="BodyText"/>
        <w:spacing w:before="4"/>
        <w:rPr>
          <w:i/>
          <w:sz w:val="17"/>
        </w:rPr>
      </w:pPr>
    </w:p>
    <w:p>
      <w:pPr>
        <w:pStyle w:val="Heading3"/>
        <w:spacing w:before="1"/>
      </w:pPr>
      <w:r>
        <w:rPr/>
        <w:t>Intrusion</w:t>
      </w:r>
      <w:r>
        <w:rPr>
          <w:spacing w:val="-4"/>
        </w:rPr>
        <w:t> </w:t>
      </w:r>
      <w:r>
        <w:rPr/>
        <w:t>Detection</w:t>
      </w:r>
      <w:r>
        <w:rPr>
          <w:spacing w:val="-3"/>
        </w:rPr>
        <w:t> </w:t>
      </w:r>
      <w:r>
        <w:rPr/>
        <w:t>PEP</w:t>
      </w:r>
      <w:r>
        <w:rPr>
          <w:spacing w:val="-4"/>
        </w:rPr>
        <w:t> </w:t>
      </w:r>
      <w:r>
        <w:rPr/>
        <w:t>Security</w:t>
      </w:r>
      <w:r>
        <w:rPr>
          <w:spacing w:val="-3"/>
        </w:rPr>
        <w:t> </w:t>
      </w:r>
      <w:r>
        <w:rPr/>
        <w:t>Capabilities</w:t>
      </w:r>
    </w:p>
    <w:p>
      <w:pPr>
        <w:pStyle w:val="BodyText"/>
        <w:spacing w:before="5"/>
        <w:rPr>
          <w:b/>
          <w:sz w:val="10"/>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49"/>
        <w:gridCol w:w="1809"/>
        <w:gridCol w:w="4546"/>
        <w:gridCol w:w="1469"/>
      </w:tblGrid>
      <w:tr>
        <w:trPr>
          <w:trHeight w:val="856" w:hRule="atLeast"/>
        </w:trPr>
        <w:tc>
          <w:tcPr>
            <w:tcW w:w="1549" w:type="dxa"/>
            <w:tcBorders>
              <w:top w:val="single" w:sz="4" w:space="0" w:color="0057B5"/>
              <w:bottom w:val="single" w:sz="4" w:space="0" w:color="0057B5"/>
            </w:tcBorders>
          </w:tcPr>
          <w:p>
            <w:pPr>
              <w:pStyle w:val="TableParagraph"/>
              <w:spacing w:before="0"/>
              <w:ind w:left="0"/>
              <w:rPr>
                <w:b/>
                <w:sz w:val="21"/>
              </w:rPr>
            </w:pPr>
          </w:p>
          <w:p>
            <w:pPr>
              <w:pStyle w:val="TableParagraph"/>
              <w:spacing w:before="0"/>
              <w:rPr>
                <w:b/>
                <w:sz w:val="22"/>
              </w:rPr>
            </w:pPr>
            <w:r>
              <w:rPr>
                <w:b/>
                <w:sz w:val="22"/>
              </w:rPr>
              <w:t>Capability</w:t>
            </w:r>
          </w:p>
        </w:tc>
        <w:tc>
          <w:tcPr>
            <w:tcW w:w="1809" w:type="dxa"/>
            <w:tcBorders>
              <w:top w:val="single" w:sz="4" w:space="0" w:color="0057B5"/>
              <w:bottom w:val="single" w:sz="4" w:space="0" w:color="0057B5"/>
            </w:tcBorders>
          </w:tcPr>
          <w:p>
            <w:pPr>
              <w:pStyle w:val="TableParagraph"/>
              <w:ind w:left="135" w:right="663"/>
              <w:rPr>
                <w:b/>
                <w:sz w:val="22"/>
              </w:rPr>
            </w:pPr>
            <w:r>
              <w:rPr>
                <w:b/>
                <w:sz w:val="22"/>
              </w:rPr>
              <w:t>Capability</w:t>
            </w:r>
            <w:r>
              <w:rPr>
                <w:b/>
                <w:spacing w:val="-52"/>
                <w:sz w:val="22"/>
              </w:rPr>
              <w:t> </w:t>
            </w:r>
            <w:r>
              <w:rPr>
                <w:b/>
                <w:sz w:val="22"/>
              </w:rPr>
              <w:t>Identifier</w:t>
            </w:r>
          </w:p>
        </w:tc>
        <w:tc>
          <w:tcPr>
            <w:tcW w:w="4546" w:type="dxa"/>
            <w:tcBorders>
              <w:top w:val="single" w:sz="4" w:space="0" w:color="0057B5"/>
              <w:bottom w:val="single" w:sz="4" w:space="0" w:color="0057B5"/>
            </w:tcBorders>
          </w:tcPr>
          <w:p>
            <w:pPr>
              <w:pStyle w:val="TableParagraph"/>
              <w:spacing w:before="0"/>
              <w:ind w:left="0"/>
              <w:rPr>
                <w:b/>
                <w:sz w:val="21"/>
              </w:rPr>
            </w:pPr>
          </w:p>
          <w:p>
            <w:pPr>
              <w:pStyle w:val="TableParagraph"/>
              <w:spacing w:before="0"/>
              <w:ind w:left="155"/>
              <w:rPr>
                <w:b/>
                <w:sz w:val="22"/>
              </w:rPr>
            </w:pPr>
            <w:r>
              <w:rPr>
                <w:b/>
                <w:sz w:val="22"/>
              </w:rPr>
              <w:t>Description</w:t>
            </w:r>
          </w:p>
        </w:tc>
        <w:tc>
          <w:tcPr>
            <w:tcW w:w="1469" w:type="dxa"/>
            <w:tcBorders>
              <w:top w:val="single" w:sz="4" w:space="0" w:color="0057B5"/>
              <w:bottom w:val="single" w:sz="4" w:space="0" w:color="0057B5"/>
            </w:tcBorders>
          </w:tcPr>
          <w:p>
            <w:pPr>
              <w:pStyle w:val="TableParagraph"/>
              <w:ind w:left="131"/>
              <w:rPr>
                <w:b/>
                <w:sz w:val="22"/>
              </w:rPr>
            </w:pPr>
            <w:r>
              <w:rPr>
                <w:b/>
                <w:sz w:val="22"/>
              </w:rPr>
              <w:t>NIST</w:t>
            </w:r>
            <w:r>
              <w:rPr>
                <w:b/>
                <w:spacing w:val="-3"/>
                <w:sz w:val="22"/>
              </w:rPr>
              <w:t> </w:t>
            </w:r>
            <w:r>
              <w:rPr>
                <w:b/>
                <w:sz w:val="22"/>
              </w:rPr>
              <w:t>CSF</w:t>
            </w:r>
          </w:p>
          <w:p>
            <w:pPr>
              <w:pStyle w:val="TableParagraph"/>
              <w:spacing w:before="0"/>
              <w:ind w:left="131"/>
              <w:rPr>
                <w:b/>
                <w:sz w:val="22"/>
              </w:rPr>
            </w:pPr>
            <w:r>
              <w:rPr>
                <w:b/>
                <w:sz w:val="22"/>
              </w:rPr>
              <w:t>Mapping</w:t>
            </w:r>
          </w:p>
        </w:tc>
      </w:tr>
      <w:tr>
        <w:trPr>
          <w:trHeight w:val="1029" w:hRule="atLeast"/>
        </w:trPr>
        <w:tc>
          <w:tcPr>
            <w:tcW w:w="1549" w:type="dxa"/>
            <w:tcBorders>
              <w:top w:val="single" w:sz="4" w:space="0" w:color="0057B5"/>
            </w:tcBorders>
            <w:shd w:val="clear" w:color="auto" w:fill="E7EAF3"/>
          </w:tcPr>
          <w:p>
            <w:pPr>
              <w:pStyle w:val="TableParagraph"/>
              <w:spacing w:before="104"/>
              <w:ind w:right="216"/>
              <w:rPr>
                <w:b/>
                <w:sz w:val="20"/>
              </w:rPr>
            </w:pPr>
            <w:r>
              <w:rPr>
                <w:b/>
                <w:sz w:val="20"/>
              </w:rPr>
              <w:t>Endpoint</w:t>
            </w:r>
            <w:r>
              <w:rPr>
                <w:b/>
                <w:spacing w:val="1"/>
                <w:sz w:val="20"/>
              </w:rPr>
              <w:t> </w:t>
            </w:r>
            <w:r>
              <w:rPr>
                <w:b/>
                <w:sz w:val="20"/>
              </w:rPr>
              <w:t>Detection and</w:t>
            </w:r>
            <w:r>
              <w:rPr>
                <w:b/>
                <w:spacing w:val="-47"/>
                <w:sz w:val="20"/>
              </w:rPr>
              <w:t> </w:t>
            </w:r>
            <w:r>
              <w:rPr>
                <w:b/>
                <w:sz w:val="20"/>
              </w:rPr>
              <w:t>Response</w:t>
            </w:r>
          </w:p>
        </w:tc>
        <w:tc>
          <w:tcPr>
            <w:tcW w:w="1809" w:type="dxa"/>
            <w:tcBorders>
              <w:top w:val="single" w:sz="4" w:space="0" w:color="0057B5"/>
            </w:tcBorders>
            <w:shd w:val="clear" w:color="auto" w:fill="E7EAF3"/>
          </w:tcPr>
          <w:p>
            <w:pPr>
              <w:pStyle w:val="TableParagraph"/>
              <w:spacing w:before="104"/>
              <w:ind w:left="135"/>
              <w:rPr>
                <w:sz w:val="20"/>
              </w:rPr>
            </w:pPr>
            <w:r>
              <w:rPr>
                <w:sz w:val="20"/>
              </w:rPr>
              <w:t>3.PEP.IN.EDRES</w:t>
            </w:r>
          </w:p>
        </w:tc>
        <w:tc>
          <w:tcPr>
            <w:tcW w:w="4546" w:type="dxa"/>
            <w:tcBorders>
              <w:top w:val="single" w:sz="4" w:space="0" w:color="0057B5"/>
            </w:tcBorders>
            <w:shd w:val="clear" w:color="auto" w:fill="E7EAF3"/>
          </w:tcPr>
          <w:p>
            <w:pPr>
              <w:pStyle w:val="TableParagraph"/>
              <w:spacing w:before="104"/>
              <w:ind w:left="155" w:right="316"/>
              <w:rPr>
                <w:sz w:val="20"/>
              </w:rPr>
            </w:pPr>
            <w:r>
              <w:rPr>
                <w:sz w:val="20"/>
              </w:rPr>
              <w:t>Endpoint detection and response (EDR) tools</w:t>
            </w:r>
            <w:r>
              <w:rPr>
                <w:spacing w:val="1"/>
                <w:sz w:val="20"/>
              </w:rPr>
              <w:t> </w:t>
            </w:r>
            <w:r>
              <w:rPr>
                <w:sz w:val="20"/>
              </w:rPr>
              <w:t>combine endpoint and network event data to aid in</w:t>
            </w:r>
            <w:r>
              <w:rPr>
                <w:spacing w:val="-47"/>
                <w:sz w:val="20"/>
              </w:rPr>
              <w:t> </w:t>
            </w:r>
            <w:r>
              <w:rPr>
                <w:sz w:val="20"/>
              </w:rPr>
              <w:t>the</w:t>
            </w:r>
            <w:r>
              <w:rPr>
                <w:spacing w:val="-1"/>
                <w:sz w:val="20"/>
              </w:rPr>
              <w:t> </w:t>
            </w:r>
            <w:r>
              <w:rPr>
                <w:sz w:val="20"/>
              </w:rPr>
              <w:t>detection</w:t>
            </w:r>
            <w:r>
              <w:rPr>
                <w:spacing w:val="-2"/>
                <w:sz w:val="20"/>
              </w:rPr>
              <w:t> </w:t>
            </w:r>
            <w:r>
              <w:rPr>
                <w:sz w:val="20"/>
              </w:rPr>
              <w:t>of malicious</w:t>
            </w:r>
            <w:r>
              <w:rPr>
                <w:spacing w:val="-1"/>
                <w:sz w:val="20"/>
              </w:rPr>
              <w:t> </w:t>
            </w:r>
            <w:r>
              <w:rPr>
                <w:sz w:val="20"/>
              </w:rPr>
              <w:t>activity.</w:t>
            </w:r>
          </w:p>
        </w:tc>
        <w:tc>
          <w:tcPr>
            <w:tcW w:w="1469" w:type="dxa"/>
            <w:tcBorders>
              <w:top w:val="single" w:sz="4" w:space="0" w:color="0057B5"/>
            </w:tcBorders>
            <w:shd w:val="clear" w:color="auto" w:fill="E7EAF3"/>
          </w:tcPr>
          <w:p>
            <w:pPr>
              <w:pStyle w:val="TableParagraph"/>
              <w:spacing w:before="104"/>
              <w:ind w:left="131"/>
              <w:rPr>
                <w:sz w:val="20"/>
              </w:rPr>
            </w:pPr>
            <w:r>
              <w:rPr>
                <w:sz w:val="20"/>
              </w:rPr>
              <w:t>DE.AE,</w:t>
            </w:r>
          </w:p>
          <w:p>
            <w:pPr>
              <w:pStyle w:val="TableParagraph"/>
              <w:spacing w:before="1"/>
              <w:ind w:left="131" w:right="640"/>
              <w:rPr>
                <w:sz w:val="20"/>
              </w:rPr>
            </w:pPr>
            <w:r>
              <w:rPr>
                <w:sz w:val="20"/>
              </w:rPr>
              <w:t>DE.CM,</w:t>
            </w:r>
            <w:r>
              <w:rPr>
                <w:spacing w:val="-47"/>
                <w:sz w:val="20"/>
              </w:rPr>
              <w:t> </w:t>
            </w:r>
            <w:r>
              <w:rPr>
                <w:sz w:val="20"/>
              </w:rPr>
              <w:t>RS.AN</w:t>
            </w:r>
          </w:p>
        </w:tc>
      </w:tr>
      <w:tr>
        <w:trPr>
          <w:trHeight w:val="1269" w:hRule="atLeast"/>
        </w:trPr>
        <w:tc>
          <w:tcPr>
            <w:tcW w:w="1549" w:type="dxa"/>
          </w:tcPr>
          <w:p>
            <w:pPr>
              <w:pStyle w:val="TableParagraph"/>
              <w:ind w:right="216"/>
              <w:rPr>
                <w:b/>
                <w:sz w:val="20"/>
              </w:rPr>
            </w:pPr>
            <w:r>
              <w:rPr>
                <w:b/>
                <w:sz w:val="20"/>
              </w:rPr>
              <w:t>Intrusion</w:t>
            </w:r>
            <w:r>
              <w:rPr>
                <w:b/>
                <w:spacing w:val="1"/>
                <w:sz w:val="20"/>
              </w:rPr>
              <w:t> </w:t>
            </w:r>
            <w:r>
              <w:rPr>
                <w:b/>
                <w:sz w:val="20"/>
              </w:rPr>
              <w:t>Detection and</w:t>
            </w:r>
            <w:r>
              <w:rPr>
                <w:b/>
                <w:spacing w:val="-47"/>
                <w:sz w:val="20"/>
              </w:rPr>
              <w:t> </w:t>
            </w:r>
            <w:r>
              <w:rPr>
                <w:b/>
                <w:sz w:val="20"/>
              </w:rPr>
              <w:t>Prevention</w:t>
            </w:r>
            <w:r>
              <w:rPr>
                <w:b/>
                <w:spacing w:val="1"/>
                <w:sz w:val="20"/>
              </w:rPr>
              <w:t> </w:t>
            </w:r>
            <w:r>
              <w:rPr>
                <w:b/>
                <w:sz w:val="20"/>
              </w:rPr>
              <w:t>Systems</w:t>
            </w:r>
          </w:p>
        </w:tc>
        <w:tc>
          <w:tcPr>
            <w:tcW w:w="1809" w:type="dxa"/>
          </w:tcPr>
          <w:p>
            <w:pPr>
              <w:pStyle w:val="TableParagraph"/>
              <w:ind w:left="135"/>
              <w:rPr>
                <w:sz w:val="20"/>
              </w:rPr>
            </w:pPr>
            <w:r>
              <w:rPr>
                <w:sz w:val="20"/>
              </w:rPr>
              <w:t>3.PEP.IN.IDSY</w:t>
            </w:r>
          </w:p>
        </w:tc>
        <w:tc>
          <w:tcPr>
            <w:tcW w:w="4546" w:type="dxa"/>
          </w:tcPr>
          <w:p>
            <w:pPr>
              <w:pStyle w:val="TableParagraph"/>
              <w:ind w:left="155" w:right="532"/>
              <w:rPr>
                <w:sz w:val="20"/>
              </w:rPr>
            </w:pPr>
            <w:r>
              <w:rPr>
                <w:sz w:val="20"/>
              </w:rPr>
              <w:t>Intrusion detection systems detect and report</w:t>
            </w:r>
            <w:r>
              <w:rPr>
                <w:spacing w:val="1"/>
                <w:sz w:val="20"/>
              </w:rPr>
              <w:t> </w:t>
            </w:r>
            <w:r>
              <w:rPr>
                <w:sz w:val="20"/>
              </w:rPr>
              <w:t>malicious activity. Intrusion prevention systems</w:t>
            </w:r>
            <w:r>
              <w:rPr>
                <w:spacing w:val="-47"/>
                <w:sz w:val="20"/>
              </w:rPr>
              <w:t> </w:t>
            </w:r>
            <w:r>
              <w:rPr>
                <w:sz w:val="20"/>
              </w:rPr>
              <w:t>attempt</w:t>
            </w:r>
            <w:r>
              <w:rPr>
                <w:spacing w:val="-2"/>
                <w:sz w:val="20"/>
              </w:rPr>
              <w:t> </w:t>
            </w:r>
            <w:r>
              <w:rPr>
                <w:sz w:val="20"/>
              </w:rPr>
              <w:t>to</w:t>
            </w:r>
            <w:r>
              <w:rPr>
                <w:spacing w:val="1"/>
                <w:sz w:val="20"/>
              </w:rPr>
              <w:t> </w:t>
            </w:r>
            <w:r>
              <w:rPr>
                <w:sz w:val="20"/>
              </w:rPr>
              <w:t>stop</w:t>
            </w:r>
            <w:r>
              <w:rPr>
                <w:spacing w:val="-1"/>
                <w:sz w:val="20"/>
              </w:rPr>
              <w:t> </w:t>
            </w:r>
            <w:r>
              <w:rPr>
                <w:sz w:val="20"/>
              </w:rPr>
              <w:t>the</w:t>
            </w:r>
            <w:r>
              <w:rPr>
                <w:spacing w:val="-1"/>
                <w:sz w:val="20"/>
              </w:rPr>
              <w:t> </w:t>
            </w:r>
            <w:r>
              <w:rPr>
                <w:sz w:val="20"/>
              </w:rPr>
              <w:t>activity.</w:t>
            </w:r>
          </w:p>
        </w:tc>
        <w:tc>
          <w:tcPr>
            <w:tcW w:w="1469" w:type="dxa"/>
          </w:tcPr>
          <w:p>
            <w:pPr>
              <w:pStyle w:val="TableParagraph"/>
              <w:spacing w:line="230" w:lineRule="exact"/>
              <w:ind w:left="131"/>
              <w:rPr>
                <w:sz w:val="20"/>
              </w:rPr>
            </w:pPr>
            <w:r>
              <w:rPr>
                <w:sz w:val="20"/>
              </w:rPr>
              <w:t>DE.AE,</w:t>
            </w:r>
          </w:p>
          <w:p>
            <w:pPr>
              <w:pStyle w:val="TableParagraph"/>
              <w:spacing w:line="230" w:lineRule="exact" w:before="0"/>
              <w:ind w:left="131"/>
              <w:rPr>
                <w:sz w:val="20"/>
              </w:rPr>
            </w:pPr>
            <w:r>
              <w:rPr>
                <w:sz w:val="20"/>
              </w:rPr>
              <w:t>DE.CM,</w:t>
            </w:r>
          </w:p>
          <w:p>
            <w:pPr>
              <w:pStyle w:val="TableParagraph"/>
              <w:spacing w:before="1"/>
              <w:ind w:left="131" w:right="695"/>
              <w:rPr>
                <w:sz w:val="20"/>
              </w:rPr>
            </w:pPr>
            <w:r>
              <w:rPr>
                <w:sz w:val="20"/>
              </w:rPr>
              <w:t>DE.DP,</w:t>
            </w:r>
            <w:r>
              <w:rPr>
                <w:spacing w:val="-47"/>
                <w:sz w:val="20"/>
              </w:rPr>
              <w:t> </w:t>
            </w:r>
            <w:r>
              <w:rPr>
                <w:sz w:val="20"/>
              </w:rPr>
              <w:t>RS.AN</w:t>
            </w:r>
          </w:p>
        </w:tc>
      </w:tr>
      <w:tr>
        <w:trPr>
          <w:trHeight w:val="1270" w:hRule="atLeast"/>
        </w:trPr>
        <w:tc>
          <w:tcPr>
            <w:tcW w:w="1549" w:type="dxa"/>
            <w:shd w:val="clear" w:color="auto" w:fill="E7EAF3"/>
          </w:tcPr>
          <w:p>
            <w:pPr>
              <w:pStyle w:val="TableParagraph"/>
              <w:ind w:right="130"/>
              <w:rPr>
                <w:b/>
                <w:sz w:val="20"/>
              </w:rPr>
            </w:pPr>
            <w:r>
              <w:rPr>
                <w:b/>
                <w:sz w:val="20"/>
              </w:rPr>
              <w:t>Adaptive</w:t>
            </w:r>
            <w:r>
              <w:rPr>
                <w:b/>
                <w:spacing w:val="1"/>
                <w:sz w:val="20"/>
              </w:rPr>
              <w:t> </w:t>
            </w:r>
            <w:r>
              <w:rPr>
                <w:b/>
                <w:sz w:val="20"/>
              </w:rPr>
              <w:t>Access</w:t>
            </w:r>
            <w:r>
              <w:rPr>
                <w:b/>
                <w:spacing w:val="-13"/>
                <w:sz w:val="20"/>
              </w:rPr>
              <w:t> </w:t>
            </w:r>
            <w:r>
              <w:rPr>
                <w:b/>
                <w:sz w:val="20"/>
              </w:rPr>
              <w:t>Control</w:t>
            </w:r>
          </w:p>
        </w:tc>
        <w:tc>
          <w:tcPr>
            <w:tcW w:w="1809" w:type="dxa"/>
            <w:shd w:val="clear" w:color="auto" w:fill="E7EAF3"/>
          </w:tcPr>
          <w:p>
            <w:pPr>
              <w:pStyle w:val="TableParagraph"/>
              <w:ind w:left="135"/>
              <w:rPr>
                <w:sz w:val="20"/>
              </w:rPr>
            </w:pPr>
            <w:r>
              <w:rPr>
                <w:sz w:val="20"/>
              </w:rPr>
              <w:t>3.PEP.IN.AACON</w:t>
            </w:r>
          </w:p>
        </w:tc>
        <w:tc>
          <w:tcPr>
            <w:tcW w:w="4546" w:type="dxa"/>
            <w:shd w:val="clear" w:color="auto" w:fill="E7EAF3"/>
          </w:tcPr>
          <w:p>
            <w:pPr>
              <w:pStyle w:val="TableParagraph"/>
              <w:ind w:left="155" w:right="272"/>
              <w:rPr>
                <w:sz w:val="20"/>
              </w:rPr>
            </w:pPr>
            <w:r>
              <w:rPr>
                <w:sz w:val="20"/>
              </w:rPr>
              <w:t>Adaptive access control technologies factor in</w:t>
            </w:r>
            <w:r>
              <w:rPr>
                <w:spacing w:val="1"/>
                <w:sz w:val="20"/>
              </w:rPr>
              <w:t> </w:t>
            </w:r>
            <w:r>
              <w:rPr>
                <w:sz w:val="20"/>
              </w:rPr>
              <w:t>additional context, like security risk, operational</w:t>
            </w:r>
            <w:r>
              <w:rPr>
                <w:spacing w:val="1"/>
                <w:sz w:val="20"/>
              </w:rPr>
              <w:t> </w:t>
            </w:r>
            <w:r>
              <w:rPr>
                <w:sz w:val="20"/>
              </w:rPr>
              <w:t>needs, and other heuristics, when evaluating access</w:t>
            </w:r>
            <w:r>
              <w:rPr>
                <w:spacing w:val="-47"/>
                <w:sz w:val="20"/>
              </w:rPr>
              <w:t> </w:t>
            </w:r>
            <w:r>
              <w:rPr>
                <w:sz w:val="20"/>
              </w:rPr>
              <w:t>control</w:t>
            </w:r>
            <w:r>
              <w:rPr>
                <w:spacing w:val="-3"/>
                <w:sz w:val="20"/>
              </w:rPr>
              <w:t> </w:t>
            </w:r>
            <w:r>
              <w:rPr>
                <w:sz w:val="20"/>
              </w:rPr>
              <w:t>decisions.</w:t>
            </w:r>
          </w:p>
        </w:tc>
        <w:tc>
          <w:tcPr>
            <w:tcW w:w="1469" w:type="dxa"/>
            <w:shd w:val="clear" w:color="auto" w:fill="E7EAF3"/>
          </w:tcPr>
          <w:p>
            <w:pPr>
              <w:pStyle w:val="TableParagraph"/>
              <w:ind w:left="131" w:right="690"/>
              <w:rPr>
                <w:sz w:val="20"/>
              </w:rPr>
            </w:pPr>
            <w:r>
              <w:rPr>
                <w:sz w:val="20"/>
              </w:rPr>
              <w:t>PR.AC,</w:t>
            </w:r>
            <w:r>
              <w:rPr>
                <w:spacing w:val="-47"/>
                <w:sz w:val="20"/>
              </w:rPr>
              <w:t> </w:t>
            </w:r>
            <w:r>
              <w:rPr>
                <w:sz w:val="20"/>
              </w:rPr>
              <w:t>DE.CM</w:t>
            </w:r>
          </w:p>
        </w:tc>
      </w:tr>
      <w:tr>
        <w:trPr>
          <w:trHeight w:val="1500" w:hRule="atLeast"/>
        </w:trPr>
        <w:tc>
          <w:tcPr>
            <w:tcW w:w="1549" w:type="dxa"/>
          </w:tcPr>
          <w:p>
            <w:pPr>
              <w:pStyle w:val="TableParagraph"/>
              <w:spacing w:before="114"/>
              <w:ind w:right="544"/>
              <w:rPr>
                <w:b/>
                <w:sz w:val="20"/>
              </w:rPr>
            </w:pPr>
            <w:r>
              <w:rPr>
                <w:b/>
                <w:sz w:val="20"/>
              </w:rPr>
              <w:t>Deception</w:t>
            </w:r>
            <w:r>
              <w:rPr>
                <w:b/>
                <w:spacing w:val="-47"/>
                <w:sz w:val="20"/>
              </w:rPr>
              <w:t> </w:t>
            </w:r>
            <w:r>
              <w:rPr>
                <w:b/>
                <w:sz w:val="20"/>
              </w:rPr>
              <w:t>Platforms</w:t>
            </w:r>
          </w:p>
        </w:tc>
        <w:tc>
          <w:tcPr>
            <w:tcW w:w="1809" w:type="dxa"/>
          </w:tcPr>
          <w:p>
            <w:pPr>
              <w:pStyle w:val="TableParagraph"/>
              <w:ind w:left="135"/>
              <w:rPr>
                <w:sz w:val="20"/>
              </w:rPr>
            </w:pPr>
            <w:r>
              <w:rPr>
                <w:sz w:val="20"/>
              </w:rPr>
              <w:t>3.PEP.IN.DPLAT</w:t>
            </w:r>
          </w:p>
        </w:tc>
        <w:tc>
          <w:tcPr>
            <w:tcW w:w="4546" w:type="dxa"/>
          </w:tcPr>
          <w:p>
            <w:pPr>
              <w:pStyle w:val="TableParagraph"/>
              <w:spacing w:before="114"/>
              <w:ind w:left="155" w:right="378"/>
              <w:rPr>
                <w:sz w:val="20"/>
              </w:rPr>
            </w:pPr>
            <w:r>
              <w:rPr>
                <w:sz w:val="20"/>
              </w:rPr>
              <w:t>Deception platform technologies provide decoy</w:t>
            </w:r>
            <w:r>
              <w:rPr>
                <w:spacing w:val="1"/>
                <w:sz w:val="20"/>
              </w:rPr>
              <w:t> </w:t>
            </w:r>
            <w:r>
              <w:rPr>
                <w:sz w:val="20"/>
              </w:rPr>
              <w:t>environments, from individual machines to entire</w:t>
            </w:r>
            <w:r>
              <w:rPr>
                <w:spacing w:val="-47"/>
                <w:sz w:val="20"/>
              </w:rPr>
              <w:t> </w:t>
            </w:r>
            <w:r>
              <w:rPr>
                <w:sz w:val="20"/>
              </w:rPr>
              <w:t>networks, that can be used to deflect attacks away</w:t>
            </w:r>
            <w:r>
              <w:rPr>
                <w:spacing w:val="-47"/>
                <w:sz w:val="20"/>
              </w:rPr>
              <w:t> </w:t>
            </w:r>
            <w:r>
              <w:rPr>
                <w:sz w:val="20"/>
              </w:rPr>
              <w:t>from the operational systems supporting agency</w:t>
            </w:r>
            <w:r>
              <w:rPr>
                <w:spacing w:val="1"/>
                <w:sz w:val="20"/>
              </w:rPr>
              <w:t> </w:t>
            </w:r>
            <w:r>
              <w:rPr>
                <w:sz w:val="20"/>
              </w:rPr>
              <w:t>missions/business</w:t>
            </w:r>
            <w:r>
              <w:rPr>
                <w:spacing w:val="-1"/>
                <w:sz w:val="20"/>
              </w:rPr>
              <w:t> </w:t>
            </w:r>
            <w:r>
              <w:rPr>
                <w:sz w:val="20"/>
              </w:rPr>
              <w:t>functions.</w:t>
            </w:r>
          </w:p>
        </w:tc>
        <w:tc>
          <w:tcPr>
            <w:tcW w:w="1469" w:type="dxa"/>
          </w:tcPr>
          <w:p>
            <w:pPr>
              <w:pStyle w:val="TableParagraph"/>
              <w:spacing w:before="114"/>
              <w:ind w:left="131"/>
              <w:rPr>
                <w:sz w:val="20"/>
              </w:rPr>
            </w:pPr>
            <w:r>
              <w:rPr>
                <w:sz w:val="20"/>
              </w:rPr>
              <w:t>PR.PT,</w:t>
            </w:r>
          </w:p>
          <w:p>
            <w:pPr>
              <w:pStyle w:val="TableParagraph"/>
              <w:spacing w:before="1"/>
              <w:ind w:left="131" w:right="684"/>
              <w:rPr>
                <w:sz w:val="20"/>
              </w:rPr>
            </w:pPr>
            <w:r>
              <w:rPr>
                <w:sz w:val="20"/>
              </w:rPr>
              <w:t>DE.AE,</w:t>
            </w:r>
            <w:r>
              <w:rPr>
                <w:spacing w:val="-47"/>
                <w:sz w:val="20"/>
              </w:rPr>
              <w:t> </w:t>
            </w:r>
            <w:r>
              <w:rPr>
                <w:sz w:val="20"/>
              </w:rPr>
              <w:t>RS.AN</w:t>
            </w:r>
          </w:p>
        </w:tc>
      </w:tr>
      <w:tr>
        <w:trPr>
          <w:trHeight w:val="1269" w:hRule="atLeast"/>
        </w:trPr>
        <w:tc>
          <w:tcPr>
            <w:tcW w:w="1549" w:type="dxa"/>
            <w:tcBorders>
              <w:bottom w:val="single" w:sz="4" w:space="0" w:color="0057B5"/>
            </w:tcBorders>
            <w:shd w:val="clear" w:color="auto" w:fill="E7EAF3"/>
          </w:tcPr>
          <w:p>
            <w:pPr>
              <w:pStyle w:val="TableParagraph"/>
              <w:spacing w:before="114"/>
              <w:ind w:right="200"/>
              <w:rPr>
                <w:b/>
                <w:sz w:val="20"/>
              </w:rPr>
            </w:pPr>
            <w:r>
              <w:rPr>
                <w:b/>
                <w:sz w:val="20"/>
              </w:rPr>
              <w:t>Certificate</w:t>
            </w:r>
            <w:r>
              <w:rPr>
                <w:b/>
                <w:spacing w:val="1"/>
                <w:sz w:val="20"/>
              </w:rPr>
              <w:t> </w:t>
            </w:r>
            <w:r>
              <w:rPr>
                <w:b/>
                <w:sz w:val="20"/>
              </w:rPr>
              <w:t>Transparency</w:t>
            </w:r>
            <w:r>
              <w:rPr>
                <w:b/>
                <w:spacing w:val="-47"/>
                <w:sz w:val="20"/>
              </w:rPr>
              <w:t> </w:t>
            </w:r>
            <w:r>
              <w:rPr>
                <w:b/>
                <w:sz w:val="20"/>
              </w:rPr>
              <w:t>Log</w:t>
            </w:r>
            <w:r>
              <w:rPr>
                <w:b/>
                <w:spacing w:val="1"/>
                <w:sz w:val="20"/>
              </w:rPr>
              <w:t> </w:t>
            </w:r>
            <w:r>
              <w:rPr>
                <w:b/>
                <w:sz w:val="20"/>
              </w:rPr>
              <w:t>Monitoring</w:t>
            </w:r>
          </w:p>
        </w:tc>
        <w:tc>
          <w:tcPr>
            <w:tcW w:w="1809" w:type="dxa"/>
            <w:tcBorders>
              <w:bottom w:val="single" w:sz="4" w:space="0" w:color="0057B5"/>
            </w:tcBorders>
            <w:shd w:val="clear" w:color="auto" w:fill="E7EAF3"/>
          </w:tcPr>
          <w:p>
            <w:pPr>
              <w:pStyle w:val="TableParagraph"/>
              <w:ind w:left="135"/>
              <w:rPr>
                <w:sz w:val="20"/>
              </w:rPr>
            </w:pPr>
            <w:r>
              <w:rPr>
                <w:sz w:val="20"/>
              </w:rPr>
              <w:t>3.PEP.IN.CTLMO</w:t>
            </w:r>
          </w:p>
        </w:tc>
        <w:tc>
          <w:tcPr>
            <w:tcW w:w="4546" w:type="dxa"/>
            <w:tcBorders>
              <w:bottom w:val="single" w:sz="4" w:space="0" w:color="0057B5"/>
            </w:tcBorders>
            <w:shd w:val="clear" w:color="auto" w:fill="E7EAF3"/>
          </w:tcPr>
          <w:p>
            <w:pPr>
              <w:pStyle w:val="TableParagraph"/>
              <w:spacing w:before="114"/>
              <w:ind w:left="155" w:right="111"/>
              <w:rPr>
                <w:sz w:val="20"/>
              </w:rPr>
            </w:pPr>
            <w:r>
              <w:rPr>
                <w:sz w:val="20"/>
              </w:rPr>
              <w:t>Certificate transparency log monitoring allows</w:t>
            </w:r>
            <w:r>
              <w:rPr>
                <w:spacing w:val="1"/>
                <w:sz w:val="20"/>
              </w:rPr>
              <w:t> </w:t>
            </w:r>
            <w:r>
              <w:rPr>
                <w:sz w:val="20"/>
              </w:rPr>
              <w:t>agencies to discover when new certificates are issued</w:t>
            </w:r>
            <w:r>
              <w:rPr>
                <w:spacing w:val="-47"/>
                <w:sz w:val="20"/>
              </w:rPr>
              <w:t> </w:t>
            </w:r>
            <w:r>
              <w:rPr>
                <w:sz w:val="20"/>
              </w:rPr>
              <w:t>for</w:t>
            </w:r>
            <w:r>
              <w:rPr>
                <w:spacing w:val="-1"/>
                <w:sz w:val="20"/>
              </w:rPr>
              <w:t> </w:t>
            </w:r>
            <w:r>
              <w:rPr>
                <w:sz w:val="20"/>
              </w:rPr>
              <w:t>agency</w:t>
            </w:r>
            <w:r>
              <w:rPr>
                <w:spacing w:val="-1"/>
                <w:sz w:val="20"/>
              </w:rPr>
              <w:t> </w:t>
            </w:r>
            <w:r>
              <w:rPr>
                <w:sz w:val="20"/>
              </w:rPr>
              <w:t>domains.</w:t>
            </w:r>
          </w:p>
        </w:tc>
        <w:tc>
          <w:tcPr>
            <w:tcW w:w="1469" w:type="dxa"/>
            <w:tcBorders>
              <w:bottom w:val="single" w:sz="4" w:space="0" w:color="0057B5"/>
            </w:tcBorders>
            <w:shd w:val="clear" w:color="auto" w:fill="E7EAF3"/>
          </w:tcPr>
          <w:p>
            <w:pPr>
              <w:pStyle w:val="TableParagraph"/>
              <w:ind w:left="131"/>
              <w:rPr>
                <w:sz w:val="20"/>
              </w:rPr>
            </w:pPr>
            <w:r>
              <w:rPr>
                <w:sz w:val="20"/>
              </w:rPr>
              <w:t>DE.CM</w:t>
            </w:r>
          </w:p>
        </w:tc>
      </w:tr>
    </w:tbl>
    <w:p>
      <w:pPr>
        <w:spacing w:after="0"/>
        <w:rPr>
          <w:sz w:val="20"/>
        </w:rPr>
        <w:sectPr>
          <w:pgSz w:w="12240" w:h="15840"/>
          <w:pgMar w:header="730" w:footer="764" w:top="960" w:bottom="960" w:left="1320" w:right="1080"/>
        </w:sectPr>
      </w:pPr>
    </w:p>
    <w:p>
      <w:pPr>
        <w:pStyle w:val="BodyText"/>
        <w:rPr>
          <w:b/>
          <w:sz w:val="20"/>
        </w:rPr>
      </w:pPr>
    </w:p>
    <w:p>
      <w:pPr>
        <w:pStyle w:val="BodyText"/>
        <w:spacing w:before="7"/>
        <w:rPr>
          <w:b/>
          <w:sz w:val="20"/>
        </w:rPr>
      </w:pPr>
    </w:p>
    <w:p>
      <w:pPr>
        <w:spacing w:before="0"/>
        <w:ind w:left="120" w:right="0" w:firstLine="0"/>
        <w:jc w:val="left"/>
        <w:rPr>
          <w:i/>
          <w:sz w:val="18"/>
        </w:rPr>
      </w:pPr>
      <w:bookmarkStart w:name="_bookmark26" w:id="41"/>
      <w:bookmarkEnd w:id="41"/>
      <w:r>
        <w:rPr/>
      </w:r>
      <w:r>
        <w:rPr>
          <w:i/>
          <w:sz w:val="18"/>
        </w:rPr>
        <w:t>Table</w:t>
      </w:r>
      <w:r>
        <w:rPr>
          <w:i/>
          <w:spacing w:val="-2"/>
          <w:sz w:val="18"/>
        </w:rPr>
        <w:t> </w:t>
      </w:r>
      <w:r>
        <w:rPr>
          <w:i/>
          <w:sz w:val="18"/>
        </w:rPr>
        <w:t>11:</w:t>
      </w:r>
      <w:r>
        <w:rPr>
          <w:i/>
          <w:spacing w:val="-4"/>
          <w:sz w:val="18"/>
        </w:rPr>
        <w:t> </w:t>
      </w:r>
      <w:r>
        <w:rPr>
          <w:i/>
          <w:sz w:val="18"/>
        </w:rPr>
        <w:t>Enterprise</w:t>
      </w:r>
      <w:r>
        <w:rPr>
          <w:i/>
          <w:spacing w:val="-2"/>
          <w:sz w:val="18"/>
        </w:rPr>
        <w:t> </w:t>
      </w:r>
      <w:r>
        <w:rPr>
          <w:i/>
          <w:sz w:val="18"/>
        </w:rPr>
        <w:t>PEP</w:t>
      </w:r>
      <w:r>
        <w:rPr>
          <w:i/>
          <w:spacing w:val="-3"/>
          <w:sz w:val="18"/>
        </w:rPr>
        <w:t> </w:t>
      </w:r>
      <w:r>
        <w:rPr>
          <w:i/>
          <w:sz w:val="18"/>
        </w:rPr>
        <w:t>Security</w:t>
      </w:r>
      <w:r>
        <w:rPr>
          <w:i/>
          <w:spacing w:val="-3"/>
          <w:sz w:val="18"/>
        </w:rPr>
        <w:t> </w:t>
      </w:r>
      <w:r>
        <w:rPr>
          <w:i/>
          <w:sz w:val="18"/>
        </w:rPr>
        <w:t>Capabilities</w:t>
      </w:r>
    </w:p>
    <w:p>
      <w:pPr>
        <w:pStyle w:val="BodyText"/>
        <w:spacing w:before="4"/>
        <w:rPr>
          <w:i/>
          <w:sz w:val="17"/>
        </w:rPr>
      </w:pPr>
    </w:p>
    <w:p>
      <w:pPr>
        <w:pStyle w:val="Heading3"/>
      </w:pPr>
      <w:r>
        <w:rPr/>
        <w:t>Enterprise</w:t>
      </w:r>
      <w:r>
        <w:rPr>
          <w:spacing w:val="-5"/>
        </w:rPr>
        <w:t> </w:t>
      </w:r>
      <w:r>
        <w:rPr/>
        <w:t>PEP</w:t>
      </w:r>
      <w:r>
        <w:rPr>
          <w:spacing w:val="-3"/>
        </w:rPr>
        <w:t> </w:t>
      </w:r>
      <w:r>
        <w:rPr/>
        <w:t>Security</w:t>
      </w:r>
      <w:r>
        <w:rPr>
          <w:spacing w:val="-3"/>
        </w:rPr>
        <w:t> </w:t>
      </w:r>
      <w:r>
        <w:rPr/>
        <w:t>Capabilities</w:t>
      </w:r>
    </w:p>
    <w:p>
      <w:pPr>
        <w:pStyle w:val="BodyText"/>
        <w:spacing w:before="5" w:after="1"/>
        <w:rPr>
          <w:b/>
          <w:sz w:val="10"/>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65"/>
        <w:gridCol w:w="1809"/>
        <w:gridCol w:w="4526"/>
        <w:gridCol w:w="1522"/>
      </w:tblGrid>
      <w:tr>
        <w:trPr>
          <w:trHeight w:val="856" w:hRule="atLeast"/>
        </w:trPr>
        <w:tc>
          <w:tcPr>
            <w:tcW w:w="1565" w:type="dxa"/>
            <w:tcBorders>
              <w:top w:val="single" w:sz="4" w:space="0" w:color="0057B5"/>
              <w:bottom w:val="single" w:sz="4" w:space="0" w:color="0057B5"/>
            </w:tcBorders>
          </w:tcPr>
          <w:p>
            <w:pPr>
              <w:pStyle w:val="TableParagraph"/>
              <w:spacing w:before="0"/>
              <w:ind w:left="0"/>
              <w:rPr>
                <w:b/>
                <w:sz w:val="21"/>
              </w:rPr>
            </w:pPr>
          </w:p>
          <w:p>
            <w:pPr>
              <w:pStyle w:val="TableParagraph"/>
              <w:spacing w:before="0"/>
              <w:rPr>
                <w:b/>
                <w:sz w:val="22"/>
              </w:rPr>
            </w:pPr>
            <w:r>
              <w:rPr>
                <w:b/>
                <w:sz w:val="22"/>
              </w:rPr>
              <w:t>Capability</w:t>
            </w:r>
          </w:p>
        </w:tc>
        <w:tc>
          <w:tcPr>
            <w:tcW w:w="1809" w:type="dxa"/>
            <w:tcBorders>
              <w:top w:val="single" w:sz="4" w:space="0" w:color="0057B5"/>
              <w:bottom w:val="single" w:sz="4" w:space="0" w:color="0057B5"/>
            </w:tcBorders>
          </w:tcPr>
          <w:p>
            <w:pPr>
              <w:pStyle w:val="TableParagraph"/>
              <w:ind w:left="119" w:right="679"/>
              <w:rPr>
                <w:b/>
                <w:sz w:val="22"/>
              </w:rPr>
            </w:pPr>
            <w:r>
              <w:rPr>
                <w:b/>
                <w:sz w:val="22"/>
              </w:rPr>
              <w:t>Capability</w:t>
            </w:r>
            <w:r>
              <w:rPr>
                <w:b/>
                <w:spacing w:val="-52"/>
                <w:sz w:val="22"/>
              </w:rPr>
              <w:t> </w:t>
            </w:r>
            <w:r>
              <w:rPr>
                <w:b/>
                <w:sz w:val="22"/>
              </w:rPr>
              <w:t>Identifier</w:t>
            </w:r>
          </w:p>
        </w:tc>
        <w:tc>
          <w:tcPr>
            <w:tcW w:w="4526" w:type="dxa"/>
            <w:tcBorders>
              <w:top w:val="single" w:sz="4" w:space="0" w:color="0057B5"/>
              <w:bottom w:val="single" w:sz="4" w:space="0" w:color="0057B5"/>
            </w:tcBorders>
          </w:tcPr>
          <w:p>
            <w:pPr>
              <w:pStyle w:val="TableParagraph"/>
              <w:spacing w:before="0"/>
              <w:ind w:left="0"/>
              <w:rPr>
                <w:b/>
                <w:sz w:val="21"/>
              </w:rPr>
            </w:pPr>
          </w:p>
          <w:p>
            <w:pPr>
              <w:pStyle w:val="TableParagraph"/>
              <w:spacing w:before="0"/>
              <w:ind w:left="139"/>
              <w:rPr>
                <w:b/>
                <w:sz w:val="22"/>
              </w:rPr>
            </w:pPr>
            <w:r>
              <w:rPr>
                <w:b/>
                <w:sz w:val="22"/>
              </w:rPr>
              <w:t>Description</w:t>
            </w:r>
          </w:p>
        </w:tc>
        <w:tc>
          <w:tcPr>
            <w:tcW w:w="1522" w:type="dxa"/>
            <w:tcBorders>
              <w:top w:val="single" w:sz="4" w:space="0" w:color="0057B5"/>
              <w:bottom w:val="single" w:sz="4" w:space="0" w:color="0057B5"/>
            </w:tcBorders>
          </w:tcPr>
          <w:p>
            <w:pPr>
              <w:pStyle w:val="TableParagraph"/>
              <w:ind w:left="135"/>
              <w:rPr>
                <w:b/>
                <w:sz w:val="22"/>
              </w:rPr>
            </w:pPr>
            <w:r>
              <w:rPr>
                <w:b/>
                <w:sz w:val="22"/>
              </w:rPr>
              <w:t>NIST</w:t>
            </w:r>
            <w:r>
              <w:rPr>
                <w:b/>
                <w:spacing w:val="-3"/>
                <w:sz w:val="22"/>
              </w:rPr>
              <w:t> </w:t>
            </w:r>
            <w:r>
              <w:rPr>
                <w:b/>
                <w:sz w:val="22"/>
              </w:rPr>
              <w:t>CSF</w:t>
            </w:r>
          </w:p>
          <w:p>
            <w:pPr>
              <w:pStyle w:val="TableParagraph"/>
              <w:spacing w:before="0"/>
              <w:ind w:left="135"/>
              <w:rPr>
                <w:b/>
                <w:sz w:val="22"/>
              </w:rPr>
            </w:pPr>
            <w:r>
              <w:rPr>
                <w:b/>
                <w:sz w:val="22"/>
              </w:rPr>
              <w:t>Mapping</w:t>
            </w:r>
          </w:p>
        </w:tc>
      </w:tr>
      <w:tr>
        <w:trPr>
          <w:trHeight w:val="1719" w:hRule="atLeast"/>
        </w:trPr>
        <w:tc>
          <w:tcPr>
            <w:tcW w:w="1565" w:type="dxa"/>
            <w:tcBorders>
              <w:top w:val="single" w:sz="4" w:space="0" w:color="0057B5"/>
            </w:tcBorders>
            <w:shd w:val="clear" w:color="auto" w:fill="E7EAF3"/>
          </w:tcPr>
          <w:p>
            <w:pPr>
              <w:pStyle w:val="TableParagraph"/>
              <w:spacing w:before="104"/>
              <w:ind w:right="166"/>
              <w:rPr>
                <w:b/>
                <w:sz w:val="20"/>
              </w:rPr>
            </w:pPr>
            <w:r>
              <w:rPr>
                <w:b/>
                <w:sz w:val="20"/>
              </w:rPr>
              <w:t>Security</w:t>
            </w:r>
            <w:r>
              <w:rPr>
                <w:b/>
                <w:spacing w:val="1"/>
                <w:sz w:val="20"/>
              </w:rPr>
              <w:t> </w:t>
            </w:r>
            <w:r>
              <w:rPr>
                <w:b/>
                <w:sz w:val="20"/>
              </w:rPr>
              <w:t>Orchestration,</w:t>
            </w:r>
            <w:r>
              <w:rPr>
                <w:b/>
                <w:spacing w:val="-47"/>
                <w:sz w:val="20"/>
              </w:rPr>
              <w:t> </w:t>
            </w:r>
            <w:r>
              <w:rPr>
                <w:b/>
                <w:sz w:val="20"/>
              </w:rPr>
              <w:t>Automation,</w:t>
            </w:r>
            <w:r>
              <w:rPr>
                <w:b/>
                <w:spacing w:val="1"/>
                <w:sz w:val="20"/>
              </w:rPr>
              <w:t> </w:t>
            </w:r>
            <w:r>
              <w:rPr>
                <w:b/>
                <w:sz w:val="20"/>
              </w:rPr>
              <w:t>and</w:t>
            </w:r>
            <w:r>
              <w:rPr>
                <w:b/>
                <w:spacing w:val="-2"/>
                <w:sz w:val="20"/>
              </w:rPr>
              <w:t> </w:t>
            </w:r>
            <w:r>
              <w:rPr>
                <w:b/>
                <w:sz w:val="20"/>
              </w:rPr>
              <w:t>Response</w:t>
            </w:r>
          </w:p>
        </w:tc>
        <w:tc>
          <w:tcPr>
            <w:tcW w:w="1809" w:type="dxa"/>
            <w:tcBorders>
              <w:top w:val="single" w:sz="4" w:space="0" w:color="0057B5"/>
            </w:tcBorders>
            <w:shd w:val="clear" w:color="auto" w:fill="E7EAF3"/>
          </w:tcPr>
          <w:p>
            <w:pPr>
              <w:pStyle w:val="TableParagraph"/>
              <w:spacing w:before="104"/>
              <w:ind w:left="101" w:right="150"/>
              <w:jc w:val="center"/>
              <w:rPr>
                <w:sz w:val="20"/>
              </w:rPr>
            </w:pPr>
            <w:r>
              <w:rPr>
                <w:sz w:val="20"/>
              </w:rPr>
              <w:t>3.PEP.EN.SOARE</w:t>
            </w:r>
          </w:p>
        </w:tc>
        <w:tc>
          <w:tcPr>
            <w:tcW w:w="4526" w:type="dxa"/>
            <w:tcBorders>
              <w:top w:val="single" w:sz="4" w:space="0" w:color="0057B5"/>
            </w:tcBorders>
            <w:shd w:val="clear" w:color="auto" w:fill="E7EAF3"/>
          </w:tcPr>
          <w:p>
            <w:pPr>
              <w:pStyle w:val="TableParagraph"/>
              <w:spacing w:before="104"/>
              <w:ind w:left="139" w:right="301"/>
              <w:rPr>
                <w:sz w:val="20"/>
              </w:rPr>
            </w:pPr>
            <w:r>
              <w:rPr>
                <w:sz w:val="20"/>
              </w:rPr>
              <w:t>Security Orchestration, Automation, and Response</w:t>
            </w:r>
            <w:r>
              <w:rPr>
                <w:spacing w:val="-47"/>
                <w:sz w:val="20"/>
              </w:rPr>
              <w:t> </w:t>
            </w:r>
            <w:r>
              <w:rPr>
                <w:sz w:val="20"/>
              </w:rPr>
              <w:t>(SOAR) tools define, prioritize, and automate the</w:t>
            </w:r>
            <w:r>
              <w:rPr>
                <w:spacing w:val="1"/>
                <w:sz w:val="20"/>
              </w:rPr>
              <w:t> </w:t>
            </w:r>
            <w:r>
              <w:rPr>
                <w:sz w:val="20"/>
              </w:rPr>
              <w:t>response</w:t>
            </w:r>
            <w:r>
              <w:rPr>
                <w:spacing w:val="-1"/>
                <w:sz w:val="20"/>
              </w:rPr>
              <w:t> </w:t>
            </w:r>
            <w:r>
              <w:rPr>
                <w:sz w:val="20"/>
              </w:rPr>
              <w:t>to</w:t>
            </w:r>
            <w:r>
              <w:rPr>
                <w:spacing w:val="1"/>
                <w:sz w:val="20"/>
              </w:rPr>
              <w:t> </w:t>
            </w:r>
            <w:r>
              <w:rPr>
                <w:sz w:val="20"/>
              </w:rPr>
              <w:t>security</w:t>
            </w:r>
            <w:r>
              <w:rPr>
                <w:spacing w:val="-1"/>
                <w:sz w:val="20"/>
              </w:rPr>
              <w:t> </w:t>
            </w:r>
            <w:r>
              <w:rPr>
                <w:sz w:val="20"/>
              </w:rPr>
              <w:t>incidents.</w:t>
            </w:r>
          </w:p>
        </w:tc>
        <w:tc>
          <w:tcPr>
            <w:tcW w:w="1522" w:type="dxa"/>
            <w:tcBorders>
              <w:top w:val="single" w:sz="4" w:space="0" w:color="0057B5"/>
            </w:tcBorders>
            <w:shd w:val="clear" w:color="auto" w:fill="E7EAF3"/>
          </w:tcPr>
          <w:p>
            <w:pPr>
              <w:pStyle w:val="TableParagraph"/>
              <w:spacing w:before="104"/>
              <w:ind w:left="135"/>
              <w:rPr>
                <w:sz w:val="20"/>
              </w:rPr>
            </w:pPr>
            <w:r>
              <w:rPr>
                <w:sz w:val="20"/>
              </w:rPr>
              <w:t>DE.AE,</w:t>
            </w:r>
          </w:p>
          <w:p>
            <w:pPr>
              <w:pStyle w:val="TableParagraph"/>
              <w:spacing w:line="230" w:lineRule="exact" w:before="1"/>
              <w:ind w:left="135"/>
              <w:rPr>
                <w:sz w:val="20"/>
              </w:rPr>
            </w:pPr>
            <w:r>
              <w:rPr>
                <w:sz w:val="20"/>
              </w:rPr>
              <w:t>DE.CM,</w:t>
            </w:r>
          </w:p>
          <w:p>
            <w:pPr>
              <w:pStyle w:val="TableParagraph"/>
              <w:spacing w:line="230" w:lineRule="exact" w:before="0"/>
              <w:ind w:left="135"/>
              <w:rPr>
                <w:sz w:val="20"/>
              </w:rPr>
            </w:pPr>
            <w:r>
              <w:rPr>
                <w:sz w:val="20"/>
              </w:rPr>
              <w:t>DE.DP,</w:t>
            </w:r>
          </w:p>
          <w:p>
            <w:pPr>
              <w:pStyle w:val="TableParagraph"/>
              <w:spacing w:before="0"/>
              <w:ind w:left="135"/>
              <w:rPr>
                <w:sz w:val="20"/>
              </w:rPr>
            </w:pPr>
            <w:r>
              <w:rPr>
                <w:sz w:val="20"/>
              </w:rPr>
              <w:t>RS.CO,</w:t>
            </w:r>
          </w:p>
          <w:p>
            <w:pPr>
              <w:pStyle w:val="TableParagraph"/>
              <w:spacing w:before="1"/>
              <w:ind w:left="135" w:right="733"/>
              <w:rPr>
                <w:sz w:val="20"/>
              </w:rPr>
            </w:pPr>
            <w:r>
              <w:rPr>
                <w:sz w:val="20"/>
              </w:rPr>
              <w:t>RS.AN,</w:t>
            </w:r>
            <w:r>
              <w:rPr>
                <w:spacing w:val="-47"/>
                <w:sz w:val="20"/>
              </w:rPr>
              <w:t> </w:t>
            </w:r>
            <w:r>
              <w:rPr>
                <w:sz w:val="20"/>
              </w:rPr>
              <w:t>RC.RP</w:t>
            </w:r>
          </w:p>
        </w:tc>
      </w:tr>
      <w:tr>
        <w:trPr>
          <w:trHeight w:val="1269" w:hRule="atLeast"/>
        </w:trPr>
        <w:tc>
          <w:tcPr>
            <w:tcW w:w="1565" w:type="dxa"/>
          </w:tcPr>
          <w:p>
            <w:pPr>
              <w:pStyle w:val="TableParagraph"/>
              <w:ind w:right="371"/>
              <w:rPr>
                <w:b/>
                <w:sz w:val="20"/>
              </w:rPr>
            </w:pPr>
            <w:r>
              <w:rPr>
                <w:b/>
                <w:sz w:val="20"/>
              </w:rPr>
              <w:t>Shadow</w:t>
            </w:r>
            <w:r>
              <w:rPr>
                <w:b/>
                <w:spacing w:val="1"/>
                <w:sz w:val="20"/>
              </w:rPr>
              <w:t> </w:t>
            </w:r>
            <w:r>
              <w:rPr>
                <w:b/>
                <w:sz w:val="20"/>
              </w:rPr>
              <w:t>Information</w:t>
            </w:r>
            <w:r>
              <w:rPr>
                <w:b/>
                <w:spacing w:val="-48"/>
                <w:sz w:val="20"/>
              </w:rPr>
              <w:t> </w:t>
            </w:r>
            <w:r>
              <w:rPr>
                <w:b/>
                <w:sz w:val="20"/>
              </w:rPr>
              <w:t>Technology</w:t>
            </w:r>
            <w:r>
              <w:rPr>
                <w:b/>
                <w:spacing w:val="1"/>
                <w:sz w:val="20"/>
              </w:rPr>
              <w:t> </w:t>
            </w:r>
            <w:r>
              <w:rPr>
                <w:b/>
                <w:sz w:val="20"/>
              </w:rPr>
              <w:t>Detection</w:t>
            </w:r>
          </w:p>
        </w:tc>
        <w:tc>
          <w:tcPr>
            <w:tcW w:w="1809" w:type="dxa"/>
          </w:tcPr>
          <w:p>
            <w:pPr>
              <w:pStyle w:val="TableParagraph"/>
              <w:ind w:left="12" w:right="150"/>
              <w:jc w:val="center"/>
              <w:rPr>
                <w:sz w:val="20"/>
              </w:rPr>
            </w:pPr>
            <w:r>
              <w:rPr>
                <w:sz w:val="20"/>
              </w:rPr>
              <w:t>3.PEP.EN.SITDE</w:t>
            </w:r>
          </w:p>
        </w:tc>
        <w:tc>
          <w:tcPr>
            <w:tcW w:w="4526" w:type="dxa"/>
          </w:tcPr>
          <w:p>
            <w:pPr>
              <w:pStyle w:val="TableParagraph"/>
              <w:ind w:left="139" w:right="113"/>
              <w:rPr>
                <w:sz w:val="20"/>
              </w:rPr>
            </w:pPr>
            <w:r>
              <w:rPr>
                <w:sz w:val="20"/>
              </w:rPr>
              <w:t>Shadow information technology (IT) detection</w:t>
            </w:r>
            <w:r>
              <w:rPr>
                <w:spacing w:val="1"/>
                <w:sz w:val="20"/>
              </w:rPr>
              <w:t> </w:t>
            </w:r>
            <w:r>
              <w:rPr>
                <w:sz w:val="20"/>
              </w:rPr>
              <w:t>systems detect the presence of unauthorized software</w:t>
            </w:r>
            <w:r>
              <w:rPr>
                <w:spacing w:val="-47"/>
                <w:sz w:val="20"/>
              </w:rPr>
              <w:t> </w:t>
            </w:r>
            <w:r>
              <w:rPr>
                <w:sz w:val="20"/>
              </w:rPr>
              <w:t>and</w:t>
            </w:r>
            <w:r>
              <w:rPr>
                <w:spacing w:val="-2"/>
                <w:sz w:val="20"/>
              </w:rPr>
              <w:t> </w:t>
            </w:r>
            <w:r>
              <w:rPr>
                <w:sz w:val="20"/>
              </w:rPr>
              <w:t>systems in</w:t>
            </w:r>
            <w:r>
              <w:rPr>
                <w:spacing w:val="-1"/>
                <w:sz w:val="20"/>
              </w:rPr>
              <w:t> </w:t>
            </w:r>
            <w:r>
              <w:rPr>
                <w:sz w:val="20"/>
              </w:rPr>
              <w:t>use</w:t>
            </w:r>
            <w:r>
              <w:rPr>
                <w:spacing w:val="-2"/>
                <w:sz w:val="20"/>
              </w:rPr>
              <w:t> </w:t>
            </w:r>
            <w:r>
              <w:rPr>
                <w:sz w:val="20"/>
              </w:rPr>
              <w:t>by</w:t>
            </w:r>
            <w:r>
              <w:rPr>
                <w:spacing w:val="1"/>
                <w:sz w:val="20"/>
              </w:rPr>
              <w:t> </w:t>
            </w:r>
            <w:r>
              <w:rPr>
                <w:sz w:val="20"/>
              </w:rPr>
              <w:t>an</w:t>
            </w:r>
            <w:r>
              <w:rPr>
                <w:spacing w:val="1"/>
                <w:sz w:val="20"/>
              </w:rPr>
              <w:t> </w:t>
            </w:r>
            <w:r>
              <w:rPr>
                <w:sz w:val="20"/>
              </w:rPr>
              <w:t>agency.</w:t>
            </w:r>
          </w:p>
        </w:tc>
        <w:tc>
          <w:tcPr>
            <w:tcW w:w="1522" w:type="dxa"/>
          </w:tcPr>
          <w:p>
            <w:pPr>
              <w:pStyle w:val="TableParagraph"/>
              <w:spacing w:line="230" w:lineRule="exact"/>
              <w:ind w:left="135"/>
              <w:rPr>
                <w:sz w:val="20"/>
              </w:rPr>
            </w:pPr>
            <w:r>
              <w:rPr>
                <w:sz w:val="20"/>
              </w:rPr>
              <w:t>PR.IP,</w:t>
            </w:r>
          </w:p>
          <w:p>
            <w:pPr>
              <w:pStyle w:val="TableParagraph"/>
              <w:spacing w:before="0"/>
              <w:ind w:left="135" w:right="700"/>
              <w:rPr>
                <w:sz w:val="20"/>
              </w:rPr>
            </w:pPr>
            <w:r>
              <w:rPr>
                <w:sz w:val="20"/>
              </w:rPr>
              <w:t>PR.MA,</w:t>
            </w:r>
            <w:r>
              <w:rPr>
                <w:spacing w:val="-47"/>
                <w:sz w:val="20"/>
              </w:rPr>
              <w:t> </w:t>
            </w:r>
            <w:r>
              <w:rPr>
                <w:sz w:val="20"/>
              </w:rPr>
              <w:t>DE.CM</w:t>
            </w:r>
          </w:p>
        </w:tc>
      </w:tr>
      <w:tr>
        <w:trPr>
          <w:trHeight w:val="1270" w:hRule="atLeast"/>
        </w:trPr>
        <w:tc>
          <w:tcPr>
            <w:tcW w:w="1565" w:type="dxa"/>
            <w:shd w:val="clear" w:color="auto" w:fill="E7EAF3"/>
          </w:tcPr>
          <w:p>
            <w:pPr>
              <w:pStyle w:val="TableParagraph"/>
              <w:ind w:right="121"/>
              <w:rPr>
                <w:b/>
                <w:sz w:val="20"/>
              </w:rPr>
            </w:pPr>
            <w:r>
              <w:rPr>
                <w:b/>
                <w:sz w:val="20"/>
              </w:rPr>
              <w:t>Virtual Private</w:t>
            </w:r>
            <w:r>
              <w:rPr>
                <w:b/>
                <w:spacing w:val="-48"/>
                <w:sz w:val="20"/>
              </w:rPr>
              <w:t> </w:t>
            </w:r>
            <w:r>
              <w:rPr>
                <w:b/>
                <w:sz w:val="20"/>
              </w:rPr>
              <w:t>Network</w:t>
            </w:r>
          </w:p>
        </w:tc>
        <w:tc>
          <w:tcPr>
            <w:tcW w:w="1809" w:type="dxa"/>
            <w:shd w:val="clear" w:color="auto" w:fill="E7EAF3"/>
          </w:tcPr>
          <w:p>
            <w:pPr>
              <w:pStyle w:val="TableParagraph"/>
              <w:ind w:left="90" w:right="150"/>
              <w:jc w:val="center"/>
              <w:rPr>
                <w:sz w:val="20"/>
              </w:rPr>
            </w:pPr>
            <w:r>
              <w:rPr>
                <w:sz w:val="20"/>
              </w:rPr>
              <w:t>3.PEP.EN.VPNET</w:t>
            </w:r>
          </w:p>
        </w:tc>
        <w:tc>
          <w:tcPr>
            <w:tcW w:w="4526" w:type="dxa"/>
            <w:shd w:val="clear" w:color="auto" w:fill="E7EAF3"/>
          </w:tcPr>
          <w:p>
            <w:pPr>
              <w:pStyle w:val="TableParagraph"/>
              <w:ind w:left="139" w:right="334"/>
              <w:rPr>
                <w:sz w:val="20"/>
              </w:rPr>
            </w:pPr>
            <w:r>
              <w:rPr>
                <w:sz w:val="20"/>
              </w:rPr>
              <w:t>Virtual private network (VPN) solutions provide a</w:t>
            </w:r>
            <w:r>
              <w:rPr>
                <w:spacing w:val="-47"/>
                <w:sz w:val="20"/>
              </w:rPr>
              <w:t> </w:t>
            </w:r>
            <w:r>
              <w:rPr>
                <w:sz w:val="20"/>
              </w:rPr>
              <w:t>secure communications mechanism between</w:t>
            </w:r>
            <w:r>
              <w:rPr>
                <w:spacing w:val="1"/>
                <w:sz w:val="20"/>
              </w:rPr>
              <w:t> </w:t>
            </w:r>
            <w:r>
              <w:rPr>
                <w:sz w:val="20"/>
              </w:rPr>
              <w:t>networks that may traverse across unprotected or</w:t>
            </w:r>
            <w:r>
              <w:rPr>
                <w:spacing w:val="1"/>
                <w:sz w:val="20"/>
              </w:rPr>
              <w:t> </w:t>
            </w:r>
            <w:r>
              <w:rPr>
                <w:sz w:val="20"/>
              </w:rPr>
              <w:t>public</w:t>
            </w:r>
            <w:r>
              <w:rPr>
                <w:spacing w:val="-1"/>
                <w:sz w:val="20"/>
              </w:rPr>
              <w:t> </w:t>
            </w:r>
            <w:r>
              <w:rPr>
                <w:sz w:val="20"/>
              </w:rPr>
              <w:t>networks.</w:t>
            </w:r>
          </w:p>
        </w:tc>
        <w:tc>
          <w:tcPr>
            <w:tcW w:w="1522" w:type="dxa"/>
            <w:shd w:val="clear" w:color="auto" w:fill="E7EAF3"/>
          </w:tcPr>
          <w:p>
            <w:pPr>
              <w:pStyle w:val="TableParagraph"/>
              <w:ind w:left="135" w:right="194"/>
              <w:rPr>
                <w:sz w:val="20"/>
              </w:rPr>
            </w:pPr>
            <w:r>
              <w:rPr>
                <w:sz w:val="20"/>
              </w:rPr>
              <w:t>PR.AC,</w:t>
            </w:r>
            <w:r>
              <w:rPr>
                <w:spacing w:val="1"/>
                <w:sz w:val="20"/>
              </w:rPr>
              <w:t> </w:t>
            </w:r>
            <w:r>
              <w:rPr>
                <w:sz w:val="20"/>
              </w:rPr>
              <w:t>PR.DS, PR.IP,</w:t>
            </w:r>
            <w:r>
              <w:rPr>
                <w:spacing w:val="-47"/>
                <w:sz w:val="20"/>
              </w:rPr>
              <w:t> </w:t>
            </w:r>
            <w:r>
              <w:rPr>
                <w:sz w:val="20"/>
              </w:rPr>
              <w:t>PR.MA,</w:t>
            </w:r>
            <w:r>
              <w:rPr>
                <w:spacing w:val="1"/>
                <w:sz w:val="20"/>
              </w:rPr>
              <w:t> </w:t>
            </w:r>
            <w:r>
              <w:rPr>
                <w:sz w:val="20"/>
              </w:rPr>
              <w:t>PR.PT</w:t>
            </w:r>
          </w:p>
        </w:tc>
      </w:tr>
      <w:tr>
        <w:trPr>
          <w:trHeight w:val="1039" w:hRule="atLeast"/>
        </w:trPr>
        <w:tc>
          <w:tcPr>
            <w:tcW w:w="1565" w:type="dxa"/>
          </w:tcPr>
          <w:p>
            <w:pPr>
              <w:pStyle w:val="TableParagraph"/>
              <w:spacing w:before="114"/>
              <w:ind w:right="415"/>
              <w:rPr>
                <w:b/>
                <w:sz w:val="20"/>
              </w:rPr>
            </w:pPr>
            <w:r>
              <w:rPr>
                <w:b/>
                <w:sz w:val="20"/>
              </w:rPr>
              <w:t>Application</w:t>
            </w:r>
            <w:r>
              <w:rPr>
                <w:b/>
                <w:spacing w:val="-47"/>
                <w:sz w:val="20"/>
              </w:rPr>
              <w:t> </w:t>
            </w:r>
            <w:r>
              <w:rPr>
                <w:b/>
                <w:sz w:val="20"/>
              </w:rPr>
              <w:t>Container</w:t>
            </w:r>
          </w:p>
        </w:tc>
        <w:tc>
          <w:tcPr>
            <w:tcW w:w="1809" w:type="dxa"/>
          </w:tcPr>
          <w:p>
            <w:pPr>
              <w:pStyle w:val="TableParagraph"/>
              <w:ind w:left="101" w:right="116"/>
              <w:jc w:val="center"/>
              <w:rPr>
                <w:sz w:val="20"/>
              </w:rPr>
            </w:pPr>
            <w:r>
              <w:rPr>
                <w:sz w:val="20"/>
              </w:rPr>
              <w:t>3.PEP.EN.ACONT</w:t>
            </w:r>
          </w:p>
        </w:tc>
        <w:tc>
          <w:tcPr>
            <w:tcW w:w="4526" w:type="dxa"/>
          </w:tcPr>
          <w:p>
            <w:pPr>
              <w:pStyle w:val="TableParagraph"/>
              <w:spacing w:before="114"/>
              <w:ind w:left="139" w:right="268"/>
              <w:rPr>
                <w:sz w:val="20"/>
              </w:rPr>
            </w:pPr>
            <w:r>
              <w:rPr>
                <w:sz w:val="20"/>
              </w:rPr>
              <w:t>A virtualization approach in which applications are</w:t>
            </w:r>
            <w:r>
              <w:rPr>
                <w:spacing w:val="-47"/>
                <w:sz w:val="20"/>
              </w:rPr>
              <w:t> </w:t>
            </w:r>
            <w:r>
              <w:rPr>
                <w:sz w:val="20"/>
              </w:rPr>
              <w:t>isolated to a known set of dependencies, access</w:t>
            </w:r>
            <w:r>
              <w:rPr>
                <w:spacing w:val="1"/>
                <w:sz w:val="20"/>
              </w:rPr>
              <w:t> </w:t>
            </w:r>
            <w:r>
              <w:rPr>
                <w:sz w:val="20"/>
              </w:rPr>
              <w:t>methods,</w:t>
            </w:r>
            <w:r>
              <w:rPr>
                <w:spacing w:val="-1"/>
                <w:sz w:val="20"/>
              </w:rPr>
              <w:t> </w:t>
            </w:r>
            <w:r>
              <w:rPr>
                <w:sz w:val="20"/>
              </w:rPr>
              <w:t>and</w:t>
            </w:r>
            <w:r>
              <w:rPr>
                <w:spacing w:val="-1"/>
                <w:sz w:val="20"/>
              </w:rPr>
              <w:t> </w:t>
            </w:r>
            <w:r>
              <w:rPr>
                <w:sz w:val="20"/>
              </w:rPr>
              <w:t>interfaces.</w:t>
            </w:r>
          </w:p>
        </w:tc>
        <w:tc>
          <w:tcPr>
            <w:tcW w:w="1522" w:type="dxa"/>
          </w:tcPr>
          <w:p>
            <w:pPr>
              <w:pStyle w:val="TableParagraph"/>
              <w:ind w:left="135"/>
              <w:rPr>
                <w:sz w:val="20"/>
              </w:rPr>
            </w:pPr>
            <w:r>
              <w:rPr>
                <w:sz w:val="20"/>
              </w:rPr>
              <w:t>PR.AC,</w:t>
            </w:r>
            <w:r>
              <w:rPr>
                <w:spacing w:val="-2"/>
                <w:sz w:val="20"/>
              </w:rPr>
              <w:t> </w:t>
            </w:r>
            <w:r>
              <w:rPr>
                <w:sz w:val="20"/>
              </w:rPr>
              <w:t>PR.DS</w:t>
            </w:r>
          </w:p>
        </w:tc>
      </w:tr>
      <w:tr>
        <w:trPr>
          <w:trHeight w:val="1040" w:hRule="atLeast"/>
        </w:trPr>
        <w:tc>
          <w:tcPr>
            <w:tcW w:w="1565" w:type="dxa"/>
            <w:tcBorders>
              <w:bottom w:val="single" w:sz="4" w:space="0" w:color="0057B5"/>
            </w:tcBorders>
            <w:shd w:val="clear" w:color="auto" w:fill="E7EAF3"/>
          </w:tcPr>
          <w:p>
            <w:pPr>
              <w:pStyle w:val="TableParagraph"/>
              <w:ind w:right="114"/>
              <w:rPr>
                <w:b/>
                <w:sz w:val="20"/>
              </w:rPr>
            </w:pPr>
            <w:r>
              <w:rPr>
                <w:b/>
                <w:sz w:val="20"/>
              </w:rPr>
              <w:t>Remote</w:t>
            </w:r>
            <w:r>
              <w:rPr>
                <w:b/>
                <w:spacing w:val="1"/>
                <w:sz w:val="20"/>
              </w:rPr>
              <w:t> </w:t>
            </w:r>
            <w:r>
              <w:rPr>
                <w:b/>
                <w:spacing w:val="-1"/>
                <w:sz w:val="20"/>
              </w:rPr>
              <w:t>Desktop</w:t>
            </w:r>
            <w:r>
              <w:rPr>
                <w:b/>
                <w:spacing w:val="-8"/>
                <w:sz w:val="20"/>
              </w:rPr>
              <w:t> </w:t>
            </w:r>
            <w:r>
              <w:rPr>
                <w:b/>
                <w:sz w:val="20"/>
              </w:rPr>
              <w:t>Access</w:t>
            </w:r>
          </w:p>
        </w:tc>
        <w:tc>
          <w:tcPr>
            <w:tcW w:w="1809" w:type="dxa"/>
            <w:tcBorders>
              <w:bottom w:val="single" w:sz="4" w:space="0" w:color="0057B5"/>
            </w:tcBorders>
            <w:shd w:val="clear" w:color="auto" w:fill="E7EAF3"/>
          </w:tcPr>
          <w:p>
            <w:pPr>
              <w:pStyle w:val="TableParagraph"/>
              <w:ind w:left="100" w:right="116"/>
              <w:jc w:val="center"/>
              <w:rPr>
                <w:sz w:val="20"/>
              </w:rPr>
            </w:pPr>
            <w:r>
              <w:rPr>
                <w:sz w:val="20"/>
              </w:rPr>
              <w:t>3.PEP.EN.RDACC</w:t>
            </w:r>
          </w:p>
        </w:tc>
        <w:tc>
          <w:tcPr>
            <w:tcW w:w="4526" w:type="dxa"/>
            <w:tcBorders>
              <w:bottom w:val="single" w:sz="4" w:space="0" w:color="0057B5"/>
            </w:tcBorders>
            <w:shd w:val="clear" w:color="auto" w:fill="E7EAF3"/>
          </w:tcPr>
          <w:p>
            <w:pPr>
              <w:pStyle w:val="TableParagraph"/>
              <w:ind w:left="139" w:right="634"/>
              <w:rPr>
                <w:sz w:val="20"/>
              </w:rPr>
            </w:pPr>
            <w:r>
              <w:rPr>
                <w:sz w:val="20"/>
              </w:rPr>
              <w:t>Remote desktop access solutions provide a</w:t>
            </w:r>
            <w:r>
              <w:rPr>
                <w:spacing w:val="1"/>
                <w:sz w:val="20"/>
              </w:rPr>
              <w:t> </w:t>
            </w:r>
            <w:r>
              <w:rPr>
                <w:sz w:val="20"/>
              </w:rPr>
              <w:t>mechanism for connecting to and controlling a</w:t>
            </w:r>
            <w:r>
              <w:rPr>
                <w:spacing w:val="-47"/>
                <w:sz w:val="20"/>
              </w:rPr>
              <w:t> </w:t>
            </w:r>
            <w:r>
              <w:rPr>
                <w:sz w:val="20"/>
              </w:rPr>
              <w:t>remote</w:t>
            </w:r>
            <w:r>
              <w:rPr>
                <w:spacing w:val="-1"/>
                <w:sz w:val="20"/>
              </w:rPr>
              <w:t> </w:t>
            </w:r>
            <w:r>
              <w:rPr>
                <w:sz w:val="20"/>
              </w:rPr>
              <w:t>physical</w:t>
            </w:r>
            <w:r>
              <w:rPr>
                <w:spacing w:val="-2"/>
                <w:sz w:val="20"/>
              </w:rPr>
              <w:t> </w:t>
            </w:r>
            <w:r>
              <w:rPr>
                <w:sz w:val="20"/>
              </w:rPr>
              <w:t>or</w:t>
            </w:r>
            <w:r>
              <w:rPr>
                <w:spacing w:val="-2"/>
                <w:sz w:val="20"/>
              </w:rPr>
              <w:t> </w:t>
            </w:r>
            <w:r>
              <w:rPr>
                <w:sz w:val="20"/>
              </w:rPr>
              <w:t>virtual</w:t>
            </w:r>
            <w:r>
              <w:rPr>
                <w:spacing w:val="-1"/>
                <w:sz w:val="20"/>
              </w:rPr>
              <w:t> </w:t>
            </w:r>
            <w:r>
              <w:rPr>
                <w:sz w:val="20"/>
              </w:rPr>
              <w:t>computer.</w:t>
            </w:r>
          </w:p>
        </w:tc>
        <w:tc>
          <w:tcPr>
            <w:tcW w:w="1522" w:type="dxa"/>
            <w:tcBorders>
              <w:bottom w:val="single" w:sz="4" w:space="0" w:color="0057B5"/>
            </w:tcBorders>
            <w:shd w:val="clear" w:color="auto" w:fill="E7EAF3"/>
          </w:tcPr>
          <w:p>
            <w:pPr>
              <w:pStyle w:val="TableParagraph"/>
              <w:ind w:left="135" w:right="200"/>
              <w:rPr>
                <w:sz w:val="20"/>
              </w:rPr>
            </w:pPr>
            <w:r>
              <w:rPr>
                <w:sz w:val="20"/>
              </w:rPr>
              <w:t>PR.AC,</w:t>
            </w:r>
            <w:r>
              <w:rPr>
                <w:spacing w:val="1"/>
                <w:sz w:val="20"/>
              </w:rPr>
              <w:t> </w:t>
            </w:r>
            <w:r>
              <w:rPr>
                <w:sz w:val="20"/>
              </w:rPr>
              <w:t>PR.DS,</w:t>
            </w:r>
            <w:r>
              <w:rPr>
                <w:spacing w:val="-12"/>
                <w:sz w:val="20"/>
              </w:rPr>
              <w:t> </w:t>
            </w:r>
            <w:r>
              <w:rPr>
                <w:sz w:val="20"/>
              </w:rPr>
              <w:t>PR.PT</w:t>
            </w:r>
          </w:p>
        </w:tc>
      </w:tr>
    </w:tbl>
    <w:p>
      <w:pPr>
        <w:pStyle w:val="BodyText"/>
        <w:spacing w:before="7"/>
        <w:rPr>
          <w:b/>
          <w:sz w:val="32"/>
        </w:rPr>
      </w:pPr>
    </w:p>
    <w:p>
      <w:pPr>
        <w:spacing w:before="0"/>
        <w:ind w:left="120" w:right="0" w:firstLine="0"/>
        <w:jc w:val="left"/>
        <w:rPr>
          <w:i/>
          <w:sz w:val="18"/>
        </w:rPr>
      </w:pPr>
      <w:bookmarkStart w:name="_bookmark27" w:id="42"/>
      <w:bookmarkEnd w:id="42"/>
      <w:r>
        <w:rPr/>
      </w:r>
      <w:r>
        <w:rPr>
          <w:i/>
          <w:sz w:val="18"/>
        </w:rPr>
        <w:t>Table</w:t>
      </w:r>
      <w:r>
        <w:rPr>
          <w:i/>
          <w:spacing w:val="-1"/>
          <w:sz w:val="18"/>
        </w:rPr>
        <w:t> </w:t>
      </w:r>
      <w:r>
        <w:rPr>
          <w:i/>
          <w:sz w:val="18"/>
        </w:rPr>
        <w:t>12:</w:t>
      </w:r>
      <w:r>
        <w:rPr>
          <w:i/>
          <w:spacing w:val="-2"/>
          <w:sz w:val="18"/>
        </w:rPr>
        <w:t> </w:t>
      </w:r>
      <w:r>
        <w:rPr>
          <w:i/>
          <w:sz w:val="18"/>
        </w:rPr>
        <w:t>Unified</w:t>
      </w:r>
      <w:r>
        <w:rPr>
          <w:i/>
          <w:spacing w:val="-2"/>
          <w:sz w:val="18"/>
        </w:rPr>
        <w:t> </w:t>
      </w:r>
      <w:r>
        <w:rPr>
          <w:i/>
          <w:sz w:val="18"/>
        </w:rPr>
        <w:t>Communications</w:t>
      </w:r>
      <w:r>
        <w:rPr>
          <w:i/>
          <w:spacing w:val="-2"/>
          <w:sz w:val="18"/>
        </w:rPr>
        <w:t> </w:t>
      </w:r>
      <w:r>
        <w:rPr>
          <w:i/>
          <w:sz w:val="18"/>
        </w:rPr>
        <w:t>and</w:t>
      </w:r>
      <w:r>
        <w:rPr>
          <w:i/>
          <w:spacing w:val="-1"/>
          <w:sz w:val="18"/>
        </w:rPr>
        <w:t> </w:t>
      </w:r>
      <w:r>
        <w:rPr>
          <w:i/>
          <w:sz w:val="18"/>
        </w:rPr>
        <w:t>Collaboration</w:t>
      </w:r>
      <w:r>
        <w:rPr>
          <w:i/>
          <w:spacing w:val="-3"/>
          <w:sz w:val="18"/>
        </w:rPr>
        <w:t> </w:t>
      </w:r>
      <w:r>
        <w:rPr>
          <w:i/>
          <w:sz w:val="18"/>
        </w:rPr>
        <w:t>PEP</w:t>
      </w:r>
      <w:r>
        <w:rPr>
          <w:i/>
          <w:spacing w:val="-3"/>
          <w:sz w:val="18"/>
        </w:rPr>
        <w:t> </w:t>
      </w:r>
      <w:r>
        <w:rPr>
          <w:i/>
          <w:sz w:val="18"/>
        </w:rPr>
        <w:t>Security</w:t>
      </w:r>
      <w:r>
        <w:rPr>
          <w:i/>
          <w:spacing w:val="-2"/>
          <w:sz w:val="18"/>
        </w:rPr>
        <w:t> </w:t>
      </w:r>
      <w:r>
        <w:rPr>
          <w:i/>
          <w:sz w:val="18"/>
        </w:rPr>
        <w:t>Capabilities</w:t>
      </w:r>
    </w:p>
    <w:p>
      <w:pPr>
        <w:pStyle w:val="BodyText"/>
        <w:spacing w:before="4"/>
        <w:rPr>
          <w:i/>
          <w:sz w:val="17"/>
        </w:rPr>
      </w:pPr>
    </w:p>
    <w:p>
      <w:pPr>
        <w:pStyle w:val="Heading3"/>
      </w:pPr>
      <w:r>
        <w:rPr/>
        <w:t>Unified</w:t>
      </w:r>
      <w:r>
        <w:rPr>
          <w:spacing w:val="-4"/>
        </w:rPr>
        <w:t> </w:t>
      </w:r>
      <w:r>
        <w:rPr/>
        <w:t>Communications</w:t>
      </w:r>
      <w:r>
        <w:rPr>
          <w:spacing w:val="-5"/>
        </w:rPr>
        <w:t> </w:t>
      </w:r>
      <w:r>
        <w:rPr/>
        <w:t>and</w:t>
      </w:r>
      <w:r>
        <w:rPr>
          <w:spacing w:val="-3"/>
        </w:rPr>
        <w:t> </w:t>
      </w:r>
      <w:r>
        <w:rPr/>
        <w:t>Collaboration</w:t>
      </w:r>
      <w:r>
        <w:rPr>
          <w:spacing w:val="-4"/>
        </w:rPr>
        <w:t> </w:t>
      </w:r>
      <w:r>
        <w:rPr/>
        <w:t>PEP</w:t>
      </w:r>
      <w:r>
        <w:rPr>
          <w:spacing w:val="-3"/>
        </w:rPr>
        <w:t> </w:t>
      </w:r>
      <w:r>
        <w:rPr/>
        <w:t>Security</w:t>
      </w:r>
      <w:r>
        <w:rPr>
          <w:spacing w:val="-4"/>
        </w:rPr>
        <w:t> </w:t>
      </w:r>
      <w:r>
        <w:rPr/>
        <w:t>Capabilities</w:t>
      </w:r>
    </w:p>
    <w:p>
      <w:pPr>
        <w:pStyle w:val="BodyText"/>
        <w:spacing w:before="6"/>
        <w:rPr>
          <w:b/>
          <w:sz w:val="10"/>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45"/>
        <w:gridCol w:w="1935"/>
        <w:gridCol w:w="4581"/>
        <w:gridCol w:w="1462"/>
      </w:tblGrid>
      <w:tr>
        <w:trPr>
          <w:trHeight w:val="856" w:hRule="atLeast"/>
        </w:trPr>
        <w:tc>
          <w:tcPr>
            <w:tcW w:w="1445" w:type="dxa"/>
            <w:tcBorders>
              <w:top w:val="single" w:sz="4" w:space="0" w:color="0057B5"/>
              <w:bottom w:val="single" w:sz="4" w:space="0" w:color="0057B5"/>
            </w:tcBorders>
          </w:tcPr>
          <w:p>
            <w:pPr>
              <w:pStyle w:val="TableParagraph"/>
              <w:spacing w:before="0"/>
              <w:ind w:left="0"/>
              <w:rPr>
                <w:b/>
                <w:sz w:val="21"/>
              </w:rPr>
            </w:pPr>
          </w:p>
          <w:p>
            <w:pPr>
              <w:pStyle w:val="TableParagraph"/>
              <w:spacing w:before="0"/>
              <w:rPr>
                <w:b/>
                <w:sz w:val="22"/>
              </w:rPr>
            </w:pPr>
            <w:r>
              <w:rPr>
                <w:b/>
                <w:sz w:val="22"/>
              </w:rPr>
              <w:t>Capability</w:t>
            </w:r>
          </w:p>
        </w:tc>
        <w:tc>
          <w:tcPr>
            <w:tcW w:w="1935" w:type="dxa"/>
            <w:tcBorders>
              <w:top w:val="single" w:sz="4" w:space="0" w:color="0057B5"/>
              <w:bottom w:val="single" w:sz="4" w:space="0" w:color="0057B5"/>
            </w:tcBorders>
          </w:tcPr>
          <w:p>
            <w:pPr>
              <w:pStyle w:val="TableParagraph"/>
              <w:ind w:left="292" w:right="632"/>
              <w:rPr>
                <w:b/>
                <w:sz w:val="22"/>
              </w:rPr>
            </w:pPr>
            <w:r>
              <w:rPr>
                <w:b/>
                <w:sz w:val="22"/>
              </w:rPr>
              <w:t>Capability</w:t>
            </w:r>
            <w:r>
              <w:rPr>
                <w:b/>
                <w:spacing w:val="-53"/>
                <w:sz w:val="22"/>
              </w:rPr>
              <w:t> </w:t>
            </w:r>
            <w:r>
              <w:rPr>
                <w:b/>
                <w:sz w:val="22"/>
              </w:rPr>
              <w:t>Identifier</w:t>
            </w:r>
          </w:p>
        </w:tc>
        <w:tc>
          <w:tcPr>
            <w:tcW w:w="4581" w:type="dxa"/>
            <w:tcBorders>
              <w:top w:val="single" w:sz="4" w:space="0" w:color="0057B5"/>
              <w:bottom w:val="single" w:sz="4" w:space="0" w:color="0057B5"/>
            </w:tcBorders>
          </w:tcPr>
          <w:p>
            <w:pPr>
              <w:pStyle w:val="TableParagraph"/>
              <w:spacing w:before="0"/>
              <w:ind w:left="0"/>
              <w:rPr>
                <w:b/>
                <w:sz w:val="21"/>
              </w:rPr>
            </w:pPr>
          </w:p>
          <w:p>
            <w:pPr>
              <w:pStyle w:val="TableParagraph"/>
              <w:spacing w:before="0"/>
              <w:ind w:left="227"/>
              <w:rPr>
                <w:b/>
                <w:sz w:val="22"/>
              </w:rPr>
            </w:pPr>
            <w:r>
              <w:rPr>
                <w:b/>
                <w:sz w:val="22"/>
              </w:rPr>
              <w:t>Description</w:t>
            </w:r>
          </w:p>
        </w:tc>
        <w:tc>
          <w:tcPr>
            <w:tcW w:w="1462" w:type="dxa"/>
            <w:tcBorders>
              <w:top w:val="single" w:sz="4" w:space="0" w:color="0057B5"/>
              <w:bottom w:val="single" w:sz="4" w:space="0" w:color="0057B5"/>
            </w:tcBorders>
          </w:tcPr>
          <w:p>
            <w:pPr>
              <w:pStyle w:val="TableParagraph"/>
              <w:ind w:left="124"/>
              <w:rPr>
                <w:b/>
                <w:sz w:val="22"/>
              </w:rPr>
            </w:pPr>
            <w:r>
              <w:rPr>
                <w:b/>
                <w:sz w:val="22"/>
              </w:rPr>
              <w:t>NIST</w:t>
            </w:r>
            <w:r>
              <w:rPr>
                <w:b/>
                <w:spacing w:val="-3"/>
                <w:sz w:val="22"/>
              </w:rPr>
              <w:t> </w:t>
            </w:r>
            <w:r>
              <w:rPr>
                <w:b/>
                <w:sz w:val="22"/>
              </w:rPr>
              <w:t>CSF</w:t>
            </w:r>
          </w:p>
          <w:p>
            <w:pPr>
              <w:pStyle w:val="TableParagraph"/>
              <w:spacing w:before="0"/>
              <w:ind w:left="124"/>
              <w:rPr>
                <w:b/>
                <w:sz w:val="22"/>
              </w:rPr>
            </w:pPr>
            <w:r>
              <w:rPr>
                <w:b/>
                <w:sz w:val="22"/>
              </w:rPr>
              <w:t>Mapping</w:t>
            </w:r>
          </w:p>
        </w:tc>
      </w:tr>
      <w:tr>
        <w:trPr>
          <w:trHeight w:val="1490" w:hRule="atLeast"/>
        </w:trPr>
        <w:tc>
          <w:tcPr>
            <w:tcW w:w="1445" w:type="dxa"/>
            <w:tcBorders>
              <w:top w:val="single" w:sz="4" w:space="0" w:color="0057B5"/>
              <w:bottom w:val="single" w:sz="4" w:space="0" w:color="0057B5"/>
            </w:tcBorders>
            <w:shd w:val="clear" w:color="auto" w:fill="E7EAF3"/>
          </w:tcPr>
          <w:p>
            <w:pPr>
              <w:pStyle w:val="TableParagraph"/>
              <w:spacing w:before="104"/>
              <w:ind w:right="274"/>
              <w:rPr>
                <w:b/>
                <w:sz w:val="20"/>
              </w:rPr>
            </w:pPr>
            <w:r>
              <w:rPr>
                <w:b/>
                <w:sz w:val="20"/>
              </w:rPr>
              <w:t>Identity</w:t>
            </w:r>
            <w:r>
              <w:rPr>
                <w:b/>
                <w:spacing w:val="1"/>
                <w:sz w:val="20"/>
              </w:rPr>
              <w:t> </w:t>
            </w:r>
            <w:r>
              <w:rPr>
                <w:b/>
                <w:sz w:val="20"/>
              </w:rPr>
              <w:t>Verification</w:t>
            </w:r>
          </w:p>
        </w:tc>
        <w:tc>
          <w:tcPr>
            <w:tcW w:w="1935" w:type="dxa"/>
            <w:tcBorders>
              <w:top w:val="single" w:sz="4" w:space="0" w:color="0057B5"/>
              <w:bottom w:val="single" w:sz="4" w:space="0" w:color="0057B5"/>
            </w:tcBorders>
            <w:shd w:val="clear" w:color="auto" w:fill="E7EAF3"/>
          </w:tcPr>
          <w:p>
            <w:pPr>
              <w:pStyle w:val="TableParagraph"/>
              <w:spacing w:before="106"/>
              <w:ind w:left="292"/>
              <w:rPr>
                <w:sz w:val="20"/>
              </w:rPr>
            </w:pPr>
            <w:r>
              <w:rPr>
                <w:sz w:val="20"/>
              </w:rPr>
              <w:t>3.PEP.UN.IVERI</w:t>
            </w:r>
          </w:p>
        </w:tc>
        <w:tc>
          <w:tcPr>
            <w:tcW w:w="4581" w:type="dxa"/>
            <w:tcBorders>
              <w:top w:val="single" w:sz="4" w:space="0" w:color="0057B5"/>
              <w:bottom w:val="single" w:sz="4" w:space="0" w:color="0057B5"/>
            </w:tcBorders>
            <w:shd w:val="clear" w:color="auto" w:fill="E7EAF3"/>
          </w:tcPr>
          <w:p>
            <w:pPr>
              <w:pStyle w:val="TableParagraph"/>
              <w:spacing w:before="104"/>
              <w:ind w:left="227" w:right="107"/>
              <w:rPr>
                <w:sz w:val="20"/>
              </w:rPr>
            </w:pPr>
            <w:r>
              <w:rPr>
                <w:sz w:val="20"/>
              </w:rPr>
              <w:t>Identity verification ensures that access to the virtual</w:t>
            </w:r>
            <w:r>
              <w:rPr>
                <w:spacing w:val="-48"/>
                <w:sz w:val="20"/>
              </w:rPr>
              <w:t> </w:t>
            </w:r>
            <w:r>
              <w:rPr>
                <w:sz w:val="20"/>
              </w:rPr>
              <w:t>meeting</w:t>
            </w:r>
            <w:r>
              <w:rPr>
                <w:spacing w:val="-2"/>
                <w:sz w:val="20"/>
              </w:rPr>
              <w:t> </w:t>
            </w:r>
            <w:r>
              <w:rPr>
                <w:sz w:val="20"/>
              </w:rPr>
              <w:t>is</w:t>
            </w:r>
            <w:r>
              <w:rPr>
                <w:spacing w:val="-2"/>
                <w:sz w:val="20"/>
              </w:rPr>
              <w:t> </w:t>
            </w:r>
            <w:r>
              <w:rPr>
                <w:sz w:val="20"/>
              </w:rPr>
              <w:t>limited to appropriate</w:t>
            </w:r>
            <w:r>
              <w:rPr>
                <w:spacing w:val="-1"/>
                <w:sz w:val="20"/>
              </w:rPr>
              <w:t> </w:t>
            </w:r>
            <w:r>
              <w:rPr>
                <w:sz w:val="20"/>
              </w:rPr>
              <w:t>individuals.</w:t>
            </w:r>
          </w:p>
          <w:p>
            <w:pPr>
              <w:pStyle w:val="TableParagraph"/>
              <w:spacing w:before="0"/>
              <w:ind w:left="227"/>
              <w:rPr>
                <w:sz w:val="20"/>
              </w:rPr>
            </w:pPr>
            <w:r>
              <w:rPr>
                <w:sz w:val="20"/>
              </w:rPr>
              <w:t>Waiting room features, where the meeting host</w:t>
            </w:r>
            <w:r>
              <w:rPr>
                <w:spacing w:val="1"/>
                <w:sz w:val="20"/>
              </w:rPr>
              <w:t> </w:t>
            </w:r>
            <w:r>
              <w:rPr>
                <w:sz w:val="20"/>
              </w:rPr>
              <w:t>authorizes</w:t>
            </w:r>
            <w:r>
              <w:rPr>
                <w:spacing w:val="-5"/>
                <w:sz w:val="20"/>
              </w:rPr>
              <w:t> </w:t>
            </w:r>
            <w:r>
              <w:rPr>
                <w:sz w:val="20"/>
              </w:rPr>
              <w:t>vetted</w:t>
            </w:r>
            <w:r>
              <w:rPr>
                <w:spacing w:val="-2"/>
                <w:sz w:val="20"/>
              </w:rPr>
              <w:t> </w:t>
            </w:r>
            <w:r>
              <w:rPr>
                <w:sz w:val="20"/>
              </w:rPr>
              <w:t>individuals</w:t>
            </w:r>
            <w:r>
              <w:rPr>
                <w:spacing w:val="-4"/>
                <w:sz w:val="20"/>
              </w:rPr>
              <w:t> </w:t>
            </w:r>
            <w:r>
              <w:rPr>
                <w:sz w:val="20"/>
              </w:rPr>
              <w:t>to</w:t>
            </w:r>
            <w:r>
              <w:rPr>
                <w:spacing w:val="-2"/>
                <w:sz w:val="20"/>
              </w:rPr>
              <w:t> </w:t>
            </w:r>
            <w:r>
              <w:rPr>
                <w:sz w:val="20"/>
              </w:rPr>
              <w:t>join</w:t>
            </w:r>
            <w:r>
              <w:rPr>
                <w:spacing w:val="-4"/>
                <w:sz w:val="20"/>
              </w:rPr>
              <w:t> </w:t>
            </w:r>
            <w:r>
              <w:rPr>
                <w:sz w:val="20"/>
              </w:rPr>
              <w:t>the</w:t>
            </w:r>
            <w:r>
              <w:rPr>
                <w:spacing w:val="-4"/>
                <w:sz w:val="20"/>
              </w:rPr>
              <w:t> </w:t>
            </w:r>
            <w:r>
              <w:rPr>
                <w:sz w:val="20"/>
              </w:rPr>
              <w:t>meeting,</w:t>
            </w:r>
            <w:r>
              <w:rPr>
                <w:spacing w:val="-3"/>
                <w:sz w:val="20"/>
              </w:rPr>
              <w:t> </w:t>
            </w:r>
            <w:r>
              <w:rPr>
                <w:sz w:val="20"/>
              </w:rPr>
              <w:t>can</w:t>
            </w:r>
            <w:r>
              <w:rPr>
                <w:spacing w:val="-47"/>
                <w:sz w:val="20"/>
              </w:rPr>
              <w:t> </w:t>
            </w:r>
            <w:r>
              <w:rPr>
                <w:sz w:val="20"/>
              </w:rPr>
              <w:t>also</w:t>
            </w:r>
            <w:r>
              <w:rPr>
                <w:spacing w:val="-2"/>
                <w:sz w:val="20"/>
              </w:rPr>
              <w:t> </w:t>
            </w:r>
            <w:r>
              <w:rPr>
                <w:sz w:val="20"/>
              </w:rPr>
              <w:t>be</w:t>
            </w:r>
            <w:r>
              <w:rPr>
                <w:spacing w:val="-1"/>
                <w:sz w:val="20"/>
              </w:rPr>
              <w:t> </w:t>
            </w:r>
            <w:r>
              <w:rPr>
                <w:sz w:val="20"/>
              </w:rPr>
              <w:t>utilized.</w:t>
            </w:r>
          </w:p>
        </w:tc>
        <w:tc>
          <w:tcPr>
            <w:tcW w:w="1462" w:type="dxa"/>
            <w:tcBorders>
              <w:top w:val="single" w:sz="4" w:space="0" w:color="0057B5"/>
              <w:bottom w:val="single" w:sz="4" w:space="0" w:color="0057B5"/>
            </w:tcBorders>
            <w:shd w:val="clear" w:color="auto" w:fill="E7EAF3"/>
          </w:tcPr>
          <w:p>
            <w:pPr>
              <w:pStyle w:val="TableParagraph"/>
              <w:spacing w:before="106"/>
              <w:ind w:left="124"/>
              <w:rPr>
                <w:sz w:val="20"/>
              </w:rPr>
            </w:pPr>
            <w:r>
              <w:rPr>
                <w:sz w:val="20"/>
              </w:rPr>
              <w:t>PR.AC</w:t>
            </w:r>
          </w:p>
        </w:tc>
      </w:tr>
    </w:tbl>
    <w:p>
      <w:pPr>
        <w:spacing w:after="0"/>
        <w:rPr>
          <w:sz w:val="20"/>
        </w:rPr>
        <w:sectPr>
          <w:pgSz w:w="12240" w:h="15840"/>
          <w:pgMar w:header="730" w:footer="764" w:top="960" w:bottom="960" w:left="1320" w:right="1080"/>
        </w:sectPr>
      </w:pPr>
    </w:p>
    <w:p>
      <w:pPr>
        <w:pStyle w:val="BodyText"/>
        <w:rPr>
          <w:b/>
          <w:sz w:val="20"/>
        </w:rPr>
      </w:pPr>
    </w:p>
    <w:p>
      <w:pPr>
        <w:pStyle w:val="BodyText"/>
        <w:spacing w:before="7"/>
        <w:rPr>
          <w:b/>
          <w:sz w:val="20"/>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23"/>
        <w:gridCol w:w="1869"/>
        <w:gridCol w:w="4469"/>
        <w:gridCol w:w="1465"/>
      </w:tblGrid>
      <w:tr>
        <w:trPr>
          <w:trHeight w:val="856" w:hRule="atLeast"/>
        </w:trPr>
        <w:tc>
          <w:tcPr>
            <w:tcW w:w="1623" w:type="dxa"/>
            <w:tcBorders>
              <w:top w:val="single" w:sz="4" w:space="0" w:color="0057B5"/>
              <w:bottom w:val="single" w:sz="4" w:space="0" w:color="0057B5"/>
            </w:tcBorders>
          </w:tcPr>
          <w:p>
            <w:pPr>
              <w:pStyle w:val="TableParagraph"/>
              <w:spacing w:before="0"/>
              <w:ind w:left="0"/>
              <w:rPr>
                <w:b/>
                <w:sz w:val="21"/>
              </w:rPr>
            </w:pPr>
          </w:p>
          <w:p>
            <w:pPr>
              <w:pStyle w:val="TableParagraph"/>
              <w:spacing w:before="0"/>
              <w:rPr>
                <w:b/>
                <w:sz w:val="22"/>
              </w:rPr>
            </w:pPr>
            <w:r>
              <w:rPr>
                <w:b/>
                <w:sz w:val="22"/>
              </w:rPr>
              <w:t>Capability</w:t>
            </w:r>
          </w:p>
        </w:tc>
        <w:tc>
          <w:tcPr>
            <w:tcW w:w="1869" w:type="dxa"/>
            <w:tcBorders>
              <w:top w:val="single" w:sz="4" w:space="0" w:color="0057B5"/>
              <w:bottom w:val="single" w:sz="4" w:space="0" w:color="0057B5"/>
            </w:tcBorders>
          </w:tcPr>
          <w:p>
            <w:pPr>
              <w:pStyle w:val="TableParagraph"/>
              <w:ind w:left="114" w:right="744"/>
              <w:rPr>
                <w:b/>
                <w:sz w:val="22"/>
              </w:rPr>
            </w:pPr>
            <w:r>
              <w:rPr>
                <w:b/>
                <w:sz w:val="22"/>
              </w:rPr>
              <w:t>Capability</w:t>
            </w:r>
            <w:r>
              <w:rPr>
                <w:b/>
                <w:spacing w:val="-53"/>
                <w:sz w:val="22"/>
              </w:rPr>
              <w:t> </w:t>
            </w:r>
            <w:r>
              <w:rPr>
                <w:b/>
                <w:sz w:val="22"/>
              </w:rPr>
              <w:t>Identifier</w:t>
            </w:r>
          </w:p>
        </w:tc>
        <w:tc>
          <w:tcPr>
            <w:tcW w:w="4469" w:type="dxa"/>
            <w:tcBorders>
              <w:top w:val="single" w:sz="4" w:space="0" w:color="0057B5"/>
              <w:bottom w:val="single" w:sz="4" w:space="0" w:color="0057B5"/>
            </w:tcBorders>
          </w:tcPr>
          <w:p>
            <w:pPr>
              <w:pStyle w:val="TableParagraph"/>
              <w:spacing w:before="0"/>
              <w:ind w:left="0"/>
              <w:rPr>
                <w:b/>
                <w:sz w:val="21"/>
              </w:rPr>
            </w:pPr>
          </w:p>
          <w:p>
            <w:pPr>
              <w:pStyle w:val="TableParagraph"/>
              <w:spacing w:before="0"/>
              <w:ind w:left="115"/>
              <w:rPr>
                <w:b/>
                <w:sz w:val="22"/>
              </w:rPr>
            </w:pPr>
            <w:r>
              <w:rPr>
                <w:b/>
                <w:sz w:val="22"/>
              </w:rPr>
              <w:t>Description</w:t>
            </w:r>
          </w:p>
        </w:tc>
        <w:tc>
          <w:tcPr>
            <w:tcW w:w="1465" w:type="dxa"/>
            <w:tcBorders>
              <w:top w:val="single" w:sz="4" w:space="0" w:color="0057B5"/>
              <w:bottom w:val="single" w:sz="4" w:space="0" w:color="0057B5"/>
            </w:tcBorders>
          </w:tcPr>
          <w:p>
            <w:pPr>
              <w:pStyle w:val="TableParagraph"/>
              <w:ind w:left="124"/>
              <w:rPr>
                <w:b/>
                <w:sz w:val="22"/>
              </w:rPr>
            </w:pPr>
            <w:r>
              <w:rPr>
                <w:b/>
                <w:sz w:val="22"/>
              </w:rPr>
              <w:t>NIST</w:t>
            </w:r>
            <w:r>
              <w:rPr>
                <w:b/>
                <w:spacing w:val="-3"/>
                <w:sz w:val="22"/>
              </w:rPr>
              <w:t> </w:t>
            </w:r>
            <w:r>
              <w:rPr>
                <w:b/>
                <w:sz w:val="22"/>
              </w:rPr>
              <w:t>CSF</w:t>
            </w:r>
          </w:p>
          <w:p>
            <w:pPr>
              <w:pStyle w:val="TableParagraph"/>
              <w:spacing w:before="0"/>
              <w:ind w:left="124"/>
              <w:rPr>
                <w:b/>
                <w:sz w:val="22"/>
              </w:rPr>
            </w:pPr>
            <w:r>
              <w:rPr>
                <w:b/>
                <w:sz w:val="22"/>
              </w:rPr>
              <w:t>Mapping</w:t>
            </w:r>
          </w:p>
        </w:tc>
      </w:tr>
      <w:tr>
        <w:trPr>
          <w:trHeight w:val="1949" w:hRule="atLeast"/>
        </w:trPr>
        <w:tc>
          <w:tcPr>
            <w:tcW w:w="1623" w:type="dxa"/>
            <w:tcBorders>
              <w:top w:val="single" w:sz="4" w:space="0" w:color="0057B5"/>
            </w:tcBorders>
          </w:tcPr>
          <w:p>
            <w:pPr>
              <w:pStyle w:val="TableParagraph"/>
              <w:spacing w:before="104"/>
              <w:ind w:right="96"/>
              <w:rPr>
                <w:b/>
                <w:sz w:val="20"/>
              </w:rPr>
            </w:pPr>
            <w:r>
              <w:rPr>
                <w:b/>
                <w:sz w:val="20"/>
              </w:rPr>
              <w:t>Encrypted</w:t>
            </w:r>
            <w:r>
              <w:rPr>
                <w:b/>
                <w:spacing w:val="1"/>
                <w:sz w:val="20"/>
              </w:rPr>
              <w:t> </w:t>
            </w:r>
            <w:r>
              <w:rPr>
                <w:b/>
                <w:sz w:val="20"/>
              </w:rPr>
              <w:t>Communication</w:t>
            </w:r>
          </w:p>
        </w:tc>
        <w:tc>
          <w:tcPr>
            <w:tcW w:w="1869" w:type="dxa"/>
            <w:tcBorders>
              <w:top w:val="single" w:sz="4" w:space="0" w:color="0057B5"/>
            </w:tcBorders>
          </w:tcPr>
          <w:p>
            <w:pPr>
              <w:pStyle w:val="TableParagraph"/>
              <w:spacing w:before="104"/>
              <w:ind w:left="114"/>
              <w:rPr>
                <w:sz w:val="20"/>
              </w:rPr>
            </w:pPr>
            <w:r>
              <w:rPr>
                <w:sz w:val="20"/>
              </w:rPr>
              <w:t>3.PEP.UN.ECOMM</w:t>
            </w:r>
          </w:p>
        </w:tc>
        <w:tc>
          <w:tcPr>
            <w:tcW w:w="4469" w:type="dxa"/>
            <w:tcBorders>
              <w:top w:val="single" w:sz="4" w:space="0" w:color="0057B5"/>
            </w:tcBorders>
          </w:tcPr>
          <w:p>
            <w:pPr>
              <w:pStyle w:val="TableParagraph"/>
              <w:spacing w:before="104"/>
              <w:ind w:left="114" w:right="123"/>
              <w:rPr>
                <w:sz w:val="20"/>
              </w:rPr>
            </w:pPr>
            <w:r>
              <w:rPr>
                <w:sz w:val="20"/>
              </w:rPr>
              <w:t>Communication</w:t>
            </w:r>
            <w:r>
              <w:rPr>
                <w:spacing w:val="9"/>
                <w:sz w:val="20"/>
              </w:rPr>
              <w:t> </w:t>
            </w:r>
            <w:r>
              <w:rPr>
                <w:sz w:val="20"/>
              </w:rPr>
              <w:t>between</w:t>
            </w:r>
            <w:r>
              <w:rPr>
                <w:spacing w:val="9"/>
                <w:sz w:val="20"/>
              </w:rPr>
              <w:t> </w:t>
            </w:r>
            <w:r>
              <w:rPr>
                <w:sz w:val="20"/>
              </w:rPr>
              <w:t>virtual</w:t>
            </w:r>
            <w:r>
              <w:rPr>
                <w:spacing w:val="9"/>
                <w:sz w:val="20"/>
              </w:rPr>
              <w:t> </w:t>
            </w:r>
            <w:r>
              <w:rPr>
                <w:sz w:val="20"/>
              </w:rPr>
              <w:t>meeting</w:t>
            </w:r>
            <w:r>
              <w:rPr>
                <w:spacing w:val="1"/>
                <w:sz w:val="20"/>
              </w:rPr>
              <w:t> </w:t>
            </w:r>
            <w:r>
              <w:rPr>
                <w:sz w:val="20"/>
              </w:rPr>
              <w:t>participants and any data exchanged is encrypted at</w:t>
            </w:r>
            <w:r>
              <w:rPr>
                <w:spacing w:val="1"/>
                <w:sz w:val="20"/>
              </w:rPr>
              <w:t> </w:t>
            </w:r>
            <w:r>
              <w:rPr>
                <w:sz w:val="20"/>
              </w:rPr>
              <w:t>rest and in transit. Some UCC offerings support end-</w:t>
            </w:r>
            <w:r>
              <w:rPr>
                <w:spacing w:val="-47"/>
                <w:sz w:val="20"/>
              </w:rPr>
              <w:t> </w:t>
            </w:r>
            <w:r>
              <w:rPr>
                <w:sz w:val="20"/>
              </w:rPr>
              <w:t>to-end encryption, where encryption is performed on</w:t>
            </w:r>
            <w:r>
              <w:rPr>
                <w:spacing w:val="-47"/>
                <w:sz w:val="20"/>
              </w:rPr>
              <w:t> </w:t>
            </w:r>
            <w:r>
              <w:rPr>
                <w:sz w:val="20"/>
              </w:rPr>
              <w:t>the clients and can only be decrypted by the other</w:t>
            </w:r>
            <w:r>
              <w:rPr>
                <w:spacing w:val="1"/>
                <w:sz w:val="20"/>
              </w:rPr>
              <w:t> </w:t>
            </w:r>
            <w:r>
              <w:rPr>
                <w:sz w:val="20"/>
              </w:rPr>
              <w:t>authenticated participants and cannot be decrypted</w:t>
            </w:r>
            <w:r>
              <w:rPr>
                <w:spacing w:val="1"/>
                <w:sz w:val="20"/>
              </w:rPr>
              <w:t> </w:t>
            </w:r>
            <w:r>
              <w:rPr>
                <w:sz w:val="20"/>
              </w:rPr>
              <w:t>by</w:t>
            </w:r>
            <w:r>
              <w:rPr>
                <w:spacing w:val="-2"/>
                <w:sz w:val="20"/>
              </w:rPr>
              <w:t> </w:t>
            </w:r>
            <w:r>
              <w:rPr>
                <w:sz w:val="20"/>
              </w:rPr>
              <w:t>the</w:t>
            </w:r>
            <w:r>
              <w:rPr>
                <w:spacing w:val="-1"/>
                <w:sz w:val="20"/>
              </w:rPr>
              <w:t> </w:t>
            </w:r>
            <w:r>
              <w:rPr>
                <w:sz w:val="20"/>
              </w:rPr>
              <w:t>UCC</w:t>
            </w:r>
            <w:r>
              <w:rPr>
                <w:spacing w:val="-2"/>
                <w:sz w:val="20"/>
              </w:rPr>
              <w:t> </w:t>
            </w:r>
            <w:r>
              <w:rPr>
                <w:sz w:val="20"/>
              </w:rPr>
              <w:t>vendor.</w:t>
            </w:r>
          </w:p>
        </w:tc>
        <w:tc>
          <w:tcPr>
            <w:tcW w:w="1465" w:type="dxa"/>
            <w:tcBorders>
              <w:top w:val="single" w:sz="4" w:space="0" w:color="0057B5"/>
            </w:tcBorders>
          </w:tcPr>
          <w:p>
            <w:pPr>
              <w:pStyle w:val="TableParagraph"/>
              <w:spacing w:before="104"/>
              <w:ind w:left="124"/>
              <w:rPr>
                <w:sz w:val="20"/>
              </w:rPr>
            </w:pPr>
            <w:r>
              <w:rPr>
                <w:sz w:val="20"/>
              </w:rPr>
              <w:t>PR.PT,</w:t>
            </w:r>
            <w:r>
              <w:rPr>
                <w:spacing w:val="-2"/>
                <w:sz w:val="20"/>
              </w:rPr>
              <w:t> </w:t>
            </w:r>
            <w:r>
              <w:rPr>
                <w:sz w:val="20"/>
              </w:rPr>
              <w:t>PR.DS</w:t>
            </w:r>
          </w:p>
        </w:tc>
      </w:tr>
      <w:tr>
        <w:trPr>
          <w:trHeight w:val="1730" w:hRule="atLeast"/>
        </w:trPr>
        <w:tc>
          <w:tcPr>
            <w:tcW w:w="1623" w:type="dxa"/>
            <w:shd w:val="clear" w:color="auto" w:fill="E7EAF3"/>
          </w:tcPr>
          <w:p>
            <w:pPr>
              <w:pStyle w:val="TableParagraph"/>
              <w:spacing w:before="114"/>
              <w:ind w:right="396"/>
              <w:rPr>
                <w:b/>
                <w:sz w:val="20"/>
              </w:rPr>
            </w:pPr>
            <w:r>
              <w:rPr>
                <w:b/>
                <w:sz w:val="20"/>
              </w:rPr>
              <w:t>Connection</w:t>
            </w:r>
            <w:r>
              <w:rPr>
                <w:b/>
                <w:spacing w:val="1"/>
                <w:sz w:val="20"/>
              </w:rPr>
              <w:t> </w:t>
            </w:r>
            <w:r>
              <w:rPr>
                <w:b/>
                <w:sz w:val="20"/>
              </w:rPr>
              <w:t>Termination</w:t>
            </w:r>
          </w:p>
        </w:tc>
        <w:tc>
          <w:tcPr>
            <w:tcW w:w="1869" w:type="dxa"/>
            <w:shd w:val="clear" w:color="auto" w:fill="E7EAF3"/>
          </w:tcPr>
          <w:p>
            <w:pPr>
              <w:pStyle w:val="TableParagraph"/>
              <w:ind w:left="114"/>
              <w:rPr>
                <w:sz w:val="20"/>
              </w:rPr>
            </w:pPr>
            <w:r>
              <w:rPr>
                <w:sz w:val="20"/>
              </w:rPr>
              <w:t>3.PEP.UN.CTERM</w:t>
            </w:r>
          </w:p>
        </w:tc>
        <w:tc>
          <w:tcPr>
            <w:tcW w:w="4469" w:type="dxa"/>
            <w:shd w:val="clear" w:color="auto" w:fill="E7EAF3"/>
          </w:tcPr>
          <w:p>
            <w:pPr>
              <w:pStyle w:val="TableParagraph"/>
              <w:spacing w:before="114"/>
              <w:ind w:left="115" w:right="412"/>
              <w:rPr>
                <w:sz w:val="20"/>
              </w:rPr>
            </w:pPr>
            <w:r>
              <w:rPr>
                <w:sz w:val="20"/>
              </w:rPr>
              <w:t>Connection termination mechanisms ensure the</w:t>
            </w:r>
            <w:r>
              <w:rPr>
                <w:spacing w:val="1"/>
                <w:sz w:val="20"/>
              </w:rPr>
              <w:t> </w:t>
            </w:r>
            <w:r>
              <w:rPr>
                <w:sz w:val="20"/>
              </w:rPr>
              <w:t>meeting host can positively control participation</w:t>
            </w:r>
            <w:r>
              <w:rPr>
                <w:spacing w:val="1"/>
                <w:sz w:val="20"/>
              </w:rPr>
              <w:t> </w:t>
            </w:r>
            <w:r>
              <w:rPr>
                <w:sz w:val="20"/>
              </w:rPr>
              <w:t>through inactivity timeouts, on-demand prompts,</w:t>
            </w:r>
            <w:r>
              <w:rPr>
                <w:spacing w:val="-47"/>
                <w:sz w:val="20"/>
              </w:rPr>
              <w:t> </w:t>
            </w:r>
            <w:r>
              <w:rPr>
                <w:sz w:val="20"/>
              </w:rPr>
              <w:t>unique access codes for each meeting, host</w:t>
            </w:r>
            <w:r>
              <w:rPr>
                <w:spacing w:val="1"/>
                <w:sz w:val="20"/>
              </w:rPr>
              <w:t> </w:t>
            </w:r>
            <w:r>
              <w:rPr>
                <w:sz w:val="20"/>
              </w:rPr>
              <w:t>participant eviction, and even meeting duration</w:t>
            </w:r>
            <w:r>
              <w:rPr>
                <w:spacing w:val="1"/>
                <w:sz w:val="20"/>
              </w:rPr>
              <w:t> </w:t>
            </w:r>
            <w:r>
              <w:rPr>
                <w:sz w:val="20"/>
              </w:rPr>
              <w:t>limits.</w:t>
            </w:r>
          </w:p>
        </w:tc>
        <w:tc>
          <w:tcPr>
            <w:tcW w:w="1465" w:type="dxa"/>
            <w:shd w:val="clear" w:color="auto" w:fill="E7EAF3"/>
          </w:tcPr>
          <w:p>
            <w:pPr>
              <w:pStyle w:val="TableParagraph"/>
              <w:spacing w:before="114"/>
              <w:ind w:left="124" w:right="126"/>
              <w:rPr>
                <w:sz w:val="20"/>
              </w:rPr>
            </w:pPr>
            <w:r>
              <w:rPr>
                <w:sz w:val="20"/>
              </w:rPr>
              <w:t>PR.AC, PR.IP,</w:t>
            </w:r>
            <w:r>
              <w:rPr>
                <w:spacing w:val="-47"/>
                <w:sz w:val="20"/>
              </w:rPr>
              <w:t> </w:t>
            </w:r>
            <w:r>
              <w:rPr>
                <w:sz w:val="20"/>
              </w:rPr>
              <w:t>PR.AT</w:t>
            </w:r>
          </w:p>
        </w:tc>
      </w:tr>
      <w:tr>
        <w:trPr>
          <w:trHeight w:val="1959" w:hRule="atLeast"/>
        </w:trPr>
        <w:tc>
          <w:tcPr>
            <w:tcW w:w="1623" w:type="dxa"/>
            <w:tcBorders>
              <w:bottom w:val="single" w:sz="4" w:space="0" w:color="0057B5"/>
            </w:tcBorders>
          </w:tcPr>
          <w:p>
            <w:pPr>
              <w:pStyle w:val="TableParagraph"/>
              <w:spacing w:before="114"/>
              <w:ind w:right="540"/>
              <w:rPr>
                <w:b/>
                <w:sz w:val="20"/>
              </w:rPr>
            </w:pPr>
            <w:r>
              <w:rPr>
                <w:b/>
                <w:sz w:val="20"/>
              </w:rPr>
              <w:t>Data Loss</w:t>
            </w:r>
            <w:r>
              <w:rPr>
                <w:b/>
                <w:spacing w:val="1"/>
                <w:sz w:val="20"/>
              </w:rPr>
              <w:t> </w:t>
            </w:r>
            <w:r>
              <w:rPr>
                <w:b/>
                <w:sz w:val="20"/>
              </w:rPr>
              <w:t>Prevention</w:t>
            </w:r>
          </w:p>
        </w:tc>
        <w:tc>
          <w:tcPr>
            <w:tcW w:w="1869" w:type="dxa"/>
            <w:tcBorders>
              <w:bottom w:val="single" w:sz="4" w:space="0" w:color="0057B5"/>
            </w:tcBorders>
          </w:tcPr>
          <w:p>
            <w:pPr>
              <w:pStyle w:val="TableParagraph"/>
              <w:spacing w:before="114"/>
              <w:ind w:left="114"/>
              <w:rPr>
                <w:sz w:val="20"/>
              </w:rPr>
            </w:pPr>
            <w:r>
              <w:rPr>
                <w:sz w:val="20"/>
              </w:rPr>
              <w:t>3.PEP.UN.DLPRE</w:t>
            </w:r>
          </w:p>
        </w:tc>
        <w:tc>
          <w:tcPr>
            <w:tcW w:w="4469" w:type="dxa"/>
            <w:tcBorders>
              <w:bottom w:val="single" w:sz="4" w:space="0" w:color="0057B5"/>
            </w:tcBorders>
          </w:tcPr>
          <w:p>
            <w:pPr>
              <w:pStyle w:val="TableParagraph"/>
              <w:spacing w:before="114"/>
              <w:ind w:left="115" w:right="124"/>
              <w:rPr>
                <w:sz w:val="20"/>
              </w:rPr>
            </w:pPr>
            <w:r>
              <w:rPr>
                <w:sz w:val="20"/>
              </w:rPr>
              <w:t>Mechanisms should be implemented to control the</w:t>
            </w:r>
            <w:r>
              <w:rPr>
                <w:spacing w:val="1"/>
                <w:sz w:val="20"/>
              </w:rPr>
              <w:t> </w:t>
            </w:r>
            <w:r>
              <w:rPr>
                <w:sz w:val="20"/>
              </w:rPr>
              <w:t>sharing of information between UCC participants,</w:t>
            </w:r>
            <w:r>
              <w:rPr>
                <w:spacing w:val="1"/>
                <w:sz w:val="20"/>
              </w:rPr>
              <w:t> </w:t>
            </w:r>
            <w:r>
              <w:rPr>
                <w:sz w:val="20"/>
              </w:rPr>
              <w:t>intentional or incidental. This may be integrated into</w:t>
            </w:r>
            <w:r>
              <w:rPr>
                <w:spacing w:val="-47"/>
                <w:sz w:val="20"/>
              </w:rPr>
              <w:t> </w:t>
            </w:r>
            <w:r>
              <w:rPr>
                <w:sz w:val="20"/>
              </w:rPr>
              <w:t>additional agency DLP technologies and can include</w:t>
            </w:r>
            <w:r>
              <w:rPr>
                <w:spacing w:val="-47"/>
                <w:sz w:val="20"/>
              </w:rPr>
              <w:t> </w:t>
            </w:r>
            <w:r>
              <w:rPr>
                <w:sz w:val="20"/>
              </w:rPr>
              <w:t>keyword matching, attachment file type or existence</w:t>
            </w:r>
            <w:r>
              <w:rPr>
                <w:spacing w:val="-47"/>
                <w:sz w:val="20"/>
              </w:rPr>
              <w:t> </w:t>
            </w:r>
            <w:r>
              <w:rPr>
                <w:sz w:val="20"/>
              </w:rPr>
              <w:t>prohibitions, attachment size limitations, or even</w:t>
            </w:r>
            <w:r>
              <w:rPr>
                <w:spacing w:val="1"/>
                <w:sz w:val="20"/>
              </w:rPr>
              <w:t> </w:t>
            </w:r>
            <w:r>
              <w:rPr>
                <w:sz w:val="20"/>
              </w:rPr>
              <w:t>audio/visual</w:t>
            </w:r>
            <w:r>
              <w:rPr>
                <w:spacing w:val="-2"/>
                <w:sz w:val="20"/>
              </w:rPr>
              <w:t> </w:t>
            </w:r>
            <w:r>
              <w:rPr>
                <w:sz w:val="20"/>
              </w:rPr>
              <w:t>filters.</w:t>
            </w:r>
          </w:p>
        </w:tc>
        <w:tc>
          <w:tcPr>
            <w:tcW w:w="1465" w:type="dxa"/>
            <w:tcBorders>
              <w:bottom w:val="single" w:sz="4" w:space="0" w:color="0057B5"/>
            </w:tcBorders>
          </w:tcPr>
          <w:p>
            <w:pPr>
              <w:pStyle w:val="TableParagraph"/>
              <w:spacing w:before="114"/>
              <w:ind w:left="124"/>
              <w:rPr>
                <w:sz w:val="20"/>
              </w:rPr>
            </w:pPr>
            <w:r>
              <w:rPr>
                <w:sz w:val="20"/>
              </w:rPr>
              <w:t>PR.DS</w:t>
            </w:r>
          </w:p>
        </w:tc>
      </w:tr>
    </w:tbl>
    <w:p>
      <w:pPr>
        <w:pStyle w:val="BodyText"/>
        <w:rPr>
          <w:b/>
          <w:sz w:val="20"/>
        </w:rPr>
      </w:pPr>
    </w:p>
    <w:p>
      <w:pPr>
        <w:pStyle w:val="BodyText"/>
        <w:spacing w:before="5"/>
        <w:rPr>
          <w:b/>
          <w:sz w:val="19"/>
        </w:rPr>
      </w:pPr>
    </w:p>
    <w:p>
      <w:pPr>
        <w:spacing w:before="0"/>
        <w:ind w:left="120" w:right="0" w:firstLine="0"/>
        <w:jc w:val="left"/>
        <w:rPr>
          <w:i/>
          <w:sz w:val="18"/>
        </w:rPr>
      </w:pPr>
      <w:bookmarkStart w:name="_bookmark28" w:id="43"/>
      <w:bookmarkEnd w:id="43"/>
      <w:r>
        <w:rPr/>
      </w:r>
      <w:r>
        <w:rPr>
          <w:i/>
          <w:sz w:val="18"/>
        </w:rPr>
        <w:t>Table</w:t>
      </w:r>
      <w:r>
        <w:rPr>
          <w:i/>
          <w:spacing w:val="-1"/>
          <w:sz w:val="18"/>
        </w:rPr>
        <w:t> </w:t>
      </w:r>
      <w:r>
        <w:rPr>
          <w:i/>
          <w:sz w:val="18"/>
        </w:rPr>
        <w:t>13:</w:t>
      </w:r>
      <w:r>
        <w:rPr>
          <w:i/>
          <w:spacing w:val="-1"/>
          <w:sz w:val="18"/>
        </w:rPr>
        <w:t> </w:t>
      </w:r>
      <w:r>
        <w:rPr>
          <w:i/>
          <w:sz w:val="18"/>
        </w:rPr>
        <w:t>Data</w:t>
      </w:r>
      <w:r>
        <w:rPr>
          <w:i/>
          <w:spacing w:val="-4"/>
          <w:sz w:val="18"/>
        </w:rPr>
        <w:t> </w:t>
      </w:r>
      <w:r>
        <w:rPr>
          <w:i/>
          <w:sz w:val="18"/>
        </w:rPr>
        <w:t>Protection</w:t>
      </w:r>
      <w:r>
        <w:rPr>
          <w:i/>
          <w:spacing w:val="-2"/>
          <w:sz w:val="18"/>
        </w:rPr>
        <w:t> </w:t>
      </w:r>
      <w:r>
        <w:rPr>
          <w:i/>
          <w:sz w:val="18"/>
        </w:rPr>
        <w:t>PEP</w:t>
      </w:r>
      <w:r>
        <w:rPr>
          <w:i/>
          <w:spacing w:val="-3"/>
          <w:sz w:val="18"/>
        </w:rPr>
        <w:t> </w:t>
      </w:r>
      <w:r>
        <w:rPr>
          <w:i/>
          <w:sz w:val="18"/>
        </w:rPr>
        <w:t>Security Capabilities</w:t>
      </w:r>
    </w:p>
    <w:p>
      <w:pPr>
        <w:pStyle w:val="BodyText"/>
        <w:spacing w:before="5"/>
        <w:rPr>
          <w:i/>
          <w:sz w:val="17"/>
        </w:rPr>
      </w:pPr>
    </w:p>
    <w:p>
      <w:pPr>
        <w:spacing w:before="1"/>
        <w:ind w:left="120" w:right="0" w:firstLine="0"/>
        <w:jc w:val="left"/>
        <w:rPr>
          <w:b/>
          <w:sz w:val="22"/>
        </w:rPr>
      </w:pPr>
      <w:r>
        <w:rPr>
          <w:b/>
          <w:sz w:val="22"/>
        </w:rPr>
        <w:t>Data</w:t>
      </w:r>
      <w:r>
        <w:rPr>
          <w:b/>
          <w:spacing w:val="-4"/>
          <w:sz w:val="22"/>
        </w:rPr>
        <w:t> </w:t>
      </w:r>
      <w:r>
        <w:rPr>
          <w:b/>
          <w:sz w:val="22"/>
        </w:rPr>
        <w:t>Protection</w:t>
      </w:r>
      <w:r>
        <w:rPr>
          <w:b/>
          <w:spacing w:val="-4"/>
          <w:sz w:val="22"/>
        </w:rPr>
        <w:t> </w:t>
      </w:r>
      <w:r>
        <w:rPr>
          <w:b/>
          <w:sz w:val="22"/>
        </w:rPr>
        <w:t>PEP</w:t>
      </w:r>
      <w:r>
        <w:rPr>
          <w:b/>
          <w:spacing w:val="-3"/>
          <w:sz w:val="22"/>
        </w:rPr>
        <w:t> </w:t>
      </w:r>
      <w:r>
        <w:rPr>
          <w:b/>
          <w:sz w:val="22"/>
        </w:rPr>
        <w:t>Security</w:t>
      </w:r>
      <w:r>
        <w:rPr>
          <w:b/>
          <w:spacing w:val="-4"/>
          <w:sz w:val="22"/>
        </w:rPr>
        <w:t> </w:t>
      </w:r>
      <w:r>
        <w:rPr>
          <w:b/>
          <w:sz w:val="22"/>
        </w:rPr>
        <w:t>Capabilities</w:t>
      </w:r>
    </w:p>
    <w:p>
      <w:pPr>
        <w:pStyle w:val="BodyText"/>
        <w:spacing w:before="4"/>
        <w:rPr>
          <w:b/>
          <w:sz w:val="10"/>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63"/>
        <w:gridCol w:w="1820"/>
        <w:gridCol w:w="4509"/>
        <w:gridCol w:w="1534"/>
      </w:tblGrid>
      <w:tr>
        <w:trPr>
          <w:trHeight w:val="856" w:hRule="atLeast"/>
        </w:trPr>
        <w:tc>
          <w:tcPr>
            <w:tcW w:w="1563" w:type="dxa"/>
            <w:tcBorders>
              <w:top w:val="single" w:sz="4" w:space="0" w:color="0057B5"/>
              <w:bottom w:val="single" w:sz="4" w:space="0" w:color="0057B5"/>
            </w:tcBorders>
          </w:tcPr>
          <w:p>
            <w:pPr>
              <w:pStyle w:val="TableParagraph"/>
              <w:spacing w:before="0"/>
              <w:ind w:left="0"/>
              <w:rPr>
                <w:b/>
                <w:sz w:val="21"/>
              </w:rPr>
            </w:pPr>
          </w:p>
          <w:p>
            <w:pPr>
              <w:pStyle w:val="TableParagraph"/>
              <w:spacing w:before="0"/>
              <w:rPr>
                <w:b/>
                <w:sz w:val="22"/>
              </w:rPr>
            </w:pPr>
            <w:r>
              <w:rPr>
                <w:b/>
                <w:sz w:val="22"/>
              </w:rPr>
              <w:t>Capability</w:t>
            </w:r>
          </w:p>
        </w:tc>
        <w:tc>
          <w:tcPr>
            <w:tcW w:w="1820" w:type="dxa"/>
            <w:tcBorders>
              <w:top w:val="single" w:sz="4" w:space="0" w:color="0057B5"/>
              <w:bottom w:val="single" w:sz="4" w:space="0" w:color="0057B5"/>
            </w:tcBorders>
          </w:tcPr>
          <w:p>
            <w:pPr>
              <w:pStyle w:val="TableParagraph"/>
              <w:ind w:left="121" w:right="688"/>
              <w:rPr>
                <w:b/>
                <w:sz w:val="22"/>
              </w:rPr>
            </w:pPr>
            <w:r>
              <w:rPr>
                <w:b/>
                <w:sz w:val="22"/>
              </w:rPr>
              <w:t>Capability</w:t>
            </w:r>
            <w:r>
              <w:rPr>
                <w:b/>
                <w:spacing w:val="-52"/>
                <w:sz w:val="22"/>
              </w:rPr>
              <w:t> </w:t>
            </w:r>
            <w:r>
              <w:rPr>
                <w:b/>
                <w:sz w:val="22"/>
              </w:rPr>
              <w:t>Identifier</w:t>
            </w:r>
          </w:p>
        </w:tc>
        <w:tc>
          <w:tcPr>
            <w:tcW w:w="4509" w:type="dxa"/>
            <w:tcBorders>
              <w:top w:val="single" w:sz="4" w:space="0" w:color="0057B5"/>
              <w:bottom w:val="single" w:sz="4" w:space="0" w:color="0057B5"/>
            </w:tcBorders>
          </w:tcPr>
          <w:p>
            <w:pPr>
              <w:pStyle w:val="TableParagraph"/>
              <w:spacing w:before="0"/>
              <w:ind w:left="0"/>
              <w:rPr>
                <w:b/>
                <w:sz w:val="21"/>
              </w:rPr>
            </w:pPr>
          </w:p>
          <w:p>
            <w:pPr>
              <w:pStyle w:val="TableParagraph"/>
              <w:spacing w:before="0"/>
              <w:ind w:left="122"/>
              <w:rPr>
                <w:b/>
                <w:sz w:val="22"/>
              </w:rPr>
            </w:pPr>
            <w:r>
              <w:rPr>
                <w:b/>
                <w:sz w:val="22"/>
              </w:rPr>
              <w:t>Description</w:t>
            </w:r>
          </w:p>
        </w:tc>
        <w:tc>
          <w:tcPr>
            <w:tcW w:w="1534" w:type="dxa"/>
            <w:tcBorders>
              <w:top w:val="single" w:sz="4" w:space="0" w:color="0057B5"/>
              <w:bottom w:val="single" w:sz="4" w:space="0" w:color="0057B5"/>
            </w:tcBorders>
          </w:tcPr>
          <w:p>
            <w:pPr>
              <w:pStyle w:val="TableParagraph"/>
              <w:ind w:left="134"/>
              <w:rPr>
                <w:b/>
                <w:sz w:val="22"/>
              </w:rPr>
            </w:pPr>
            <w:r>
              <w:rPr>
                <w:b/>
                <w:sz w:val="22"/>
              </w:rPr>
              <w:t>NIST</w:t>
            </w:r>
            <w:r>
              <w:rPr>
                <w:b/>
                <w:spacing w:val="-3"/>
                <w:sz w:val="22"/>
              </w:rPr>
              <w:t> </w:t>
            </w:r>
            <w:r>
              <w:rPr>
                <w:b/>
                <w:sz w:val="22"/>
              </w:rPr>
              <w:t>CSF</w:t>
            </w:r>
          </w:p>
          <w:p>
            <w:pPr>
              <w:pStyle w:val="TableParagraph"/>
              <w:spacing w:before="0"/>
              <w:ind w:left="134"/>
              <w:rPr>
                <w:b/>
                <w:sz w:val="22"/>
              </w:rPr>
            </w:pPr>
            <w:r>
              <w:rPr>
                <w:b/>
                <w:sz w:val="22"/>
              </w:rPr>
              <w:t>Mapping</w:t>
            </w:r>
          </w:p>
        </w:tc>
      </w:tr>
      <w:tr>
        <w:trPr>
          <w:trHeight w:val="1030" w:hRule="atLeast"/>
        </w:trPr>
        <w:tc>
          <w:tcPr>
            <w:tcW w:w="1563" w:type="dxa"/>
            <w:tcBorders>
              <w:top w:val="single" w:sz="4" w:space="0" w:color="0057B5"/>
            </w:tcBorders>
            <w:shd w:val="clear" w:color="auto" w:fill="E7EAF3"/>
          </w:tcPr>
          <w:p>
            <w:pPr>
              <w:pStyle w:val="TableParagraph"/>
              <w:spacing w:before="106"/>
              <w:rPr>
                <w:b/>
                <w:sz w:val="20"/>
              </w:rPr>
            </w:pPr>
            <w:r>
              <w:rPr>
                <w:b/>
                <w:sz w:val="20"/>
              </w:rPr>
              <w:t>Access</w:t>
            </w:r>
            <w:r>
              <w:rPr>
                <w:b/>
                <w:spacing w:val="-3"/>
                <w:sz w:val="20"/>
              </w:rPr>
              <w:t> </w:t>
            </w:r>
            <w:r>
              <w:rPr>
                <w:b/>
                <w:sz w:val="20"/>
              </w:rPr>
              <w:t>Control</w:t>
            </w:r>
          </w:p>
        </w:tc>
        <w:tc>
          <w:tcPr>
            <w:tcW w:w="1820" w:type="dxa"/>
            <w:tcBorders>
              <w:top w:val="single" w:sz="4" w:space="0" w:color="0057B5"/>
            </w:tcBorders>
            <w:shd w:val="clear" w:color="auto" w:fill="E7EAF3"/>
          </w:tcPr>
          <w:p>
            <w:pPr>
              <w:pStyle w:val="TableParagraph"/>
              <w:spacing w:before="106"/>
              <w:ind w:left="102" w:right="103"/>
              <w:jc w:val="center"/>
              <w:rPr>
                <w:sz w:val="20"/>
              </w:rPr>
            </w:pPr>
            <w:r>
              <w:rPr>
                <w:sz w:val="20"/>
              </w:rPr>
              <w:t>3.PEP.DA.ACONT</w:t>
            </w:r>
          </w:p>
        </w:tc>
        <w:tc>
          <w:tcPr>
            <w:tcW w:w="4509" w:type="dxa"/>
            <w:tcBorders>
              <w:top w:val="single" w:sz="4" w:space="0" w:color="0057B5"/>
            </w:tcBorders>
            <w:shd w:val="clear" w:color="auto" w:fill="E7EAF3"/>
          </w:tcPr>
          <w:p>
            <w:pPr>
              <w:pStyle w:val="TableParagraph"/>
              <w:spacing w:before="106"/>
              <w:ind w:left="122" w:right="146"/>
              <w:rPr>
                <w:sz w:val="20"/>
              </w:rPr>
            </w:pPr>
            <w:r>
              <w:rPr>
                <w:sz w:val="20"/>
              </w:rPr>
              <w:t>Access control technologies allow an agency to</w:t>
            </w:r>
            <w:r>
              <w:rPr>
                <w:spacing w:val="1"/>
                <w:sz w:val="20"/>
              </w:rPr>
              <w:t> </w:t>
            </w:r>
            <w:r>
              <w:rPr>
                <w:sz w:val="20"/>
              </w:rPr>
              <w:t>define policies concerning the allowable activities of</w:t>
            </w:r>
            <w:r>
              <w:rPr>
                <w:spacing w:val="-47"/>
                <w:sz w:val="20"/>
              </w:rPr>
              <w:t> </w:t>
            </w:r>
            <w:r>
              <w:rPr>
                <w:sz w:val="20"/>
              </w:rPr>
              <w:t>users</w:t>
            </w:r>
            <w:r>
              <w:rPr>
                <w:spacing w:val="-2"/>
                <w:sz w:val="20"/>
              </w:rPr>
              <w:t> </w:t>
            </w:r>
            <w:r>
              <w:rPr>
                <w:sz w:val="20"/>
              </w:rPr>
              <w:t>and</w:t>
            </w:r>
            <w:r>
              <w:rPr>
                <w:spacing w:val="-2"/>
                <w:sz w:val="20"/>
              </w:rPr>
              <w:t> </w:t>
            </w:r>
            <w:r>
              <w:rPr>
                <w:sz w:val="20"/>
              </w:rPr>
              <w:t>entities to</w:t>
            </w:r>
            <w:r>
              <w:rPr>
                <w:spacing w:val="-2"/>
                <w:sz w:val="20"/>
              </w:rPr>
              <w:t> </w:t>
            </w:r>
            <w:r>
              <w:rPr>
                <w:sz w:val="20"/>
              </w:rPr>
              <w:t>data and</w:t>
            </w:r>
            <w:r>
              <w:rPr>
                <w:spacing w:val="-2"/>
                <w:sz w:val="20"/>
              </w:rPr>
              <w:t> </w:t>
            </w:r>
            <w:r>
              <w:rPr>
                <w:sz w:val="20"/>
              </w:rPr>
              <w:t>resources.</w:t>
            </w:r>
          </w:p>
        </w:tc>
        <w:tc>
          <w:tcPr>
            <w:tcW w:w="1534" w:type="dxa"/>
            <w:tcBorders>
              <w:top w:val="single" w:sz="4" w:space="0" w:color="0057B5"/>
            </w:tcBorders>
            <w:shd w:val="clear" w:color="auto" w:fill="E7EAF3"/>
          </w:tcPr>
          <w:p>
            <w:pPr>
              <w:pStyle w:val="TableParagraph"/>
              <w:spacing w:before="106"/>
              <w:ind w:left="134" w:right="185"/>
              <w:rPr>
                <w:sz w:val="20"/>
              </w:rPr>
            </w:pPr>
            <w:r>
              <w:rPr>
                <w:sz w:val="20"/>
              </w:rPr>
              <w:t>PR.AC, PR.IP,</w:t>
            </w:r>
            <w:r>
              <w:rPr>
                <w:spacing w:val="-47"/>
                <w:sz w:val="20"/>
              </w:rPr>
              <w:t> </w:t>
            </w:r>
            <w:r>
              <w:rPr>
                <w:sz w:val="20"/>
              </w:rPr>
              <w:t>DE.CM</w:t>
            </w:r>
          </w:p>
        </w:tc>
      </w:tr>
      <w:tr>
        <w:trPr>
          <w:trHeight w:val="808" w:hRule="atLeast"/>
        </w:trPr>
        <w:tc>
          <w:tcPr>
            <w:tcW w:w="1563" w:type="dxa"/>
          </w:tcPr>
          <w:p>
            <w:pPr>
              <w:pStyle w:val="TableParagraph"/>
              <w:spacing w:before="114"/>
              <w:ind w:right="142"/>
              <w:rPr>
                <w:b/>
                <w:sz w:val="20"/>
              </w:rPr>
            </w:pPr>
            <w:r>
              <w:rPr>
                <w:b/>
                <w:sz w:val="20"/>
              </w:rPr>
              <w:t>Protections for</w:t>
            </w:r>
            <w:r>
              <w:rPr>
                <w:b/>
                <w:spacing w:val="-47"/>
                <w:sz w:val="20"/>
              </w:rPr>
              <w:t> </w:t>
            </w:r>
            <w:r>
              <w:rPr>
                <w:b/>
                <w:sz w:val="20"/>
              </w:rPr>
              <w:t>Data</w:t>
            </w:r>
            <w:r>
              <w:rPr>
                <w:b/>
                <w:spacing w:val="-2"/>
                <w:sz w:val="20"/>
              </w:rPr>
              <w:t> </w:t>
            </w:r>
            <w:r>
              <w:rPr>
                <w:b/>
                <w:sz w:val="20"/>
              </w:rPr>
              <w:t>at</w:t>
            </w:r>
            <w:r>
              <w:rPr>
                <w:b/>
                <w:spacing w:val="-1"/>
                <w:sz w:val="20"/>
              </w:rPr>
              <w:t> </w:t>
            </w:r>
            <w:r>
              <w:rPr>
                <w:b/>
                <w:sz w:val="20"/>
              </w:rPr>
              <w:t>Rest</w:t>
            </w:r>
          </w:p>
        </w:tc>
        <w:tc>
          <w:tcPr>
            <w:tcW w:w="1820" w:type="dxa"/>
          </w:tcPr>
          <w:p>
            <w:pPr>
              <w:pStyle w:val="TableParagraph"/>
              <w:ind w:left="36" w:right="104"/>
              <w:jc w:val="center"/>
              <w:rPr>
                <w:sz w:val="20"/>
              </w:rPr>
            </w:pPr>
            <w:r>
              <w:rPr>
                <w:sz w:val="20"/>
              </w:rPr>
              <w:t>3.PEP.DA.PDRES</w:t>
            </w:r>
          </w:p>
        </w:tc>
        <w:tc>
          <w:tcPr>
            <w:tcW w:w="4509" w:type="dxa"/>
          </w:tcPr>
          <w:p>
            <w:pPr>
              <w:pStyle w:val="TableParagraph"/>
              <w:spacing w:before="114"/>
              <w:ind w:left="122" w:right="229"/>
              <w:rPr>
                <w:sz w:val="20"/>
              </w:rPr>
            </w:pPr>
            <w:r>
              <w:rPr>
                <w:sz w:val="20"/>
              </w:rPr>
              <w:t>Data protection at rest aims to secure data stored on</w:t>
            </w:r>
            <w:r>
              <w:rPr>
                <w:spacing w:val="-47"/>
                <w:sz w:val="20"/>
              </w:rPr>
              <w:t> </w:t>
            </w:r>
            <w:r>
              <w:rPr>
                <w:sz w:val="20"/>
              </w:rPr>
              <w:t>any</w:t>
            </w:r>
            <w:r>
              <w:rPr>
                <w:spacing w:val="-2"/>
                <w:sz w:val="20"/>
              </w:rPr>
              <w:t> </w:t>
            </w:r>
            <w:r>
              <w:rPr>
                <w:sz w:val="20"/>
              </w:rPr>
              <w:t>device</w:t>
            </w:r>
            <w:r>
              <w:rPr>
                <w:spacing w:val="-1"/>
                <w:sz w:val="20"/>
              </w:rPr>
              <w:t> </w:t>
            </w:r>
            <w:r>
              <w:rPr>
                <w:sz w:val="20"/>
              </w:rPr>
              <w:t>or</w:t>
            </w:r>
            <w:r>
              <w:rPr>
                <w:spacing w:val="-1"/>
                <w:sz w:val="20"/>
              </w:rPr>
              <w:t> </w:t>
            </w:r>
            <w:r>
              <w:rPr>
                <w:sz w:val="20"/>
              </w:rPr>
              <w:t>storage</w:t>
            </w:r>
            <w:r>
              <w:rPr>
                <w:spacing w:val="-1"/>
                <w:sz w:val="20"/>
              </w:rPr>
              <w:t> </w:t>
            </w:r>
            <w:r>
              <w:rPr>
                <w:sz w:val="20"/>
              </w:rPr>
              <w:t>medium.</w:t>
            </w:r>
          </w:p>
        </w:tc>
        <w:tc>
          <w:tcPr>
            <w:tcW w:w="1534" w:type="dxa"/>
          </w:tcPr>
          <w:p>
            <w:pPr>
              <w:pStyle w:val="TableParagraph"/>
              <w:ind w:left="134"/>
              <w:rPr>
                <w:sz w:val="20"/>
              </w:rPr>
            </w:pPr>
            <w:r>
              <w:rPr>
                <w:sz w:val="20"/>
              </w:rPr>
              <w:t>PR.DS</w:t>
            </w:r>
          </w:p>
        </w:tc>
      </w:tr>
      <w:tr>
        <w:trPr>
          <w:trHeight w:val="1270" w:hRule="atLeast"/>
        </w:trPr>
        <w:tc>
          <w:tcPr>
            <w:tcW w:w="1563" w:type="dxa"/>
            <w:shd w:val="clear" w:color="auto" w:fill="E7EAF3"/>
          </w:tcPr>
          <w:p>
            <w:pPr>
              <w:pStyle w:val="TableParagraph"/>
              <w:ind w:right="117"/>
              <w:rPr>
                <w:b/>
                <w:sz w:val="20"/>
              </w:rPr>
            </w:pPr>
            <w:r>
              <w:rPr>
                <w:b/>
                <w:sz w:val="20"/>
              </w:rPr>
              <w:t>Protections for</w:t>
            </w:r>
            <w:r>
              <w:rPr>
                <w:b/>
                <w:spacing w:val="-47"/>
                <w:sz w:val="20"/>
              </w:rPr>
              <w:t> </w:t>
            </w:r>
            <w:r>
              <w:rPr>
                <w:b/>
                <w:sz w:val="20"/>
              </w:rPr>
              <w:t>Data</w:t>
            </w:r>
            <w:r>
              <w:rPr>
                <w:b/>
                <w:spacing w:val="-8"/>
                <w:sz w:val="20"/>
              </w:rPr>
              <w:t> </w:t>
            </w:r>
            <w:r>
              <w:rPr>
                <w:b/>
                <w:sz w:val="20"/>
              </w:rPr>
              <w:t>in</w:t>
            </w:r>
            <w:r>
              <w:rPr>
                <w:b/>
                <w:spacing w:val="-7"/>
                <w:sz w:val="20"/>
              </w:rPr>
              <w:t> </w:t>
            </w:r>
            <w:r>
              <w:rPr>
                <w:b/>
                <w:sz w:val="20"/>
              </w:rPr>
              <w:t>Transit</w:t>
            </w:r>
          </w:p>
        </w:tc>
        <w:tc>
          <w:tcPr>
            <w:tcW w:w="1820" w:type="dxa"/>
            <w:shd w:val="clear" w:color="auto" w:fill="E7EAF3"/>
          </w:tcPr>
          <w:p>
            <w:pPr>
              <w:pStyle w:val="TableParagraph"/>
              <w:ind w:left="69" w:right="104"/>
              <w:jc w:val="center"/>
              <w:rPr>
                <w:sz w:val="20"/>
              </w:rPr>
            </w:pPr>
            <w:r>
              <w:rPr>
                <w:sz w:val="20"/>
              </w:rPr>
              <w:t>3.PEP.DA.PDTRA</w:t>
            </w:r>
          </w:p>
        </w:tc>
        <w:tc>
          <w:tcPr>
            <w:tcW w:w="4509" w:type="dxa"/>
            <w:shd w:val="clear" w:color="auto" w:fill="E7EAF3"/>
          </w:tcPr>
          <w:p>
            <w:pPr>
              <w:pStyle w:val="TableParagraph"/>
              <w:ind w:left="122" w:right="123"/>
              <w:rPr>
                <w:sz w:val="20"/>
              </w:rPr>
            </w:pPr>
            <w:r>
              <w:rPr>
                <w:sz w:val="20"/>
              </w:rPr>
              <w:t>Data protection in transit, or data in motion, aims to</w:t>
            </w:r>
            <w:r>
              <w:rPr>
                <w:spacing w:val="1"/>
                <w:sz w:val="20"/>
              </w:rPr>
              <w:t> </w:t>
            </w:r>
            <w:r>
              <w:rPr>
                <w:sz w:val="20"/>
              </w:rPr>
              <w:t>secure data that is actively moving from one location</w:t>
            </w:r>
            <w:r>
              <w:rPr>
                <w:spacing w:val="-47"/>
                <w:sz w:val="20"/>
              </w:rPr>
              <w:t> </w:t>
            </w:r>
            <w:r>
              <w:rPr>
                <w:sz w:val="20"/>
              </w:rPr>
              <w:t>to another, such as across the internet or through a</w:t>
            </w:r>
            <w:r>
              <w:rPr>
                <w:spacing w:val="1"/>
                <w:sz w:val="20"/>
              </w:rPr>
              <w:t> </w:t>
            </w:r>
            <w:r>
              <w:rPr>
                <w:sz w:val="20"/>
              </w:rPr>
              <w:t>private</w:t>
            </w:r>
            <w:r>
              <w:rPr>
                <w:spacing w:val="-1"/>
                <w:sz w:val="20"/>
              </w:rPr>
              <w:t> </w:t>
            </w:r>
            <w:r>
              <w:rPr>
                <w:sz w:val="20"/>
              </w:rPr>
              <w:t>enterprise network.</w:t>
            </w:r>
          </w:p>
        </w:tc>
        <w:tc>
          <w:tcPr>
            <w:tcW w:w="1534" w:type="dxa"/>
            <w:shd w:val="clear" w:color="auto" w:fill="E7EAF3"/>
          </w:tcPr>
          <w:p>
            <w:pPr>
              <w:pStyle w:val="TableParagraph"/>
              <w:ind w:left="134"/>
              <w:rPr>
                <w:sz w:val="20"/>
              </w:rPr>
            </w:pPr>
            <w:r>
              <w:rPr>
                <w:sz w:val="20"/>
              </w:rPr>
              <w:t>PR.DS</w:t>
            </w:r>
          </w:p>
        </w:tc>
      </w:tr>
      <w:tr>
        <w:trPr>
          <w:trHeight w:val="809" w:hRule="atLeast"/>
        </w:trPr>
        <w:tc>
          <w:tcPr>
            <w:tcW w:w="1563" w:type="dxa"/>
            <w:tcBorders>
              <w:bottom w:val="single" w:sz="4" w:space="0" w:color="0057B5"/>
            </w:tcBorders>
          </w:tcPr>
          <w:p>
            <w:pPr>
              <w:pStyle w:val="TableParagraph"/>
              <w:spacing w:before="114"/>
              <w:ind w:right="480"/>
              <w:rPr>
                <w:b/>
                <w:sz w:val="20"/>
              </w:rPr>
            </w:pPr>
            <w:r>
              <w:rPr>
                <w:b/>
                <w:sz w:val="20"/>
              </w:rPr>
              <w:t>Data Loss</w:t>
            </w:r>
            <w:r>
              <w:rPr>
                <w:b/>
                <w:spacing w:val="1"/>
                <w:sz w:val="20"/>
              </w:rPr>
              <w:t> </w:t>
            </w:r>
            <w:r>
              <w:rPr>
                <w:b/>
                <w:sz w:val="20"/>
              </w:rPr>
              <w:t>Prevention</w:t>
            </w:r>
          </w:p>
        </w:tc>
        <w:tc>
          <w:tcPr>
            <w:tcW w:w="1820" w:type="dxa"/>
            <w:tcBorders>
              <w:bottom w:val="single" w:sz="4" w:space="0" w:color="0057B5"/>
            </w:tcBorders>
          </w:tcPr>
          <w:p>
            <w:pPr>
              <w:pStyle w:val="TableParagraph"/>
              <w:ind w:left="47" w:right="104"/>
              <w:jc w:val="center"/>
              <w:rPr>
                <w:sz w:val="20"/>
              </w:rPr>
            </w:pPr>
            <w:r>
              <w:rPr>
                <w:sz w:val="20"/>
              </w:rPr>
              <w:t>3.PEP.DA.DLPRE</w:t>
            </w:r>
          </w:p>
        </w:tc>
        <w:tc>
          <w:tcPr>
            <w:tcW w:w="4509" w:type="dxa"/>
            <w:tcBorders>
              <w:bottom w:val="single" w:sz="4" w:space="0" w:color="0057B5"/>
            </w:tcBorders>
          </w:tcPr>
          <w:p>
            <w:pPr>
              <w:pStyle w:val="TableParagraph"/>
              <w:spacing w:before="114"/>
              <w:ind w:left="122" w:right="118"/>
              <w:rPr>
                <w:sz w:val="20"/>
              </w:rPr>
            </w:pPr>
            <w:r>
              <w:rPr>
                <w:sz w:val="20"/>
              </w:rPr>
              <w:t>DLP technologies detect instances of the exfiltration,</w:t>
            </w:r>
            <w:r>
              <w:rPr>
                <w:spacing w:val="-47"/>
                <w:sz w:val="20"/>
              </w:rPr>
              <w:t> </w:t>
            </w:r>
            <w:r>
              <w:rPr>
                <w:sz w:val="20"/>
              </w:rPr>
              <w:t>either</w:t>
            </w:r>
            <w:r>
              <w:rPr>
                <w:spacing w:val="-2"/>
                <w:sz w:val="20"/>
              </w:rPr>
              <w:t> </w:t>
            </w:r>
            <w:r>
              <w:rPr>
                <w:sz w:val="20"/>
              </w:rPr>
              <w:t>malicious</w:t>
            </w:r>
            <w:r>
              <w:rPr>
                <w:spacing w:val="-1"/>
                <w:sz w:val="20"/>
              </w:rPr>
              <w:t> </w:t>
            </w:r>
            <w:r>
              <w:rPr>
                <w:sz w:val="20"/>
              </w:rPr>
              <w:t>or</w:t>
            </w:r>
            <w:r>
              <w:rPr>
                <w:spacing w:val="-2"/>
                <w:sz w:val="20"/>
              </w:rPr>
              <w:t> </w:t>
            </w:r>
            <w:r>
              <w:rPr>
                <w:sz w:val="20"/>
              </w:rPr>
              <w:t>accidental,</w:t>
            </w:r>
            <w:r>
              <w:rPr>
                <w:spacing w:val="-2"/>
                <w:sz w:val="20"/>
              </w:rPr>
              <w:t> </w:t>
            </w:r>
            <w:r>
              <w:rPr>
                <w:sz w:val="20"/>
              </w:rPr>
              <w:t>of</w:t>
            </w:r>
            <w:r>
              <w:rPr>
                <w:spacing w:val="-1"/>
                <w:sz w:val="20"/>
              </w:rPr>
              <w:t> </w:t>
            </w:r>
            <w:r>
              <w:rPr>
                <w:sz w:val="20"/>
              </w:rPr>
              <w:t>agency</w:t>
            </w:r>
            <w:r>
              <w:rPr>
                <w:spacing w:val="-3"/>
                <w:sz w:val="20"/>
              </w:rPr>
              <w:t> </w:t>
            </w:r>
            <w:r>
              <w:rPr>
                <w:sz w:val="20"/>
              </w:rPr>
              <w:t>data.</w:t>
            </w:r>
          </w:p>
        </w:tc>
        <w:tc>
          <w:tcPr>
            <w:tcW w:w="1534" w:type="dxa"/>
            <w:tcBorders>
              <w:bottom w:val="single" w:sz="4" w:space="0" w:color="0057B5"/>
            </w:tcBorders>
          </w:tcPr>
          <w:p>
            <w:pPr>
              <w:pStyle w:val="TableParagraph"/>
              <w:ind w:left="134"/>
              <w:rPr>
                <w:sz w:val="20"/>
              </w:rPr>
            </w:pPr>
            <w:r>
              <w:rPr>
                <w:sz w:val="20"/>
              </w:rPr>
              <w:t>PR.DS</w:t>
            </w:r>
          </w:p>
        </w:tc>
      </w:tr>
    </w:tbl>
    <w:p>
      <w:pPr>
        <w:spacing w:after="0"/>
        <w:rPr>
          <w:sz w:val="20"/>
        </w:rPr>
        <w:sectPr>
          <w:pgSz w:w="12240" w:h="15840"/>
          <w:pgMar w:header="730" w:footer="764" w:top="960" w:bottom="960" w:left="1320" w:right="1080"/>
        </w:sectPr>
      </w:pPr>
    </w:p>
    <w:p>
      <w:pPr>
        <w:pStyle w:val="BodyText"/>
        <w:rPr>
          <w:b/>
          <w:sz w:val="20"/>
        </w:rPr>
      </w:pPr>
    </w:p>
    <w:p>
      <w:pPr>
        <w:pStyle w:val="BodyText"/>
        <w:spacing w:before="7"/>
        <w:rPr>
          <w:b/>
          <w:sz w:val="20"/>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07"/>
        <w:gridCol w:w="1955"/>
        <w:gridCol w:w="4497"/>
        <w:gridCol w:w="1492"/>
      </w:tblGrid>
      <w:tr>
        <w:trPr>
          <w:trHeight w:val="856" w:hRule="atLeast"/>
        </w:trPr>
        <w:tc>
          <w:tcPr>
            <w:tcW w:w="1407" w:type="dxa"/>
            <w:tcBorders>
              <w:top w:val="single" w:sz="4" w:space="0" w:color="0057B5"/>
              <w:bottom w:val="single" w:sz="4" w:space="0" w:color="0057B5"/>
            </w:tcBorders>
          </w:tcPr>
          <w:p>
            <w:pPr>
              <w:pStyle w:val="TableParagraph"/>
              <w:spacing w:before="0"/>
              <w:ind w:left="0"/>
              <w:rPr>
                <w:b/>
                <w:sz w:val="21"/>
              </w:rPr>
            </w:pPr>
          </w:p>
          <w:p>
            <w:pPr>
              <w:pStyle w:val="TableParagraph"/>
              <w:spacing w:before="0"/>
              <w:ind w:left="115"/>
              <w:rPr>
                <w:b/>
                <w:sz w:val="22"/>
              </w:rPr>
            </w:pPr>
            <w:r>
              <w:rPr>
                <w:b/>
                <w:sz w:val="22"/>
              </w:rPr>
              <w:t>Capability</w:t>
            </w:r>
          </w:p>
        </w:tc>
        <w:tc>
          <w:tcPr>
            <w:tcW w:w="1955" w:type="dxa"/>
            <w:tcBorders>
              <w:top w:val="single" w:sz="4" w:space="0" w:color="0057B5"/>
              <w:bottom w:val="single" w:sz="4" w:space="0" w:color="0057B5"/>
            </w:tcBorders>
          </w:tcPr>
          <w:p>
            <w:pPr>
              <w:pStyle w:val="TableParagraph"/>
              <w:ind w:left="263" w:right="681"/>
              <w:rPr>
                <w:b/>
                <w:sz w:val="22"/>
              </w:rPr>
            </w:pPr>
            <w:r>
              <w:rPr>
                <w:b/>
                <w:sz w:val="22"/>
              </w:rPr>
              <w:t>Capability</w:t>
            </w:r>
            <w:r>
              <w:rPr>
                <w:b/>
                <w:spacing w:val="-53"/>
                <w:sz w:val="22"/>
              </w:rPr>
              <w:t> </w:t>
            </w:r>
            <w:r>
              <w:rPr>
                <w:b/>
                <w:sz w:val="22"/>
              </w:rPr>
              <w:t>Identifier</w:t>
            </w:r>
          </w:p>
        </w:tc>
        <w:tc>
          <w:tcPr>
            <w:tcW w:w="4497" w:type="dxa"/>
            <w:tcBorders>
              <w:top w:val="single" w:sz="4" w:space="0" w:color="0057B5"/>
              <w:bottom w:val="single" w:sz="4" w:space="0" w:color="0057B5"/>
            </w:tcBorders>
          </w:tcPr>
          <w:p>
            <w:pPr>
              <w:pStyle w:val="TableParagraph"/>
              <w:spacing w:before="0"/>
              <w:ind w:left="0"/>
              <w:rPr>
                <w:b/>
                <w:sz w:val="21"/>
              </w:rPr>
            </w:pPr>
          </w:p>
          <w:p>
            <w:pPr>
              <w:pStyle w:val="TableParagraph"/>
              <w:spacing w:before="0"/>
              <w:ind w:left="128"/>
              <w:rPr>
                <w:b/>
                <w:sz w:val="22"/>
              </w:rPr>
            </w:pPr>
            <w:r>
              <w:rPr>
                <w:b/>
                <w:sz w:val="22"/>
              </w:rPr>
              <w:t>Description</w:t>
            </w:r>
          </w:p>
        </w:tc>
        <w:tc>
          <w:tcPr>
            <w:tcW w:w="1492" w:type="dxa"/>
            <w:tcBorders>
              <w:top w:val="single" w:sz="4" w:space="0" w:color="0057B5"/>
              <w:bottom w:val="single" w:sz="4" w:space="0" w:color="0057B5"/>
            </w:tcBorders>
          </w:tcPr>
          <w:p>
            <w:pPr>
              <w:pStyle w:val="TableParagraph"/>
              <w:ind w:left="153"/>
              <w:rPr>
                <w:b/>
                <w:sz w:val="22"/>
              </w:rPr>
            </w:pPr>
            <w:r>
              <w:rPr>
                <w:b/>
                <w:sz w:val="22"/>
              </w:rPr>
              <w:t>NIST</w:t>
            </w:r>
            <w:r>
              <w:rPr>
                <w:b/>
                <w:spacing w:val="-3"/>
                <w:sz w:val="22"/>
              </w:rPr>
              <w:t> </w:t>
            </w:r>
            <w:r>
              <w:rPr>
                <w:b/>
                <w:sz w:val="22"/>
              </w:rPr>
              <w:t>CSF</w:t>
            </w:r>
          </w:p>
          <w:p>
            <w:pPr>
              <w:pStyle w:val="TableParagraph"/>
              <w:spacing w:before="0"/>
              <w:ind w:left="153"/>
              <w:rPr>
                <w:b/>
                <w:sz w:val="22"/>
              </w:rPr>
            </w:pPr>
            <w:r>
              <w:rPr>
                <w:b/>
                <w:sz w:val="22"/>
              </w:rPr>
              <w:t>Mapping</w:t>
            </w:r>
          </w:p>
        </w:tc>
      </w:tr>
      <w:tr>
        <w:trPr>
          <w:trHeight w:val="1720" w:hRule="atLeast"/>
        </w:trPr>
        <w:tc>
          <w:tcPr>
            <w:tcW w:w="1407" w:type="dxa"/>
            <w:tcBorders>
              <w:top w:val="single" w:sz="4" w:space="0" w:color="0057B5"/>
              <w:bottom w:val="single" w:sz="4" w:space="0" w:color="0057B5"/>
            </w:tcBorders>
            <w:shd w:val="clear" w:color="auto" w:fill="E7EAF3"/>
          </w:tcPr>
          <w:p>
            <w:pPr>
              <w:pStyle w:val="TableParagraph"/>
              <w:spacing w:before="104"/>
              <w:ind w:left="115" w:right="244"/>
              <w:rPr>
                <w:b/>
                <w:sz w:val="20"/>
              </w:rPr>
            </w:pPr>
            <w:r>
              <w:rPr>
                <w:b/>
                <w:sz w:val="20"/>
              </w:rPr>
              <w:t>Data Access</w:t>
            </w:r>
            <w:r>
              <w:rPr>
                <w:b/>
                <w:spacing w:val="-47"/>
                <w:sz w:val="20"/>
              </w:rPr>
              <w:t> </w:t>
            </w:r>
            <w:r>
              <w:rPr>
                <w:b/>
                <w:sz w:val="20"/>
              </w:rPr>
              <w:t>and Use</w:t>
            </w:r>
            <w:r>
              <w:rPr>
                <w:b/>
                <w:spacing w:val="1"/>
                <w:sz w:val="20"/>
              </w:rPr>
              <w:t> </w:t>
            </w:r>
            <w:r>
              <w:rPr>
                <w:b/>
                <w:sz w:val="20"/>
              </w:rPr>
              <w:t>Telemetry</w:t>
            </w:r>
          </w:p>
        </w:tc>
        <w:tc>
          <w:tcPr>
            <w:tcW w:w="1955" w:type="dxa"/>
            <w:tcBorders>
              <w:top w:val="single" w:sz="4" w:space="0" w:color="0057B5"/>
              <w:bottom w:val="single" w:sz="4" w:space="0" w:color="0057B5"/>
            </w:tcBorders>
            <w:shd w:val="clear" w:color="auto" w:fill="E7EAF3"/>
          </w:tcPr>
          <w:p>
            <w:pPr>
              <w:pStyle w:val="TableParagraph"/>
              <w:spacing w:before="104"/>
              <w:ind w:left="263"/>
              <w:rPr>
                <w:sz w:val="20"/>
              </w:rPr>
            </w:pPr>
            <w:r>
              <w:rPr>
                <w:sz w:val="20"/>
              </w:rPr>
              <w:t>3.PEP.DA.DAUTE</w:t>
            </w:r>
          </w:p>
        </w:tc>
        <w:tc>
          <w:tcPr>
            <w:tcW w:w="4497" w:type="dxa"/>
            <w:tcBorders>
              <w:top w:val="single" w:sz="4" w:space="0" w:color="0057B5"/>
              <w:bottom w:val="single" w:sz="4" w:space="0" w:color="0057B5"/>
            </w:tcBorders>
            <w:shd w:val="clear" w:color="auto" w:fill="E7EAF3"/>
          </w:tcPr>
          <w:p>
            <w:pPr>
              <w:pStyle w:val="TableParagraph"/>
              <w:spacing w:before="104"/>
              <w:ind w:left="128" w:right="150"/>
              <w:jc w:val="both"/>
              <w:rPr>
                <w:sz w:val="20"/>
              </w:rPr>
            </w:pPr>
            <w:r>
              <w:rPr>
                <w:sz w:val="20"/>
              </w:rPr>
              <w:t>This entails identifying agency sensitive data stored,</w:t>
            </w:r>
            <w:r>
              <w:rPr>
                <w:spacing w:val="-47"/>
                <w:sz w:val="20"/>
              </w:rPr>
              <w:t> </w:t>
            </w:r>
            <w:r>
              <w:rPr>
                <w:sz w:val="20"/>
              </w:rPr>
              <w:t>processed, or transmitted, including those located at</w:t>
            </w:r>
            <w:r>
              <w:rPr>
                <w:spacing w:val="1"/>
                <w:sz w:val="20"/>
              </w:rPr>
              <w:t> </w:t>
            </w:r>
            <w:r>
              <w:rPr>
                <w:sz w:val="20"/>
              </w:rPr>
              <w:t>a service provider and enforcing detailed logging for</w:t>
            </w:r>
            <w:r>
              <w:rPr>
                <w:spacing w:val="-47"/>
                <w:sz w:val="20"/>
              </w:rPr>
              <w:t> </w:t>
            </w:r>
            <w:r>
              <w:rPr>
                <w:sz w:val="20"/>
              </w:rPr>
              <w:t>access</w:t>
            </w:r>
            <w:r>
              <w:rPr>
                <w:spacing w:val="-1"/>
                <w:sz w:val="20"/>
              </w:rPr>
              <w:t> </w:t>
            </w:r>
            <w:r>
              <w:rPr>
                <w:sz w:val="20"/>
              </w:rPr>
              <w:t>or changes</w:t>
            </w:r>
            <w:r>
              <w:rPr>
                <w:spacing w:val="-1"/>
                <w:sz w:val="20"/>
              </w:rPr>
              <w:t> </w:t>
            </w:r>
            <w:r>
              <w:rPr>
                <w:sz w:val="20"/>
              </w:rPr>
              <w:t>to</w:t>
            </w:r>
            <w:r>
              <w:rPr>
                <w:spacing w:val="1"/>
                <w:sz w:val="20"/>
              </w:rPr>
              <w:t> </w:t>
            </w:r>
            <w:r>
              <w:rPr>
                <w:sz w:val="20"/>
              </w:rPr>
              <w:t>sensitive</w:t>
            </w:r>
            <w:r>
              <w:rPr>
                <w:spacing w:val="-2"/>
                <w:sz w:val="20"/>
              </w:rPr>
              <w:t> </w:t>
            </w:r>
            <w:r>
              <w:rPr>
                <w:sz w:val="20"/>
              </w:rPr>
              <w:t>data.</w:t>
            </w:r>
          </w:p>
        </w:tc>
        <w:tc>
          <w:tcPr>
            <w:tcW w:w="1492" w:type="dxa"/>
            <w:tcBorders>
              <w:top w:val="single" w:sz="4" w:space="0" w:color="0057B5"/>
              <w:bottom w:val="single" w:sz="4" w:space="0" w:color="0057B5"/>
            </w:tcBorders>
            <w:shd w:val="clear" w:color="auto" w:fill="E7EAF3"/>
          </w:tcPr>
          <w:p>
            <w:pPr>
              <w:pStyle w:val="TableParagraph"/>
              <w:spacing w:before="104"/>
              <w:ind w:left="153"/>
              <w:rPr>
                <w:sz w:val="20"/>
              </w:rPr>
            </w:pPr>
            <w:r>
              <w:rPr>
                <w:sz w:val="20"/>
              </w:rPr>
              <w:t>ID.AM,</w:t>
            </w:r>
          </w:p>
          <w:p>
            <w:pPr>
              <w:pStyle w:val="TableParagraph"/>
              <w:spacing w:line="230" w:lineRule="exact" w:before="1"/>
              <w:ind w:left="153"/>
              <w:rPr>
                <w:sz w:val="20"/>
              </w:rPr>
            </w:pPr>
            <w:r>
              <w:rPr>
                <w:sz w:val="20"/>
              </w:rPr>
              <w:t>PR.AC,</w:t>
            </w:r>
          </w:p>
          <w:p>
            <w:pPr>
              <w:pStyle w:val="TableParagraph"/>
              <w:spacing w:line="230" w:lineRule="exact" w:before="0"/>
              <w:ind w:left="153"/>
              <w:rPr>
                <w:sz w:val="20"/>
              </w:rPr>
            </w:pPr>
            <w:r>
              <w:rPr>
                <w:sz w:val="20"/>
              </w:rPr>
              <w:t>PR.DS,</w:t>
            </w:r>
          </w:p>
          <w:p>
            <w:pPr>
              <w:pStyle w:val="TableParagraph"/>
              <w:spacing w:before="0"/>
              <w:ind w:left="153"/>
              <w:rPr>
                <w:sz w:val="20"/>
              </w:rPr>
            </w:pPr>
            <w:r>
              <w:rPr>
                <w:sz w:val="20"/>
              </w:rPr>
              <w:t>PR.PT,</w:t>
            </w:r>
          </w:p>
          <w:p>
            <w:pPr>
              <w:pStyle w:val="TableParagraph"/>
              <w:spacing w:before="1"/>
              <w:ind w:left="153" w:right="685"/>
              <w:rPr>
                <w:sz w:val="20"/>
              </w:rPr>
            </w:pPr>
            <w:r>
              <w:rPr>
                <w:sz w:val="20"/>
              </w:rPr>
              <w:t>DE.AE,</w:t>
            </w:r>
            <w:r>
              <w:rPr>
                <w:spacing w:val="-47"/>
                <w:sz w:val="20"/>
              </w:rPr>
              <w:t> </w:t>
            </w:r>
            <w:r>
              <w:rPr>
                <w:sz w:val="20"/>
              </w:rPr>
              <w:t>DE.CM</w:t>
            </w:r>
          </w:p>
        </w:tc>
      </w:tr>
    </w:tbl>
    <w:p>
      <w:pPr>
        <w:pStyle w:val="BodyText"/>
        <w:spacing w:before="4"/>
        <w:rPr>
          <w:b/>
          <w:sz w:val="13"/>
        </w:rPr>
      </w:pPr>
    </w:p>
    <w:p>
      <w:pPr>
        <w:pStyle w:val="Heading1"/>
        <w:numPr>
          <w:ilvl w:val="0"/>
          <w:numId w:val="4"/>
        </w:numPr>
        <w:tabs>
          <w:tab w:pos="552" w:val="left" w:leader="none"/>
        </w:tabs>
        <w:spacing w:line="240" w:lineRule="auto" w:before="87" w:after="0"/>
        <w:ind w:left="551" w:right="0" w:hanging="432"/>
        <w:jc w:val="left"/>
      </w:pPr>
      <w:bookmarkStart w:name="5. Conclusion" w:id="44"/>
      <w:bookmarkEnd w:id="44"/>
      <w:r>
        <w:rPr/>
      </w:r>
      <w:bookmarkStart w:name="_bookmark29" w:id="45"/>
      <w:bookmarkEnd w:id="45"/>
      <w:r>
        <w:rPr/>
      </w:r>
      <w:bookmarkStart w:name="_bookmark29" w:id="46"/>
      <w:bookmarkEnd w:id="46"/>
      <w:r>
        <w:rPr/>
        <w:t>C</w:t>
      </w:r>
      <w:r>
        <w:rPr/>
        <w:t>onclusion</w:t>
      </w:r>
    </w:p>
    <w:p>
      <w:pPr>
        <w:pStyle w:val="BodyText"/>
        <w:spacing w:before="239"/>
        <w:ind w:left="119" w:right="371"/>
      </w:pPr>
      <w:r>
        <w:rPr/>
        <w:t>This document lists the TIC security capabilities. TIC use cases will reference security capabilities from</w:t>
      </w:r>
      <w:r>
        <w:rPr>
          <w:spacing w:val="1"/>
        </w:rPr>
        <w:t> </w:t>
      </w:r>
      <w:r>
        <w:rPr/>
        <w:t>this catalog and will provide guidance on how to deploy these capabilities within the context of a unique</w:t>
      </w:r>
      <w:r>
        <w:rPr>
          <w:spacing w:val="1"/>
        </w:rPr>
        <w:t> </w:t>
      </w:r>
      <w:r>
        <w:rPr/>
        <w:t>use case. TIC overlays will provide mappings from these security capabilities to vendor-specific tools and</w:t>
      </w:r>
      <w:r>
        <w:rPr>
          <w:spacing w:val="-52"/>
        </w:rPr>
        <w:t> </w:t>
      </w:r>
      <w:r>
        <w:rPr/>
        <w:t>services. Over time, this catalog will be updated and will be informed by TIC pilot activities, TIC use</w:t>
      </w:r>
      <w:r>
        <w:rPr>
          <w:spacing w:val="1"/>
        </w:rPr>
        <w:t> </w:t>
      </w:r>
      <w:r>
        <w:rPr/>
        <w:t>cases,</w:t>
      </w:r>
      <w:r>
        <w:rPr>
          <w:spacing w:val="-1"/>
        </w:rPr>
        <w:t> </w:t>
      </w:r>
      <w:r>
        <w:rPr/>
        <w:t>emerging technologies, and</w:t>
      </w:r>
      <w:r>
        <w:rPr>
          <w:spacing w:val="-1"/>
        </w:rPr>
        <w:t> </w:t>
      </w:r>
      <w:r>
        <w:rPr/>
        <w:t>threat insight.</w:t>
      </w:r>
    </w:p>
    <w:p>
      <w:pPr>
        <w:spacing w:after="0"/>
        <w:sectPr>
          <w:pgSz w:w="12240" w:h="15840"/>
          <w:pgMar w:header="730" w:footer="764" w:top="960" w:bottom="960" w:left="1320" w:right="1080"/>
        </w:sectPr>
      </w:pPr>
    </w:p>
    <w:p>
      <w:pPr>
        <w:pStyle w:val="BodyText"/>
        <w:rPr>
          <w:sz w:val="20"/>
        </w:rPr>
      </w:pPr>
    </w:p>
    <w:p>
      <w:pPr>
        <w:pStyle w:val="Heading1"/>
        <w:ind w:left="120" w:firstLine="0"/>
      </w:pPr>
      <w:bookmarkStart w:name="Appendix A – Glossary and Definitions" w:id="47"/>
      <w:bookmarkEnd w:id="47"/>
      <w:r>
        <w:rPr/>
      </w:r>
      <w:bookmarkStart w:name="_bookmark30" w:id="48"/>
      <w:bookmarkEnd w:id="48"/>
      <w:r>
        <w:rPr/>
      </w:r>
      <w:r>
        <w:rPr/>
        <w:t>Appendix</w:t>
      </w:r>
      <w:r>
        <w:rPr>
          <w:spacing w:val="-2"/>
        </w:rPr>
        <w:t> </w:t>
      </w:r>
      <w:r>
        <w:rPr/>
        <w:t>A</w:t>
      </w:r>
      <w:r>
        <w:rPr>
          <w:spacing w:val="-4"/>
        </w:rPr>
        <w:t> </w:t>
      </w:r>
      <w:r>
        <w:rPr/>
        <w:t>–</w:t>
      </w:r>
      <w:r>
        <w:rPr>
          <w:spacing w:val="-3"/>
        </w:rPr>
        <w:t> </w:t>
      </w:r>
      <w:r>
        <w:rPr/>
        <w:t>Glossary</w:t>
      </w:r>
      <w:r>
        <w:rPr>
          <w:spacing w:val="-4"/>
        </w:rPr>
        <w:t> </w:t>
      </w:r>
      <w:r>
        <w:rPr/>
        <w:t>and</w:t>
      </w:r>
      <w:r>
        <w:rPr>
          <w:spacing w:val="-2"/>
        </w:rPr>
        <w:t> </w:t>
      </w:r>
      <w:r>
        <w:rPr/>
        <w:t>Definitions</w:t>
      </w:r>
    </w:p>
    <w:p>
      <w:pPr>
        <w:pStyle w:val="BodyText"/>
        <w:spacing w:before="239"/>
        <w:ind w:left="120" w:right="438"/>
      </w:pPr>
      <w:r>
        <w:rPr>
          <w:b/>
        </w:rPr>
        <w:t>Boundary: </w:t>
      </w:r>
      <w:r>
        <w:rPr/>
        <w:t>A notional concept that describes the perimeter of a zone (e.g., mobile device services,</w:t>
      </w:r>
      <w:r>
        <w:rPr>
          <w:spacing w:val="1"/>
        </w:rPr>
        <w:t> </w:t>
      </w:r>
      <w:r>
        <w:rPr/>
        <w:t>general support system (GSS), Software-as-a-Service (SaaS), agency, etc.) within a network architecture.</w:t>
      </w:r>
      <w:r>
        <w:rPr>
          <w:spacing w:val="-53"/>
        </w:rPr>
        <w:t> </w:t>
      </w:r>
      <w:r>
        <w:rPr/>
        <w:t>The</w:t>
      </w:r>
      <w:r>
        <w:rPr>
          <w:spacing w:val="-2"/>
        </w:rPr>
        <w:t> </w:t>
      </w:r>
      <w:r>
        <w:rPr/>
        <w:t>bounded</w:t>
      </w:r>
      <w:r>
        <w:rPr>
          <w:spacing w:val="-1"/>
        </w:rPr>
        <w:t> </w:t>
      </w:r>
      <w:r>
        <w:rPr/>
        <w:t>area</w:t>
      </w:r>
      <w:r>
        <w:rPr>
          <w:spacing w:val="-1"/>
        </w:rPr>
        <w:t> </w:t>
      </w:r>
      <w:r>
        <w:rPr/>
        <w:t>must have</w:t>
      </w:r>
      <w:r>
        <w:rPr>
          <w:spacing w:val="-1"/>
        </w:rPr>
        <w:t> </w:t>
      </w:r>
      <w:r>
        <w:rPr/>
        <w:t>an</w:t>
      </w:r>
      <w:r>
        <w:rPr>
          <w:spacing w:val="-1"/>
        </w:rPr>
        <w:t> </w:t>
      </w:r>
      <w:r>
        <w:rPr/>
        <w:t>information technology</w:t>
      </w:r>
      <w:r>
        <w:rPr>
          <w:spacing w:val="-1"/>
        </w:rPr>
        <w:t> </w:t>
      </w:r>
      <w:r>
        <w:rPr/>
        <w:t>(IT) utility.</w:t>
      </w:r>
    </w:p>
    <w:p>
      <w:pPr>
        <w:pStyle w:val="BodyText"/>
        <w:spacing w:before="121"/>
        <w:ind w:left="120"/>
      </w:pPr>
      <w:r>
        <w:rPr>
          <w:b/>
        </w:rPr>
        <w:t>Internet:</w:t>
      </w:r>
      <w:r>
        <w:rPr>
          <w:b/>
          <w:spacing w:val="-4"/>
        </w:rPr>
        <w:t> </w:t>
      </w:r>
      <w:r>
        <w:rPr/>
        <w:t>The</w:t>
      </w:r>
      <w:r>
        <w:rPr>
          <w:spacing w:val="-4"/>
        </w:rPr>
        <w:t> </w:t>
      </w:r>
      <w:r>
        <w:rPr/>
        <w:t>internet</w:t>
      </w:r>
      <w:r>
        <w:rPr>
          <w:spacing w:val="-4"/>
        </w:rPr>
        <w:t> </w:t>
      </w:r>
      <w:r>
        <w:rPr/>
        <w:t>is</w:t>
      </w:r>
      <w:r>
        <w:rPr>
          <w:spacing w:val="-4"/>
        </w:rPr>
        <w:t> </w:t>
      </w:r>
      <w:r>
        <w:rPr/>
        <w:t>discussed</w:t>
      </w:r>
      <w:r>
        <w:rPr>
          <w:spacing w:val="-3"/>
        </w:rPr>
        <w:t> </w:t>
      </w:r>
      <w:r>
        <w:rPr/>
        <w:t>in</w:t>
      </w:r>
      <w:r>
        <w:rPr>
          <w:spacing w:val="-3"/>
        </w:rPr>
        <w:t> </w:t>
      </w:r>
      <w:r>
        <w:rPr/>
        <w:t>two</w:t>
      </w:r>
      <w:r>
        <w:rPr>
          <w:spacing w:val="-3"/>
        </w:rPr>
        <w:t> </w:t>
      </w:r>
      <w:r>
        <w:rPr/>
        <w:t>capacities</w:t>
      </w:r>
      <w:r>
        <w:rPr>
          <w:spacing w:val="-2"/>
        </w:rPr>
        <w:t> </w:t>
      </w:r>
      <w:r>
        <w:rPr/>
        <w:t>throughout</w:t>
      </w:r>
      <w:r>
        <w:rPr>
          <w:spacing w:val="-3"/>
        </w:rPr>
        <w:t> </w:t>
      </w:r>
      <w:r>
        <w:rPr/>
        <w:t>TIC</w:t>
      </w:r>
      <w:r>
        <w:rPr>
          <w:spacing w:val="-3"/>
        </w:rPr>
        <w:t> </w:t>
      </w:r>
      <w:r>
        <w:rPr/>
        <w:t>documentation:</w:t>
      </w:r>
    </w:p>
    <w:p>
      <w:pPr>
        <w:pStyle w:val="ListParagraph"/>
        <w:numPr>
          <w:ilvl w:val="0"/>
          <w:numId w:val="7"/>
        </w:numPr>
        <w:tabs>
          <w:tab w:pos="1200" w:val="left" w:leader="none"/>
        </w:tabs>
        <w:spacing w:line="240" w:lineRule="auto" w:before="0" w:after="0"/>
        <w:ind w:left="1199" w:right="0" w:hanging="361"/>
        <w:jc w:val="left"/>
        <w:rPr>
          <w:sz w:val="22"/>
        </w:rPr>
      </w:pPr>
      <w:r>
        <w:rPr>
          <w:sz w:val="22"/>
        </w:rPr>
        <w:t>A</w:t>
      </w:r>
      <w:r>
        <w:rPr>
          <w:spacing w:val="-3"/>
          <w:sz w:val="22"/>
        </w:rPr>
        <w:t> </w:t>
      </w:r>
      <w:r>
        <w:rPr>
          <w:sz w:val="22"/>
        </w:rPr>
        <w:t>means</w:t>
      </w:r>
      <w:r>
        <w:rPr>
          <w:spacing w:val="-3"/>
          <w:sz w:val="22"/>
        </w:rPr>
        <w:t> </w:t>
      </w:r>
      <w:r>
        <w:rPr>
          <w:sz w:val="22"/>
        </w:rPr>
        <w:t>of</w:t>
      </w:r>
      <w:r>
        <w:rPr>
          <w:spacing w:val="-1"/>
          <w:sz w:val="22"/>
        </w:rPr>
        <w:t> </w:t>
      </w:r>
      <w:r>
        <w:rPr>
          <w:sz w:val="22"/>
        </w:rPr>
        <w:t>data</w:t>
      </w:r>
      <w:r>
        <w:rPr>
          <w:spacing w:val="-3"/>
          <w:sz w:val="22"/>
        </w:rPr>
        <w:t> </w:t>
      </w:r>
      <w:r>
        <w:rPr>
          <w:sz w:val="22"/>
        </w:rPr>
        <w:t>and</w:t>
      </w:r>
      <w:r>
        <w:rPr>
          <w:spacing w:val="-1"/>
          <w:sz w:val="22"/>
        </w:rPr>
        <w:t> </w:t>
      </w:r>
      <w:r>
        <w:rPr>
          <w:sz w:val="22"/>
        </w:rPr>
        <w:t>IT</w:t>
      </w:r>
      <w:r>
        <w:rPr>
          <w:spacing w:val="-2"/>
          <w:sz w:val="22"/>
        </w:rPr>
        <w:t> </w:t>
      </w:r>
      <w:r>
        <w:rPr>
          <w:sz w:val="22"/>
        </w:rPr>
        <w:t>traffic</w:t>
      </w:r>
      <w:r>
        <w:rPr>
          <w:spacing w:val="-2"/>
          <w:sz w:val="22"/>
        </w:rPr>
        <w:t> </w:t>
      </w:r>
      <w:r>
        <w:rPr>
          <w:sz w:val="22"/>
        </w:rPr>
        <w:t>transport.</w:t>
      </w:r>
    </w:p>
    <w:p>
      <w:pPr>
        <w:pStyle w:val="ListParagraph"/>
        <w:numPr>
          <w:ilvl w:val="0"/>
          <w:numId w:val="7"/>
        </w:numPr>
        <w:tabs>
          <w:tab w:pos="1200" w:val="left" w:leader="none"/>
        </w:tabs>
        <w:spacing w:line="240" w:lineRule="auto" w:before="0" w:after="0"/>
        <w:ind w:left="1199" w:right="0" w:hanging="361"/>
        <w:jc w:val="left"/>
        <w:rPr>
          <w:sz w:val="22"/>
        </w:rPr>
      </w:pPr>
      <w:r>
        <w:rPr>
          <w:sz w:val="22"/>
        </w:rPr>
        <w:t>An</w:t>
      </w:r>
      <w:r>
        <w:rPr>
          <w:spacing w:val="-3"/>
          <w:sz w:val="22"/>
        </w:rPr>
        <w:t> </w:t>
      </w:r>
      <w:r>
        <w:rPr>
          <w:sz w:val="22"/>
        </w:rPr>
        <w:t>environment</w:t>
      </w:r>
      <w:r>
        <w:rPr>
          <w:spacing w:val="-3"/>
          <w:sz w:val="22"/>
        </w:rPr>
        <w:t> </w:t>
      </w:r>
      <w:r>
        <w:rPr>
          <w:sz w:val="22"/>
        </w:rPr>
        <w:t>used</w:t>
      </w:r>
      <w:r>
        <w:rPr>
          <w:spacing w:val="-3"/>
          <w:sz w:val="22"/>
        </w:rPr>
        <w:t> </w:t>
      </w:r>
      <w:r>
        <w:rPr>
          <w:sz w:val="22"/>
        </w:rPr>
        <w:t>for</w:t>
      </w:r>
      <w:r>
        <w:rPr>
          <w:spacing w:val="-3"/>
          <w:sz w:val="22"/>
        </w:rPr>
        <w:t> </w:t>
      </w:r>
      <w:r>
        <w:rPr>
          <w:sz w:val="22"/>
        </w:rPr>
        <w:t>web</w:t>
      </w:r>
      <w:r>
        <w:rPr>
          <w:spacing w:val="-3"/>
          <w:sz w:val="22"/>
        </w:rPr>
        <w:t> </w:t>
      </w:r>
      <w:r>
        <w:rPr>
          <w:sz w:val="22"/>
        </w:rPr>
        <w:t>browsing</w:t>
      </w:r>
      <w:r>
        <w:rPr>
          <w:spacing w:val="-3"/>
          <w:sz w:val="22"/>
        </w:rPr>
        <w:t> </w:t>
      </w:r>
      <w:r>
        <w:rPr>
          <w:sz w:val="22"/>
        </w:rPr>
        <w:t>purposes,</w:t>
      </w:r>
      <w:r>
        <w:rPr>
          <w:spacing w:val="-2"/>
          <w:sz w:val="22"/>
        </w:rPr>
        <w:t> </w:t>
      </w:r>
      <w:r>
        <w:rPr>
          <w:sz w:val="22"/>
        </w:rPr>
        <w:t>referred</w:t>
      </w:r>
      <w:r>
        <w:rPr>
          <w:spacing w:val="-3"/>
          <w:sz w:val="22"/>
        </w:rPr>
        <w:t> </w:t>
      </w:r>
      <w:r>
        <w:rPr>
          <w:sz w:val="22"/>
        </w:rPr>
        <w:t>to</w:t>
      </w:r>
      <w:r>
        <w:rPr>
          <w:spacing w:val="-3"/>
          <w:sz w:val="22"/>
        </w:rPr>
        <w:t> </w:t>
      </w:r>
      <w:r>
        <w:rPr>
          <w:sz w:val="22"/>
        </w:rPr>
        <w:t>as</w:t>
      </w:r>
      <w:r>
        <w:rPr>
          <w:spacing w:val="-3"/>
          <w:sz w:val="22"/>
        </w:rPr>
        <w:t> </w:t>
      </w:r>
      <w:r>
        <w:rPr>
          <w:sz w:val="22"/>
        </w:rPr>
        <w:t>“Web.”</w:t>
      </w:r>
    </w:p>
    <w:p>
      <w:pPr>
        <w:pStyle w:val="BodyText"/>
        <w:spacing w:line="259" w:lineRule="auto" w:before="120"/>
        <w:ind w:left="119" w:right="455"/>
      </w:pPr>
      <w:r>
        <w:rPr>
          <w:b/>
        </w:rPr>
        <w:t>Managed Trusted Internet Protocol Services (MTIPS): </w:t>
      </w:r>
      <w:r>
        <w:rPr/>
        <w:t>Services under GSA’s Enterprise</w:t>
      </w:r>
      <w:r>
        <w:rPr>
          <w:spacing w:val="1"/>
        </w:rPr>
        <w:t> </w:t>
      </w:r>
      <w:r>
        <w:rPr/>
        <w:t>Infrastructure</w:t>
      </w:r>
      <w:r>
        <w:rPr>
          <w:spacing w:val="-2"/>
        </w:rPr>
        <w:t> </w:t>
      </w:r>
      <w:r>
        <w:rPr/>
        <w:t>Solutions</w:t>
      </w:r>
      <w:r>
        <w:rPr>
          <w:spacing w:val="-4"/>
        </w:rPr>
        <w:t> </w:t>
      </w:r>
      <w:r>
        <w:rPr/>
        <w:t>(EIS)</w:t>
      </w:r>
      <w:r>
        <w:rPr>
          <w:spacing w:val="-3"/>
        </w:rPr>
        <w:t> </w:t>
      </w:r>
      <w:r>
        <w:rPr/>
        <w:t>contract</w:t>
      </w:r>
      <w:r>
        <w:rPr>
          <w:spacing w:val="-3"/>
        </w:rPr>
        <w:t> </w:t>
      </w:r>
      <w:r>
        <w:rPr/>
        <w:t>vehicle</w:t>
      </w:r>
      <w:r>
        <w:rPr>
          <w:spacing w:val="-4"/>
        </w:rPr>
        <w:t> </w:t>
      </w:r>
      <w:r>
        <w:rPr/>
        <w:t>that</w:t>
      </w:r>
      <w:r>
        <w:rPr>
          <w:spacing w:val="-2"/>
        </w:rPr>
        <w:t> </w:t>
      </w:r>
      <w:r>
        <w:rPr/>
        <w:t>provide</w:t>
      </w:r>
      <w:r>
        <w:rPr>
          <w:spacing w:val="-4"/>
        </w:rPr>
        <w:t> </w:t>
      </w:r>
      <w:r>
        <w:rPr/>
        <w:t>TIC</w:t>
      </w:r>
      <w:r>
        <w:rPr>
          <w:spacing w:val="-3"/>
        </w:rPr>
        <w:t> </w:t>
      </w:r>
      <w:r>
        <w:rPr/>
        <w:t>solutions</w:t>
      </w:r>
      <w:r>
        <w:rPr>
          <w:spacing w:val="-4"/>
        </w:rPr>
        <w:t> </w:t>
      </w:r>
      <w:r>
        <w:rPr/>
        <w:t>to</w:t>
      </w:r>
      <w:r>
        <w:rPr>
          <w:spacing w:val="-3"/>
        </w:rPr>
        <w:t> </w:t>
      </w:r>
      <w:r>
        <w:rPr/>
        <w:t>government</w:t>
      </w:r>
      <w:r>
        <w:rPr>
          <w:spacing w:val="-3"/>
        </w:rPr>
        <w:t> </w:t>
      </w:r>
      <w:r>
        <w:rPr/>
        <w:t>clients</w:t>
      </w:r>
      <w:r>
        <w:rPr>
          <w:spacing w:val="-2"/>
        </w:rPr>
        <w:t> </w:t>
      </w:r>
      <w:r>
        <w:rPr/>
        <w:t>as</w:t>
      </w:r>
      <w:r>
        <w:rPr>
          <w:spacing w:val="-4"/>
        </w:rPr>
        <w:t> </w:t>
      </w:r>
      <w:r>
        <w:rPr/>
        <w:t>a</w:t>
      </w:r>
      <w:r>
        <w:rPr>
          <w:spacing w:val="-52"/>
        </w:rPr>
        <w:t> </w:t>
      </w:r>
      <w:r>
        <w:rPr/>
        <w:t>managed security service. It is of note that the EIS contract is replacing the GSA Networx contract</w:t>
      </w:r>
      <w:r>
        <w:rPr>
          <w:spacing w:val="1"/>
        </w:rPr>
        <w:t> </w:t>
      </w:r>
      <w:r>
        <w:rPr/>
        <w:t>vehicle</w:t>
      </w:r>
      <w:r>
        <w:rPr>
          <w:spacing w:val="-2"/>
        </w:rPr>
        <w:t> </w:t>
      </w:r>
      <w:r>
        <w:rPr/>
        <w:t>that is</w:t>
      </w:r>
      <w:r>
        <w:rPr>
          <w:spacing w:val="-1"/>
        </w:rPr>
        <w:t> </w:t>
      </w:r>
      <w:r>
        <w:rPr/>
        <w:t>set to</w:t>
      </w:r>
      <w:r>
        <w:rPr>
          <w:spacing w:val="-1"/>
        </w:rPr>
        <w:t> </w:t>
      </w:r>
      <w:r>
        <w:rPr/>
        <w:t>expire</w:t>
      </w:r>
      <w:r>
        <w:rPr>
          <w:spacing w:val="-1"/>
        </w:rPr>
        <w:t> </w:t>
      </w:r>
      <w:r>
        <w:rPr/>
        <w:t>in Fiscal Year</w:t>
      </w:r>
      <w:r>
        <w:rPr>
          <w:spacing w:val="-1"/>
        </w:rPr>
        <w:t> </w:t>
      </w:r>
      <w:r>
        <w:rPr/>
        <w:t>(FY) 2023.</w:t>
      </w:r>
    </w:p>
    <w:p>
      <w:pPr>
        <w:pStyle w:val="BodyText"/>
        <w:spacing w:before="118"/>
        <w:ind w:left="119" w:right="672"/>
      </w:pPr>
      <w:r>
        <w:rPr>
          <w:b/>
        </w:rPr>
        <w:t>Management Entity (MGMT): </w:t>
      </w:r>
      <w:r>
        <w:rPr/>
        <w:t>A notional concept of an entity that oversees and controls security</w:t>
      </w:r>
      <w:r>
        <w:rPr>
          <w:spacing w:val="1"/>
        </w:rPr>
        <w:t> </w:t>
      </w:r>
      <w:r>
        <w:rPr/>
        <w:t>capabilities. The entity can be an organization, network device, tool, service, or application. The entity</w:t>
      </w:r>
      <w:r>
        <w:rPr>
          <w:spacing w:val="-52"/>
        </w:rPr>
        <w:t> </w:t>
      </w:r>
      <w:r>
        <w:rPr/>
        <w:t>can control the collection, processing, analysis, and display of information collected from the policy</w:t>
      </w:r>
      <w:r>
        <w:rPr>
          <w:spacing w:val="1"/>
        </w:rPr>
        <w:t> </w:t>
      </w:r>
      <w:r>
        <w:rPr/>
        <w:t>enforcement</w:t>
      </w:r>
      <w:r>
        <w:rPr>
          <w:spacing w:val="-1"/>
        </w:rPr>
        <w:t> </w:t>
      </w:r>
      <w:r>
        <w:rPr/>
        <w:t>(PEPs),</w:t>
      </w:r>
      <w:r>
        <w:rPr>
          <w:spacing w:val="-1"/>
        </w:rPr>
        <w:t> </w:t>
      </w:r>
      <w:r>
        <w:rPr/>
        <w:t>and</w:t>
      </w:r>
      <w:r>
        <w:rPr>
          <w:spacing w:val="-1"/>
        </w:rPr>
        <w:t> </w:t>
      </w:r>
      <w:r>
        <w:rPr/>
        <w:t>it</w:t>
      </w:r>
      <w:r>
        <w:rPr>
          <w:spacing w:val="-2"/>
        </w:rPr>
        <w:t> </w:t>
      </w:r>
      <w:r>
        <w:rPr/>
        <w:t>allows</w:t>
      </w:r>
      <w:r>
        <w:rPr>
          <w:spacing w:val="-2"/>
        </w:rPr>
        <w:t> </w:t>
      </w:r>
      <w:r>
        <w:rPr/>
        <w:t>IT professionals</w:t>
      </w:r>
      <w:r>
        <w:rPr>
          <w:spacing w:val="-2"/>
        </w:rPr>
        <w:t> </w:t>
      </w:r>
      <w:r>
        <w:rPr/>
        <w:t>to</w:t>
      </w:r>
      <w:r>
        <w:rPr>
          <w:spacing w:val="-1"/>
        </w:rPr>
        <w:t> </w:t>
      </w:r>
      <w:r>
        <w:rPr/>
        <w:t>control</w:t>
      </w:r>
      <w:r>
        <w:rPr>
          <w:spacing w:val="-1"/>
        </w:rPr>
        <w:t> </w:t>
      </w:r>
      <w:r>
        <w:rPr/>
        <w:t>devices</w:t>
      </w:r>
      <w:r>
        <w:rPr>
          <w:spacing w:val="-2"/>
        </w:rPr>
        <w:t> </w:t>
      </w:r>
      <w:r>
        <w:rPr/>
        <w:t>on the</w:t>
      </w:r>
      <w:r>
        <w:rPr>
          <w:spacing w:val="-2"/>
        </w:rPr>
        <w:t> </w:t>
      </w:r>
      <w:r>
        <w:rPr/>
        <w:t>network.</w:t>
      </w:r>
    </w:p>
    <w:p>
      <w:pPr>
        <w:pStyle w:val="BodyText"/>
        <w:spacing w:before="121"/>
        <w:ind w:left="118" w:right="623"/>
      </w:pPr>
      <w:r>
        <w:rPr>
          <w:b/>
        </w:rPr>
        <w:t>National Cyber Protection System (NCPS): </w:t>
      </w:r>
      <w:r>
        <w:rPr/>
        <w:t>An integrated system-of-systems that delivers a range of</w:t>
      </w:r>
      <w:r>
        <w:rPr>
          <w:spacing w:val="-52"/>
        </w:rPr>
        <w:t> </w:t>
      </w:r>
      <w:r>
        <w:rPr/>
        <w:t>capabilities, including intrusion detection, analytics, intrusion prevention, and information sharing</w:t>
      </w:r>
      <w:r>
        <w:rPr>
          <w:spacing w:val="1"/>
        </w:rPr>
        <w:t> </w:t>
      </w:r>
      <w:r>
        <w:rPr/>
        <w:t>capabilities that defend the civilian Federal Government's information technology infrastructure from</w:t>
      </w:r>
      <w:r>
        <w:rPr>
          <w:spacing w:val="1"/>
        </w:rPr>
        <w:t> </w:t>
      </w:r>
      <w:r>
        <w:rPr/>
        <w:t>cyber threats. The NCPS capabilities, operationally known as EINSTEIN, are one of several tools and</w:t>
      </w:r>
      <w:r>
        <w:rPr>
          <w:spacing w:val="1"/>
        </w:rPr>
        <w:t> </w:t>
      </w:r>
      <w:r>
        <w:rPr/>
        <w:t>capabilities</w:t>
      </w:r>
      <w:r>
        <w:rPr>
          <w:spacing w:val="-2"/>
        </w:rPr>
        <w:t> </w:t>
      </w:r>
      <w:r>
        <w:rPr/>
        <w:t>that assist in</w:t>
      </w:r>
      <w:r>
        <w:rPr>
          <w:spacing w:val="-1"/>
        </w:rPr>
        <w:t> </w:t>
      </w:r>
      <w:r>
        <w:rPr/>
        <w:t>federal network defense.</w:t>
      </w:r>
    </w:p>
    <w:p>
      <w:pPr>
        <w:spacing w:before="120"/>
        <w:ind w:left="118" w:right="452" w:firstLine="0"/>
        <w:jc w:val="left"/>
        <w:rPr>
          <w:sz w:val="22"/>
        </w:rPr>
      </w:pPr>
      <w:r>
        <w:rPr>
          <w:b/>
          <w:sz w:val="22"/>
        </w:rPr>
        <w:t>Policy Enforcement Point (PEP): </w:t>
      </w:r>
      <w:r>
        <w:rPr>
          <w:sz w:val="22"/>
        </w:rPr>
        <w:t>A security device, tool, function, or application that enforces security</w:t>
      </w:r>
      <w:r>
        <w:rPr>
          <w:spacing w:val="-53"/>
          <w:sz w:val="22"/>
        </w:rPr>
        <w:t> </w:t>
      </w:r>
      <w:r>
        <w:rPr>
          <w:sz w:val="22"/>
        </w:rPr>
        <w:t>policies</w:t>
      </w:r>
      <w:r>
        <w:rPr>
          <w:spacing w:val="-2"/>
          <w:sz w:val="22"/>
        </w:rPr>
        <w:t> </w:t>
      </w:r>
      <w:r>
        <w:rPr>
          <w:sz w:val="22"/>
        </w:rPr>
        <w:t>through technical capabilities.</w:t>
      </w:r>
    </w:p>
    <w:p>
      <w:pPr>
        <w:spacing w:before="119"/>
        <w:ind w:left="118" w:right="947" w:firstLine="0"/>
        <w:jc w:val="left"/>
        <w:rPr>
          <w:sz w:val="22"/>
        </w:rPr>
      </w:pPr>
      <w:r>
        <w:rPr>
          <w:b/>
          <w:sz w:val="22"/>
        </w:rPr>
        <w:t>Policy Enforcement Point Security Capabilities</w:t>
      </w:r>
      <w:r>
        <w:rPr>
          <w:sz w:val="22"/>
        </w:rPr>
        <w:t>: Network-level capabilities that inform technical</w:t>
      </w:r>
      <w:r>
        <w:rPr>
          <w:spacing w:val="-52"/>
          <w:sz w:val="22"/>
        </w:rPr>
        <w:t> </w:t>
      </w:r>
      <w:r>
        <w:rPr>
          <w:sz w:val="22"/>
        </w:rPr>
        <w:t>implementation</w:t>
      </w:r>
      <w:r>
        <w:rPr>
          <w:spacing w:val="-1"/>
          <w:sz w:val="22"/>
        </w:rPr>
        <w:t> </w:t>
      </w:r>
      <w:r>
        <w:rPr>
          <w:sz w:val="22"/>
        </w:rPr>
        <w:t>for relevant use</w:t>
      </w:r>
      <w:r>
        <w:rPr>
          <w:spacing w:val="-1"/>
          <w:sz w:val="22"/>
        </w:rPr>
        <w:t> </w:t>
      </w:r>
      <w:r>
        <w:rPr>
          <w:sz w:val="22"/>
        </w:rPr>
        <w:t>cases.</w:t>
      </w:r>
    </w:p>
    <w:p>
      <w:pPr>
        <w:pStyle w:val="BodyText"/>
        <w:spacing w:before="120"/>
        <w:ind w:left="118" w:right="545"/>
      </w:pPr>
      <w:r>
        <w:rPr>
          <w:b/>
        </w:rPr>
        <w:t>Reference Architecture (RA): </w:t>
      </w:r>
      <w:r>
        <w:rPr/>
        <w:t>An authoritative source of information about a specific subject area that</w:t>
      </w:r>
      <w:r>
        <w:rPr>
          <w:spacing w:val="-53"/>
        </w:rPr>
        <w:t> </w:t>
      </w:r>
      <w:r>
        <w:rPr/>
        <w:t>guides</w:t>
      </w:r>
      <w:r>
        <w:rPr>
          <w:spacing w:val="-2"/>
        </w:rPr>
        <w:t> </w:t>
      </w:r>
      <w:r>
        <w:rPr/>
        <w:t>and</w:t>
      </w:r>
      <w:r>
        <w:rPr>
          <w:spacing w:val="-1"/>
        </w:rPr>
        <w:t> </w:t>
      </w:r>
      <w:r>
        <w:rPr/>
        <w:t>constrains</w:t>
      </w:r>
      <w:r>
        <w:rPr>
          <w:spacing w:val="-1"/>
        </w:rPr>
        <w:t> </w:t>
      </w:r>
      <w:r>
        <w:rPr/>
        <w:t>the</w:t>
      </w:r>
      <w:r>
        <w:rPr>
          <w:spacing w:val="-2"/>
        </w:rPr>
        <w:t> </w:t>
      </w:r>
      <w:r>
        <w:rPr/>
        <w:t>instantiations</w:t>
      </w:r>
      <w:r>
        <w:rPr>
          <w:spacing w:val="-2"/>
        </w:rPr>
        <w:t> </w:t>
      </w:r>
      <w:r>
        <w:rPr/>
        <w:t>of multiple</w:t>
      </w:r>
      <w:r>
        <w:rPr>
          <w:spacing w:val="-2"/>
        </w:rPr>
        <w:t> </w:t>
      </w:r>
      <w:r>
        <w:rPr/>
        <w:t>architectures</w:t>
      </w:r>
      <w:r>
        <w:rPr>
          <w:spacing w:val="-1"/>
        </w:rPr>
        <w:t> </w:t>
      </w:r>
      <w:r>
        <w:rPr/>
        <w:t>and</w:t>
      </w:r>
      <w:r>
        <w:rPr>
          <w:spacing w:val="-1"/>
        </w:rPr>
        <w:t> </w:t>
      </w:r>
      <w:r>
        <w:rPr/>
        <w:t>solutions.</w:t>
      </w:r>
    </w:p>
    <w:p>
      <w:pPr>
        <w:pStyle w:val="BodyText"/>
        <w:spacing w:before="121"/>
        <w:ind w:left="118" w:right="383"/>
      </w:pPr>
      <w:r>
        <w:rPr>
          <w:b/>
        </w:rPr>
        <w:t>Risk Management: </w:t>
      </w:r>
      <w:r>
        <w:rPr/>
        <w:t>The program and supporting processes to manage information security risk to</w:t>
      </w:r>
      <w:r>
        <w:rPr>
          <w:spacing w:val="1"/>
        </w:rPr>
        <w:t> </w:t>
      </w:r>
      <w:r>
        <w:rPr/>
        <w:t>organizational operations (including mission, functions, image, reputation), organizational assets,</w:t>
      </w:r>
      <w:r>
        <w:rPr>
          <w:spacing w:val="1"/>
        </w:rPr>
        <w:t> </w:t>
      </w:r>
      <w:r>
        <w:rPr/>
        <w:t>individuals,</w:t>
      </w:r>
      <w:r>
        <w:rPr>
          <w:spacing w:val="-4"/>
        </w:rPr>
        <w:t> </w:t>
      </w:r>
      <w:r>
        <w:rPr/>
        <w:t>other</w:t>
      </w:r>
      <w:r>
        <w:rPr>
          <w:spacing w:val="-3"/>
        </w:rPr>
        <w:t> </w:t>
      </w:r>
      <w:r>
        <w:rPr/>
        <w:t>organizations,</w:t>
      </w:r>
      <w:r>
        <w:rPr>
          <w:spacing w:val="-4"/>
        </w:rPr>
        <w:t> </w:t>
      </w:r>
      <w:r>
        <w:rPr/>
        <w:t>and</w:t>
      </w:r>
      <w:r>
        <w:rPr>
          <w:spacing w:val="-3"/>
        </w:rPr>
        <w:t> </w:t>
      </w:r>
      <w:r>
        <w:rPr/>
        <w:t>the</w:t>
      </w:r>
      <w:r>
        <w:rPr>
          <w:spacing w:val="-5"/>
        </w:rPr>
        <w:t> </w:t>
      </w:r>
      <w:r>
        <w:rPr/>
        <w:t>Nation,</w:t>
      </w:r>
      <w:r>
        <w:rPr>
          <w:spacing w:val="-3"/>
        </w:rPr>
        <w:t> </w:t>
      </w:r>
      <w:r>
        <w:rPr/>
        <w:t>and</w:t>
      </w:r>
      <w:r>
        <w:rPr>
          <w:spacing w:val="-3"/>
        </w:rPr>
        <w:t> </w:t>
      </w:r>
      <w:r>
        <w:rPr/>
        <w:t>includes:</w:t>
      </w:r>
      <w:r>
        <w:rPr>
          <w:spacing w:val="-4"/>
        </w:rPr>
        <w:t> </w:t>
      </w:r>
      <w:r>
        <w:rPr/>
        <w:t>(i)</w:t>
      </w:r>
      <w:r>
        <w:rPr>
          <w:spacing w:val="-3"/>
        </w:rPr>
        <w:t> </w:t>
      </w:r>
      <w:r>
        <w:rPr/>
        <w:t>establishing</w:t>
      </w:r>
      <w:r>
        <w:rPr>
          <w:spacing w:val="-4"/>
        </w:rPr>
        <w:t> </w:t>
      </w:r>
      <w:r>
        <w:rPr/>
        <w:t>the</w:t>
      </w:r>
      <w:r>
        <w:rPr>
          <w:spacing w:val="-4"/>
        </w:rPr>
        <w:t> </w:t>
      </w:r>
      <w:r>
        <w:rPr/>
        <w:t>context</w:t>
      </w:r>
      <w:r>
        <w:rPr>
          <w:spacing w:val="-3"/>
        </w:rPr>
        <w:t> </w:t>
      </w:r>
      <w:r>
        <w:rPr/>
        <w:t>for</w:t>
      </w:r>
      <w:r>
        <w:rPr>
          <w:spacing w:val="-5"/>
        </w:rPr>
        <w:t> </w:t>
      </w:r>
      <w:r>
        <w:rPr/>
        <w:t>risk-related</w:t>
      </w:r>
      <w:r>
        <w:rPr>
          <w:spacing w:val="-52"/>
        </w:rPr>
        <w:t> </w:t>
      </w:r>
      <w:r>
        <w:rPr/>
        <w:t>activities;</w:t>
      </w:r>
      <w:r>
        <w:rPr>
          <w:spacing w:val="-3"/>
        </w:rPr>
        <w:t> </w:t>
      </w:r>
      <w:r>
        <w:rPr/>
        <w:t>(ii)</w:t>
      </w:r>
      <w:r>
        <w:rPr>
          <w:spacing w:val="-2"/>
        </w:rPr>
        <w:t> </w:t>
      </w:r>
      <w:r>
        <w:rPr/>
        <w:t>assessing</w:t>
      </w:r>
      <w:r>
        <w:rPr>
          <w:spacing w:val="-3"/>
        </w:rPr>
        <w:t> </w:t>
      </w:r>
      <w:r>
        <w:rPr/>
        <w:t>risk;</w:t>
      </w:r>
      <w:r>
        <w:rPr>
          <w:spacing w:val="-3"/>
        </w:rPr>
        <w:t> </w:t>
      </w:r>
      <w:r>
        <w:rPr/>
        <w:t>(iii)</w:t>
      </w:r>
      <w:r>
        <w:rPr>
          <w:spacing w:val="-3"/>
        </w:rPr>
        <w:t> </w:t>
      </w:r>
      <w:r>
        <w:rPr/>
        <w:t>responding</w:t>
      </w:r>
      <w:r>
        <w:rPr>
          <w:spacing w:val="-2"/>
        </w:rPr>
        <w:t> </w:t>
      </w:r>
      <w:r>
        <w:rPr/>
        <w:t>to</w:t>
      </w:r>
      <w:r>
        <w:rPr>
          <w:spacing w:val="-3"/>
        </w:rPr>
        <w:t> </w:t>
      </w:r>
      <w:r>
        <w:rPr/>
        <w:t>risk</w:t>
      </w:r>
      <w:r>
        <w:rPr>
          <w:spacing w:val="-3"/>
        </w:rPr>
        <w:t> </w:t>
      </w:r>
      <w:r>
        <w:rPr/>
        <w:t>once</w:t>
      </w:r>
      <w:r>
        <w:rPr>
          <w:spacing w:val="-4"/>
        </w:rPr>
        <w:t> </w:t>
      </w:r>
      <w:r>
        <w:rPr/>
        <w:t>determined;</w:t>
      </w:r>
      <w:r>
        <w:rPr>
          <w:spacing w:val="-3"/>
        </w:rPr>
        <w:t> </w:t>
      </w:r>
      <w:r>
        <w:rPr/>
        <w:t>and</w:t>
      </w:r>
      <w:r>
        <w:rPr>
          <w:spacing w:val="-2"/>
        </w:rPr>
        <w:t> </w:t>
      </w:r>
      <w:r>
        <w:rPr/>
        <w:t>(iv)</w:t>
      </w:r>
      <w:r>
        <w:rPr>
          <w:spacing w:val="-4"/>
        </w:rPr>
        <w:t> </w:t>
      </w:r>
      <w:r>
        <w:rPr/>
        <w:t>monitoring</w:t>
      </w:r>
      <w:r>
        <w:rPr>
          <w:spacing w:val="-3"/>
        </w:rPr>
        <w:t> </w:t>
      </w:r>
      <w:r>
        <w:rPr/>
        <w:t>risk</w:t>
      </w:r>
      <w:r>
        <w:rPr>
          <w:spacing w:val="-3"/>
        </w:rPr>
        <w:t> </w:t>
      </w:r>
      <w:r>
        <w:rPr/>
        <w:t>over</w:t>
      </w:r>
      <w:r>
        <w:rPr>
          <w:spacing w:val="-3"/>
        </w:rPr>
        <w:t> </w:t>
      </w:r>
      <w:r>
        <w:rPr/>
        <w:t>time.</w:t>
      </w:r>
    </w:p>
    <w:p>
      <w:pPr>
        <w:pStyle w:val="BodyText"/>
        <w:spacing w:before="119"/>
        <w:ind w:left="118" w:right="419"/>
        <w:jc w:val="both"/>
      </w:pPr>
      <w:r>
        <w:rPr>
          <w:b/>
        </w:rPr>
        <w:t>Risk Tolerance: </w:t>
      </w:r>
      <w:r>
        <w:rPr/>
        <w:t>The level of risk or degree of uncertainty that is acceptable to organizations and is a key</w:t>
      </w:r>
      <w:r>
        <w:rPr>
          <w:spacing w:val="-52"/>
        </w:rPr>
        <w:t> </w:t>
      </w:r>
      <w:r>
        <w:rPr/>
        <w:t>element of the organizational risk frame. An organization's risk tolerance level is the amount of corporate</w:t>
      </w:r>
      <w:r>
        <w:rPr>
          <w:spacing w:val="-52"/>
        </w:rPr>
        <w:t> </w:t>
      </w:r>
      <w:r>
        <w:rPr/>
        <w:t>data</w:t>
      </w:r>
      <w:r>
        <w:rPr>
          <w:spacing w:val="-2"/>
        </w:rPr>
        <w:t> </w:t>
      </w:r>
      <w:r>
        <w:rPr/>
        <w:t>and systems</w:t>
      </w:r>
      <w:r>
        <w:rPr>
          <w:spacing w:val="-1"/>
        </w:rPr>
        <w:t> </w:t>
      </w:r>
      <w:r>
        <w:rPr/>
        <w:t>that</w:t>
      </w:r>
      <w:r>
        <w:rPr>
          <w:spacing w:val="-1"/>
        </w:rPr>
        <w:t> </w:t>
      </w:r>
      <w:r>
        <w:rPr/>
        <w:t>can be</w:t>
      </w:r>
      <w:r>
        <w:rPr>
          <w:spacing w:val="-1"/>
        </w:rPr>
        <w:t> </w:t>
      </w:r>
      <w:r>
        <w:rPr/>
        <w:t>risked</w:t>
      </w:r>
      <w:r>
        <w:rPr>
          <w:spacing w:val="-1"/>
        </w:rPr>
        <w:t> </w:t>
      </w:r>
      <w:r>
        <w:rPr/>
        <w:t>to an acceptable</w:t>
      </w:r>
      <w:r>
        <w:rPr>
          <w:spacing w:val="-1"/>
        </w:rPr>
        <w:t> </w:t>
      </w:r>
      <w:r>
        <w:rPr/>
        <w:t>level.</w:t>
      </w:r>
    </w:p>
    <w:p>
      <w:pPr>
        <w:pStyle w:val="BodyText"/>
        <w:spacing w:before="120"/>
        <w:ind w:left="118" w:right="661"/>
      </w:pPr>
      <w:r>
        <w:rPr>
          <w:b/>
        </w:rPr>
        <w:t>Security Capability: </w:t>
      </w:r>
      <w:r>
        <w:rPr/>
        <w:t>A combination of mutually-reinforcing security controls (i.e., safeguards and</w:t>
      </w:r>
      <w:r>
        <w:rPr>
          <w:spacing w:val="1"/>
        </w:rPr>
        <w:t> </w:t>
      </w:r>
      <w:r>
        <w:rPr/>
        <w:t>countermeasures) implemented by technical means (i.e., functionality in hardware, software, and</w:t>
      </w:r>
      <w:r>
        <w:rPr>
          <w:spacing w:val="1"/>
        </w:rPr>
        <w:t> </w:t>
      </w:r>
      <w:r>
        <w:rPr/>
        <w:t>firmware), physical means (i.e., physical devices and protective measures), and procedural means (i.e.,</w:t>
      </w:r>
      <w:r>
        <w:rPr>
          <w:spacing w:val="-52"/>
        </w:rPr>
        <w:t> </w:t>
      </w:r>
      <w:r>
        <w:rPr/>
        <w:t>procedures performed by individuals). Security capabilities help to define protections for information</w:t>
      </w:r>
      <w:r>
        <w:rPr>
          <w:spacing w:val="1"/>
        </w:rPr>
        <w:t> </w:t>
      </w:r>
      <w:r>
        <w:rPr/>
        <w:t>being</w:t>
      </w:r>
      <w:r>
        <w:rPr>
          <w:spacing w:val="-1"/>
        </w:rPr>
        <w:t> </w:t>
      </w:r>
      <w:r>
        <w:rPr/>
        <w:t>processed, stored,</w:t>
      </w:r>
      <w:r>
        <w:rPr>
          <w:spacing w:val="-1"/>
        </w:rPr>
        <w:t> </w:t>
      </w:r>
      <w:r>
        <w:rPr/>
        <w:t>or</w:t>
      </w:r>
      <w:r>
        <w:rPr>
          <w:spacing w:val="-1"/>
        </w:rPr>
        <w:t> </w:t>
      </w:r>
      <w:r>
        <w:rPr/>
        <w:t>transmitted</w:t>
      </w:r>
      <w:r>
        <w:rPr>
          <w:spacing w:val="-1"/>
        </w:rPr>
        <w:t> </w:t>
      </w:r>
      <w:r>
        <w:rPr/>
        <w:t>by information</w:t>
      </w:r>
      <w:r>
        <w:rPr>
          <w:spacing w:val="-1"/>
        </w:rPr>
        <w:t> </w:t>
      </w:r>
      <w:r>
        <w:rPr/>
        <w:t>systems.</w:t>
      </w:r>
    </w:p>
    <w:p>
      <w:pPr>
        <w:pStyle w:val="BodyText"/>
        <w:spacing w:before="120"/>
        <w:ind w:left="118" w:right="430"/>
      </w:pPr>
      <w:r>
        <w:rPr>
          <w:b/>
        </w:rPr>
        <w:t>Security</w:t>
      </w:r>
      <w:r>
        <w:rPr>
          <w:b/>
          <w:spacing w:val="-4"/>
        </w:rPr>
        <w:t> </w:t>
      </w:r>
      <w:r>
        <w:rPr>
          <w:b/>
        </w:rPr>
        <w:t>Pattern:</w:t>
      </w:r>
      <w:r>
        <w:rPr>
          <w:b/>
          <w:spacing w:val="-3"/>
        </w:rPr>
        <w:t> </w:t>
      </w:r>
      <w:r>
        <w:rPr/>
        <w:t>Description</w:t>
      </w:r>
      <w:r>
        <w:rPr>
          <w:spacing w:val="-3"/>
        </w:rPr>
        <w:t> </w:t>
      </w:r>
      <w:r>
        <w:rPr/>
        <w:t>of</w:t>
      </w:r>
      <w:r>
        <w:rPr>
          <w:spacing w:val="-3"/>
        </w:rPr>
        <w:t> </w:t>
      </w:r>
      <w:r>
        <w:rPr/>
        <w:t>an</w:t>
      </w:r>
      <w:r>
        <w:rPr>
          <w:spacing w:val="-4"/>
        </w:rPr>
        <w:t> </w:t>
      </w:r>
      <w:r>
        <w:rPr/>
        <w:t>end-to-end</w:t>
      </w:r>
      <w:r>
        <w:rPr>
          <w:spacing w:val="-3"/>
        </w:rPr>
        <w:t> </w:t>
      </w:r>
      <w:r>
        <w:rPr/>
        <w:t>data</w:t>
      </w:r>
      <w:r>
        <w:rPr>
          <w:spacing w:val="-4"/>
        </w:rPr>
        <w:t> </w:t>
      </w:r>
      <w:r>
        <w:rPr/>
        <w:t>flow</w:t>
      </w:r>
      <w:r>
        <w:rPr>
          <w:spacing w:val="-4"/>
        </w:rPr>
        <w:t> </w:t>
      </w:r>
      <w:r>
        <w:rPr/>
        <w:t>between</w:t>
      </w:r>
      <w:r>
        <w:rPr>
          <w:spacing w:val="-3"/>
        </w:rPr>
        <w:t> </w:t>
      </w:r>
      <w:r>
        <w:rPr/>
        <w:t>two</w:t>
      </w:r>
      <w:r>
        <w:rPr>
          <w:spacing w:val="-3"/>
        </w:rPr>
        <w:t> </w:t>
      </w:r>
      <w:r>
        <w:rPr/>
        <w:t>trust</w:t>
      </w:r>
      <w:r>
        <w:rPr>
          <w:spacing w:val="-3"/>
        </w:rPr>
        <w:t> </w:t>
      </w:r>
      <w:r>
        <w:rPr/>
        <w:t>zones.</w:t>
      </w:r>
      <w:r>
        <w:rPr>
          <w:spacing w:val="-3"/>
        </w:rPr>
        <w:t> </w:t>
      </w:r>
      <w:r>
        <w:rPr/>
        <w:t>Security</w:t>
      </w:r>
      <w:r>
        <w:rPr>
          <w:spacing w:val="-3"/>
        </w:rPr>
        <w:t> </w:t>
      </w:r>
      <w:r>
        <w:rPr/>
        <w:t>patterns</w:t>
      </w:r>
      <w:r>
        <w:rPr>
          <w:spacing w:val="-4"/>
        </w:rPr>
        <w:t> </w:t>
      </w:r>
      <w:r>
        <w:rPr/>
        <w:t>may</w:t>
      </w:r>
      <w:r>
        <w:rPr>
          <w:spacing w:val="-52"/>
        </w:rPr>
        <w:t> </w:t>
      </w:r>
      <w:r>
        <w:rPr/>
        <w:t>have an associated set of security capabilities or guidance to secure the data flow along with one or more</w:t>
      </w:r>
      <w:r>
        <w:rPr>
          <w:spacing w:val="1"/>
        </w:rPr>
        <w:t> </w:t>
      </w:r>
      <w:r>
        <w:rPr/>
        <w:t>of</w:t>
      </w:r>
      <w:r>
        <w:rPr>
          <w:spacing w:val="-1"/>
        </w:rPr>
        <w:t> </w:t>
      </w:r>
      <w:r>
        <w:rPr/>
        <w:t>the</w:t>
      </w:r>
      <w:r>
        <w:rPr>
          <w:spacing w:val="-1"/>
        </w:rPr>
        <w:t> </w:t>
      </w:r>
      <w:r>
        <w:rPr/>
        <w:t>zones.</w:t>
      </w:r>
    </w:p>
    <w:p>
      <w:pPr>
        <w:spacing w:before="120"/>
        <w:ind w:left="118" w:right="397" w:hanging="1"/>
        <w:jc w:val="left"/>
        <w:rPr>
          <w:sz w:val="22"/>
        </w:rPr>
      </w:pPr>
      <w:r>
        <w:rPr>
          <w:b/>
          <w:sz w:val="22"/>
        </w:rPr>
        <w:t>Seeking Service Agency (SSA): </w:t>
      </w:r>
      <w:r>
        <w:rPr>
          <w:sz w:val="22"/>
        </w:rPr>
        <w:t>An agency that obtains TIC services through an approved Multi-Service</w:t>
      </w:r>
      <w:r>
        <w:rPr>
          <w:spacing w:val="-52"/>
          <w:sz w:val="22"/>
        </w:rPr>
        <w:t> </w:t>
      </w:r>
      <w:r>
        <w:rPr>
          <w:sz w:val="22"/>
        </w:rPr>
        <w:t>TICAP.</w:t>
      </w:r>
    </w:p>
    <w:p>
      <w:pPr>
        <w:spacing w:after="0"/>
        <w:jc w:val="left"/>
        <w:rPr>
          <w:sz w:val="22"/>
        </w:rPr>
        <w:sectPr>
          <w:pgSz w:w="12240" w:h="15840"/>
          <w:pgMar w:header="730" w:footer="764" w:top="960" w:bottom="960" w:left="1320" w:right="1080"/>
        </w:sectPr>
      </w:pPr>
    </w:p>
    <w:p>
      <w:pPr>
        <w:pStyle w:val="BodyText"/>
        <w:rPr>
          <w:sz w:val="20"/>
        </w:rPr>
      </w:pPr>
    </w:p>
    <w:p>
      <w:pPr>
        <w:pStyle w:val="BodyText"/>
        <w:spacing w:before="7"/>
        <w:rPr>
          <w:sz w:val="20"/>
        </w:rPr>
      </w:pPr>
    </w:p>
    <w:p>
      <w:pPr>
        <w:spacing w:before="0"/>
        <w:ind w:left="119" w:right="481" w:firstLine="0"/>
        <w:jc w:val="left"/>
        <w:rPr>
          <w:sz w:val="22"/>
        </w:rPr>
      </w:pPr>
      <w:r>
        <w:rPr>
          <w:b/>
          <w:sz w:val="22"/>
        </w:rPr>
        <w:t>Security Information and Event Management (SIEM): </w:t>
      </w:r>
      <w:r>
        <w:rPr>
          <w:sz w:val="22"/>
        </w:rPr>
        <w:t>An approach to security management that</w:t>
      </w:r>
      <w:r>
        <w:rPr>
          <w:spacing w:val="1"/>
          <w:sz w:val="22"/>
        </w:rPr>
        <w:t> </w:t>
      </w:r>
      <w:r>
        <w:rPr>
          <w:sz w:val="22"/>
        </w:rPr>
        <w:t>combines SIM (security information management) and SEM (security event management) functions into</w:t>
      </w:r>
      <w:r>
        <w:rPr>
          <w:spacing w:val="-53"/>
          <w:sz w:val="22"/>
        </w:rPr>
        <w:t> </w:t>
      </w:r>
      <w:r>
        <w:rPr>
          <w:sz w:val="22"/>
        </w:rPr>
        <w:t>one</w:t>
      </w:r>
      <w:r>
        <w:rPr>
          <w:spacing w:val="-2"/>
          <w:sz w:val="22"/>
        </w:rPr>
        <w:t> </w:t>
      </w:r>
      <w:r>
        <w:rPr>
          <w:sz w:val="22"/>
        </w:rPr>
        <w:t>security management system.</w:t>
      </w:r>
    </w:p>
    <w:p>
      <w:pPr>
        <w:pStyle w:val="BodyText"/>
        <w:spacing w:before="119"/>
        <w:ind w:left="119"/>
      </w:pPr>
      <w:r>
        <w:rPr>
          <w:b/>
        </w:rPr>
        <w:t>Telemetry:</w:t>
      </w:r>
      <w:r>
        <w:rPr>
          <w:b/>
          <w:spacing w:val="-3"/>
        </w:rPr>
        <w:t> </w:t>
      </w:r>
      <w:r>
        <w:rPr/>
        <w:t>Artifacts</w:t>
      </w:r>
      <w:r>
        <w:rPr>
          <w:spacing w:val="-5"/>
        </w:rPr>
        <w:t> </w:t>
      </w:r>
      <w:r>
        <w:rPr/>
        <w:t>derived</w:t>
      </w:r>
      <w:r>
        <w:rPr>
          <w:spacing w:val="-3"/>
        </w:rPr>
        <w:t> </w:t>
      </w:r>
      <w:r>
        <w:rPr/>
        <w:t>from</w:t>
      </w:r>
      <w:r>
        <w:rPr>
          <w:spacing w:val="-5"/>
        </w:rPr>
        <w:t> </w:t>
      </w:r>
      <w:r>
        <w:rPr/>
        <w:t>security</w:t>
      </w:r>
      <w:r>
        <w:rPr>
          <w:spacing w:val="-3"/>
        </w:rPr>
        <w:t> </w:t>
      </w:r>
      <w:r>
        <w:rPr/>
        <w:t>capabilities</w:t>
      </w:r>
      <w:r>
        <w:rPr>
          <w:spacing w:val="-5"/>
        </w:rPr>
        <w:t> </w:t>
      </w:r>
      <w:r>
        <w:rPr/>
        <w:t>that</w:t>
      </w:r>
      <w:r>
        <w:rPr>
          <w:spacing w:val="-3"/>
        </w:rPr>
        <w:t> </w:t>
      </w:r>
      <w:r>
        <w:rPr/>
        <w:t>provide</w:t>
      </w:r>
      <w:r>
        <w:rPr>
          <w:spacing w:val="-5"/>
        </w:rPr>
        <w:t> </w:t>
      </w:r>
      <w:r>
        <w:rPr/>
        <w:t>visibility</w:t>
      </w:r>
      <w:r>
        <w:rPr>
          <w:spacing w:val="-3"/>
        </w:rPr>
        <w:t> </w:t>
      </w:r>
      <w:r>
        <w:rPr/>
        <w:t>into</w:t>
      </w:r>
      <w:r>
        <w:rPr>
          <w:spacing w:val="-4"/>
        </w:rPr>
        <w:t> </w:t>
      </w:r>
      <w:r>
        <w:rPr/>
        <w:t>security</w:t>
      </w:r>
      <w:r>
        <w:rPr>
          <w:spacing w:val="-4"/>
        </w:rPr>
        <w:t> </w:t>
      </w:r>
      <w:r>
        <w:rPr/>
        <w:t>posture.</w:t>
      </w:r>
    </w:p>
    <w:p>
      <w:pPr>
        <w:pStyle w:val="BodyText"/>
        <w:spacing w:before="121"/>
        <w:ind w:left="119" w:right="421"/>
      </w:pPr>
      <w:r>
        <w:rPr>
          <w:b/>
        </w:rPr>
        <w:t>TIC: </w:t>
      </w:r>
      <w:r>
        <w:rPr/>
        <w:t>The term “TIC” is used throughout the Federal Government to denote different aspects of the TIC</w:t>
      </w:r>
      <w:r>
        <w:rPr>
          <w:spacing w:val="1"/>
        </w:rPr>
        <w:t> </w:t>
      </w:r>
      <w:r>
        <w:rPr/>
        <w:t>initiative; including the overall TIC program, a physical TIC access point (also known as a Traditional</w:t>
      </w:r>
      <w:r>
        <w:rPr>
          <w:spacing w:val="1"/>
        </w:rPr>
        <w:t> </w:t>
      </w:r>
      <w:r>
        <w:rPr/>
        <w:t>TIC), and a TIC Access Provider (TICAP – see below). This document refers to TIC as an adjective or as</w:t>
      </w:r>
      <w:r>
        <w:rPr>
          <w:spacing w:val="-53"/>
        </w:rPr>
        <w:t> </w:t>
      </w:r>
      <w:r>
        <w:rPr/>
        <w:t>the</w:t>
      </w:r>
      <w:r>
        <w:rPr>
          <w:spacing w:val="-2"/>
        </w:rPr>
        <w:t> </w:t>
      </w:r>
      <w:r>
        <w:rPr/>
        <w:t>Trusted Internet Connections</w:t>
      </w:r>
      <w:r>
        <w:rPr>
          <w:spacing w:val="-1"/>
        </w:rPr>
        <w:t> </w:t>
      </w:r>
      <w:r>
        <w:rPr/>
        <w:t>initiative.</w:t>
      </w:r>
    </w:p>
    <w:p>
      <w:pPr>
        <w:pStyle w:val="BodyText"/>
        <w:spacing w:before="119"/>
        <w:ind w:left="119" w:right="1081"/>
      </w:pPr>
      <w:r>
        <w:rPr>
          <w:b/>
        </w:rPr>
        <w:t>TIC Access Point: </w:t>
      </w:r>
      <w:r>
        <w:rPr/>
        <w:t>The physical location where a federal civilian agency consolidates its external</w:t>
      </w:r>
      <w:r>
        <w:rPr>
          <w:spacing w:val="-53"/>
        </w:rPr>
        <w:t> </w:t>
      </w:r>
      <w:r>
        <w:rPr/>
        <w:t>connections</w:t>
      </w:r>
      <w:r>
        <w:rPr>
          <w:spacing w:val="-2"/>
        </w:rPr>
        <w:t> </w:t>
      </w:r>
      <w:r>
        <w:rPr/>
        <w:t>and</w:t>
      </w:r>
      <w:r>
        <w:rPr>
          <w:spacing w:val="-1"/>
        </w:rPr>
        <w:t> </w:t>
      </w:r>
      <w:r>
        <w:rPr/>
        <w:t>has</w:t>
      </w:r>
      <w:r>
        <w:rPr>
          <w:spacing w:val="-2"/>
        </w:rPr>
        <w:t> </w:t>
      </w:r>
      <w:r>
        <w:rPr/>
        <w:t>security</w:t>
      </w:r>
      <w:r>
        <w:rPr>
          <w:spacing w:val="-1"/>
        </w:rPr>
        <w:t> </w:t>
      </w:r>
      <w:r>
        <w:rPr/>
        <w:t>controls</w:t>
      </w:r>
      <w:r>
        <w:rPr>
          <w:spacing w:val="-2"/>
        </w:rPr>
        <w:t> </w:t>
      </w:r>
      <w:r>
        <w:rPr/>
        <w:t>in</w:t>
      </w:r>
      <w:r>
        <w:rPr>
          <w:spacing w:val="-3"/>
        </w:rPr>
        <w:t> </w:t>
      </w:r>
      <w:r>
        <w:rPr/>
        <w:t>place</w:t>
      </w:r>
      <w:r>
        <w:rPr>
          <w:spacing w:val="-2"/>
        </w:rPr>
        <w:t> </w:t>
      </w:r>
      <w:r>
        <w:rPr/>
        <w:t>to</w:t>
      </w:r>
      <w:r>
        <w:rPr>
          <w:spacing w:val="-1"/>
        </w:rPr>
        <w:t> </w:t>
      </w:r>
      <w:r>
        <w:rPr/>
        <w:t>secure</w:t>
      </w:r>
      <w:r>
        <w:rPr>
          <w:spacing w:val="-2"/>
        </w:rPr>
        <w:t> </w:t>
      </w:r>
      <w:r>
        <w:rPr/>
        <w:t>and</w:t>
      </w:r>
      <w:r>
        <w:rPr>
          <w:spacing w:val="-1"/>
        </w:rPr>
        <w:t> </w:t>
      </w:r>
      <w:r>
        <w:rPr/>
        <w:t>monitor</w:t>
      </w:r>
      <w:r>
        <w:rPr>
          <w:spacing w:val="-3"/>
        </w:rPr>
        <w:t> </w:t>
      </w:r>
      <w:r>
        <w:rPr/>
        <w:t>the</w:t>
      </w:r>
      <w:r>
        <w:rPr>
          <w:spacing w:val="-2"/>
        </w:rPr>
        <w:t> </w:t>
      </w:r>
      <w:r>
        <w:rPr/>
        <w:t>connections.</w:t>
      </w:r>
    </w:p>
    <w:p>
      <w:pPr>
        <w:pStyle w:val="BodyText"/>
        <w:spacing w:before="121"/>
        <w:ind w:left="119" w:right="634"/>
        <w:jc w:val="both"/>
      </w:pPr>
      <w:r>
        <w:rPr>
          <w:b/>
        </w:rPr>
        <w:t>TIC Access Provider (TICAP): </w:t>
      </w:r>
      <w:r>
        <w:rPr/>
        <w:t>An agency or vendor that manages and hosts one or more TIC access</w:t>
      </w:r>
      <w:r>
        <w:rPr>
          <w:spacing w:val="-52"/>
        </w:rPr>
        <w:t> </w:t>
      </w:r>
      <w:r>
        <w:rPr/>
        <w:t>points. Single Service TICAPs serve as a TIC Access Provider only to their own agency. Multi-Service</w:t>
      </w:r>
      <w:r>
        <w:rPr>
          <w:spacing w:val="-53"/>
        </w:rPr>
        <w:t> </w:t>
      </w:r>
      <w:r>
        <w:rPr/>
        <w:t>TICAPs</w:t>
      </w:r>
      <w:r>
        <w:rPr>
          <w:spacing w:val="-2"/>
        </w:rPr>
        <w:t> </w:t>
      </w:r>
      <w:r>
        <w:rPr/>
        <w:t>also provide</w:t>
      </w:r>
      <w:r>
        <w:rPr>
          <w:spacing w:val="-2"/>
        </w:rPr>
        <w:t> </w:t>
      </w:r>
      <w:r>
        <w:rPr/>
        <w:t>TIC</w:t>
      </w:r>
      <w:r>
        <w:rPr>
          <w:spacing w:val="-1"/>
        </w:rPr>
        <w:t> </w:t>
      </w:r>
      <w:r>
        <w:rPr/>
        <w:t>services</w:t>
      </w:r>
      <w:r>
        <w:rPr>
          <w:spacing w:val="-2"/>
        </w:rPr>
        <w:t> </w:t>
      </w:r>
      <w:r>
        <w:rPr/>
        <w:t>to other</w:t>
      </w:r>
      <w:r>
        <w:rPr>
          <w:spacing w:val="-1"/>
        </w:rPr>
        <w:t> </w:t>
      </w:r>
      <w:r>
        <w:rPr/>
        <w:t>agencies</w:t>
      </w:r>
      <w:r>
        <w:rPr>
          <w:spacing w:val="-2"/>
        </w:rPr>
        <w:t> </w:t>
      </w:r>
      <w:r>
        <w:rPr/>
        <w:t>through</w:t>
      </w:r>
      <w:r>
        <w:rPr>
          <w:spacing w:val="-1"/>
        </w:rPr>
        <w:t> </w:t>
      </w:r>
      <w:r>
        <w:rPr/>
        <w:t>a</w:t>
      </w:r>
      <w:r>
        <w:rPr>
          <w:spacing w:val="-2"/>
        </w:rPr>
        <w:t> </w:t>
      </w:r>
      <w:r>
        <w:rPr/>
        <w:t>shared</w:t>
      </w:r>
      <w:r>
        <w:rPr>
          <w:spacing w:val="-1"/>
        </w:rPr>
        <w:t> </w:t>
      </w:r>
      <w:r>
        <w:rPr/>
        <w:t>services</w:t>
      </w:r>
      <w:r>
        <w:rPr>
          <w:spacing w:val="-1"/>
        </w:rPr>
        <w:t> </w:t>
      </w:r>
      <w:r>
        <w:rPr/>
        <w:t>model.</w:t>
      </w:r>
    </w:p>
    <w:p>
      <w:pPr>
        <w:pStyle w:val="BodyText"/>
        <w:spacing w:before="119"/>
        <w:ind w:left="119" w:right="561"/>
      </w:pPr>
      <w:r>
        <w:rPr>
          <w:b/>
        </w:rPr>
        <w:t>TIC Initiative: </w:t>
      </w:r>
      <w:r>
        <w:rPr/>
        <w:t>Program established to optimize and standardize the security of individual external</w:t>
      </w:r>
      <w:r>
        <w:rPr>
          <w:spacing w:val="1"/>
        </w:rPr>
        <w:t> </w:t>
      </w:r>
      <w:r>
        <w:rPr/>
        <w:t>network connections currently in use by the Federal Government, to include connections to the internet.</w:t>
      </w:r>
      <w:r>
        <w:rPr>
          <w:spacing w:val="-52"/>
        </w:rPr>
        <w:t> </w:t>
      </w:r>
      <w:r>
        <w:rPr/>
        <w:t>Key</w:t>
      </w:r>
      <w:r>
        <w:rPr>
          <w:spacing w:val="-1"/>
        </w:rPr>
        <w:t> </w:t>
      </w:r>
      <w:r>
        <w:rPr/>
        <w:t>stakeholders</w:t>
      </w:r>
      <w:r>
        <w:rPr>
          <w:spacing w:val="-1"/>
        </w:rPr>
        <w:t> </w:t>
      </w:r>
      <w:r>
        <w:rPr/>
        <w:t>include</w:t>
      </w:r>
      <w:r>
        <w:rPr>
          <w:spacing w:val="-1"/>
        </w:rPr>
        <w:t> </w:t>
      </w:r>
      <w:r>
        <w:rPr/>
        <w:t>CISA, OMB, and GSA.</w:t>
      </w:r>
    </w:p>
    <w:p>
      <w:pPr>
        <w:pStyle w:val="BodyText"/>
        <w:spacing w:before="121"/>
        <w:ind w:left="119"/>
      </w:pPr>
      <w:r>
        <w:rPr>
          <w:b/>
        </w:rPr>
        <w:t>TIC</w:t>
      </w:r>
      <w:r>
        <w:rPr>
          <w:b/>
          <w:spacing w:val="-4"/>
        </w:rPr>
        <w:t> </w:t>
      </w:r>
      <w:r>
        <w:rPr>
          <w:b/>
        </w:rPr>
        <w:t>Overlay:</w:t>
      </w:r>
      <w:r>
        <w:rPr>
          <w:b/>
          <w:spacing w:val="-3"/>
        </w:rPr>
        <w:t> </w:t>
      </w:r>
      <w:r>
        <w:rPr/>
        <w:t>A</w:t>
      </w:r>
      <w:r>
        <w:rPr>
          <w:spacing w:val="-2"/>
        </w:rPr>
        <w:t> </w:t>
      </w:r>
      <w:r>
        <w:rPr/>
        <w:t>mapping</w:t>
      </w:r>
      <w:r>
        <w:rPr>
          <w:spacing w:val="-4"/>
        </w:rPr>
        <w:t> </w:t>
      </w:r>
      <w:r>
        <w:rPr/>
        <w:t>from</w:t>
      </w:r>
      <w:r>
        <w:rPr>
          <w:spacing w:val="-3"/>
        </w:rPr>
        <w:t> </w:t>
      </w:r>
      <w:r>
        <w:rPr/>
        <w:t>products</w:t>
      </w:r>
      <w:r>
        <w:rPr>
          <w:spacing w:val="-4"/>
        </w:rPr>
        <w:t> </w:t>
      </w:r>
      <w:r>
        <w:rPr/>
        <w:t>and</w:t>
      </w:r>
      <w:r>
        <w:rPr>
          <w:spacing w:val="-3"/>
        </w:rPr>
        <w:t> </w:t>
      </w:r>
      <w:r>
        <w:rPr/>
        <w:t>services</w:t>
      </w:r>
      <w:r>
        <w:rPr>
          <w:spacing w:val="-1"/>
        </w:rPr>
        <w:t> </w:t>
      </w:r>
      <w:r>
        <w:rPr/>
        <w:t>to</w:t>
      </w:r>
      <w:r>
        <w:rPr>
          <w:spacing w:val="-3"/>
        </w:rPr>
        <w:t> </w:t>
      </w:r>
      <w:r>
        <w:rPr/>
        <w:t>TIC</w:t>
      </w:r>
      <w:r>
        <w:rPr>
          <w:spacing w:val="-2"/>
        </w:rPr>
        <w:t> </w:t>
      </w:r>
      <w:r>
        <w:rPr/>
        <w:t>security</w:t>
      </w:r>
      <w:r>
        <w:rPr>
          <w:spacing w:val="-3"/>
        </w:rPr>
        <w:t> </w:t>
      </w:r>
      <w:r>
        <w:rPr/>
        <w:t>capabilities.</w:t>
      </w:r>
    </w:p>
    <w:p>
      <w:pPr>
        <w:pStyle w:val="BodyText"/>
        <w:spacing w:before="120"/>
        <w:ind w:left="118" w:right="383"/>
      </w:pPr>
      <w:r>
        <w:rPr>
          <w:b/>
        </w:rPr>
        <w:t>TIC Use Case: </w:t>
      </w:r>
      <w:r>
        <w:rPr/>
        <w:t>Guidance on the secure implementation and/or configuration of specific platforms,</w:t>
      </w:r>
      <w:r>
        <w:rPr>
          <w:spacing w:val="1"/>
        </w:rPr>
        <w:t> </w:t>
      </w:r>
      <w:r>
        <w:rPr/>
        <w:t>services, and environments. A TIC use case contains a conceptual architecture, one or more security</w:t>
      </w:r>
      <w:r>
        <w:rPr>
          <w:spacing w:val="1"/>
        </w:rPr>
        <w:t> </w:t>
      </w:r>
      <w:r>
        <w:rPr/>
        <w:t>pattern</w:t>
      </w:r>
      <w:r>
        <w:rPr>
          <w:spacing w:val="-4"/>
        </w:rPr>
        <w:t> </w:t>
      </w:r>
      <w:r>
        <w:rPr/>
        <w:t>options,</w:t>
      </w:r>
      <w:r>
        <w:rPr>
          <w:spacing w:val="-4"/>
        </w:rPr>
        <w:t> </w:t>
      </w:r>
      <w:r>
        <w:rPr/>
        <w:t>security</w:t>
      </w:r>
      <w:r>
        <w:rPr>
          <w:spacing w:val="-3"/>
        </w:rPr>
        <w:t> </w:t>
      </w:r>
      <w:r>
        <w:rPr/>
        <w:t>capability</w:t>
      </w:r>
      <w:r>
        <w:rPr>
          <w:spacing w:val="-4"/>
        </w:rPr>
        <w:t> </w:t>
      </w:r>
      <w:r>
        <w:rPr/>
        <w:t>implementation</w:t>
      </w:r>
      <w:r>
        <w:rPr>
          <w:spacing w:val="-4"/>
        </w:rPr>
        <w:t> </w:t>
      </w:r>
      <w:r>
        <w:rPr/>
        <w:t>guidance,</w:t>
      </w:r>
      <w:r>
        <w:rPr>
          <w:spacing w:val="-3"/>
        </w:rPr>
        <w:t> </w:t>
      </w:r>
      <w:r>
        <w:rPr/>
        <w:t>and</w:t>
      </w:r>
      <w:r>
        <w:rPr>
          <w:spacing w:val="-4"/>
        </w:rPr>
        <w:t> </w:t>
      </w:r>
      <w:r>
        <w:rPr/>
        <w:t>CISA</w:t>
      </w:r>
      <w:r>
        <w:rPr>
          <w:spacing w:val="-5"/>
        </w:rPr>
        <w:t> </w:t>
      </w:r>
      <w:r>
        <w:rPr/>
        <w:t>telemetry</w:t>
      </w:r>
      <w:r>
        <w:rPr>
          <w:spacing w:val="-3"/>
        </w:rPr>
        <w:t> </w:t>
      </w:r>
      <w:r>
        <w:rPr/>
        <w:t>guidance</w:t>
      </w:r>
      <w:r>
        <w:rPr>
          <w:spacing w:val="-5"/>
        </w:rPr>
        <w:t> </w:t>
      </w:r>
      <w:r>
        <w:rPr/>
        <w:t>for</w:t>
      </w:r>
      <w:r>
        <w:rPr>
          <w:spacing w:val="-4"/>
        </w:rPr>
        <w:t> </w:t>
      </w:r>
      <w:r>
        <w:rPr/>
        <w:t>a</w:t>
      </w:r>
      <w:r>
        <w:rPr>
          <w:spacing w:val="-5"/>
        </w:rPr>
        <w:t> </w:t>
      </w:r>
      <w:r>
        <w:rPr/>
        <w:t>common</w:t>
      </w:r>
      <w:r>
        <w:rPr>
          <w:spacing w:val="-52"/>
        </w:rPr>
        <w:t> </w:t>
      </w:r>
      <w:r>
        <w:rPr/>
        <w:t>agency</w:t>
      </w:r>
      <w:r>
        <w:rPr>
          <w:spacing w:val="-1"/>
        </w:rPr>
        <w:t> </w:t>
      </w:r>
      <w:r>
        <w:rPr/>
        <w:t>computing scenario.</w:t>
      </w:r>
    </w:p>
    <w:p>
      <w:pPr>
        <w:pStyle w:val="BodyText"/>
        <w:spacing w:before="119"/>
        <w:ind w:left="118" w:right="641"/>
      </w:pPr>
      <w:r>
        <w:rPr>
          <w:b/>
        </w:rPr>
        <w:t>Trust Zone: </w:t>
      </w:r>
      <w:r>
        <w:rPr/>
        <w:t>A discrete computing environment designated for information processing, storage, and/or</w:t>
      </w:r>
      <w:r>
        <w:rPr>
          <w:spacing w:val="-52"/>
        </w:rPr>
        <w:t> </w:t>
      </w:r>
      <w:r>
        <w:rPr/>
        <w:t>transmission that dictates the level of security necessary to protect the traffic transiting in and out of a</w:t>
      </w:r>
      <w:r>
        <w:rPr>
          <w:spacing w:val="1"/>
        </w:rPr>
        <w:t> </w:t>
      </w:r>
      <w:r>
        <w:rPr/>
        <w:t>zone</w:t>
      </w:r>
      <w:r>
        <w:rPr>
          <w:spacing w:val="-2"/>
        </w:rPr>
        <w:t> </w:t>
      </w:r>
      <w:r>
        <w:rPr/>
        <w:t>and/or the</w:t>
      </w:r>
      <w:r>
        <w:rPr>
          <w:spacing w:val="-1"/>
        </w:rPr>
        <w:t> </w:t>
      </w:r>
      <w:r>
        <w:rPr/>
        <w:t>information within the</w:t>
      </w:r>
      <w:r>
        <w:rPr>
          <w:spacing w:val="-2"/>
        </w:rPr>
        <w:t> </w:t>
      </w:r>
      <w:r>
        <w:rPr/>
        <w:t>zone.</w:t>
      </w:r>
    </w:p>
    <w:p>
      <w:pPr>
        <w:spacing w:before="120"/>
        <w:ind w:left="118" w:right="383" w:firstLine="0"/>
        <w:jc w:val="left"/>
        <w:rPr>
          <w:sz w:val="22"/>
        </w:rPr>
      </w:pPr>
      <w:r>
        <w:rPr>
          <w:b/>
          <w:sz w:val="22"/>
        </w:rPr>
        <w:t>Unified</w:t>
      </w:r>
      <w:r>
        <w:rPr>
          <w:b/>
          <w:spacing w:val="-4"/>
          <w:sz w:val="22"/>
        </w:rPr>
        <w:t> </w:t>
      </w:r>
      <w:r>
        <w:rPr>
          <w:b/>
          <w:sz w:val="22"/>
        </w:rPr>
        <w:t>Communications</w:t>
      </w:r>
      <w:r>
        <w:rPr>
          <w:b/>
          <w:spacing w:val="-4"/>
          <w:sz w:val="22"/>
        </w:rPr>
        <w:t> </w:t>
      </w:r>
      <w:r>
        <w:rPr>
          <w:b/>
          <w:sz w:val="22"/>
        </w:rPr>
        <w:t>and</w:t>
      </w:r>
      <w:r>
        <w:rPr>
          <w:b/>
          <w:spacing w:val="-3"/>
          <w:sz w:val="22"/>
        </w:rPr>
        <w:t> </w:t>
      </w:r>
      <w:r>
        <w:rPr>
          <w:b/>
          <w:sz w:val="22"/>
        </w:rPr>
        <w:t>Collaboration</w:t>
      </w:r>
      <w:r>
        <w:rPr>
          <w:b/>
          <w:spacing w:val="-3"/>
          <w:sz w:val="22"/>
        </w:rPr>
        <w:t> </w:t>
      </w:r>
      <w:r>
        <w:rPr>
          <w:b/>
          <w:sz w:val="22"/>
        </w:rPr>
        <w:t>(UCC):</w:t>
      </w:r>
      <w:r>
        <w:rPr>
          <w:b/>
          <w:spacing w:val="-4"/>
          <w:sz w:val="22"/>
        </w:rPr>
        <w:t> </w:t>
      </w:r>
      <w:r>
        <w:rPr>
          <w:sz w:val="22"/>
        </w:rPr>
        <w:t>A</w:t>
      </w:r>
      <w:r>
        <w:rPr>
          <w:spacing w:val="-4"/>
          <w:sz w:val="22"/>
        </w:rPr>
        <w:t> </w:t>
      </w:r>
      <w:r>
        <w:rPr>
          <w:sz w:val="22"/>
        </w:rPr>
        <w:t>collection</w:t>
      </w:r>
      <w:r>
        <w:rPr>
          <w:spacing w:val="-3"/>
          <w:sz w:val="22"/>
        </w:rPr>
        <w:t> </w:t>
      </w:r>
      <w:r>
        <w:rPr>
          <w:sz w:val="22"/>
        </w:rPr>
        <w:t>of</w:t>
      </w:r>
      <w:r>
        <w:rPr>
          <w:spacing w:val="-3"/>
          <w:sz w:val="22"/>
        </w:rPr>
        <w:t> </w:t>
      </w:r>
      <w:r>
        <w:rPr>
          <w:sz w:val="22"/>
        </w:rPr>
        <w:t>solutions</w:t>
      </w:r>
      <w:r>
        <w:rPr>
          <w:spacing w:val="-6"/>
          <w:sz w:val="22"/>
        </w:rPr>
        <w:t> </w:t>
      </w:r>
      <w:r>
        <w:rPr>
          <w:sz w:val="22"/>
        </w:rPr>
        <w:t>designed</w:t>
      </w:r>
      <w:r>
        <w:rPr>
          <w:spacing w:val="-3"/>
          <w:sz w:val="22"/>
        </w:rPr>
        <w:t> </w:t>
      </w:r>
      <w:r>
        <w:rPr>
          <w:sz w:val="22"/>
        </w:rPr>
        <w:t>to</w:t>
      </w:r>
      <w:r>
        <w:rPr>
          <w:spacing w:val="-3"/>
          <w:sz w:val="22"/>
        </w:rPr>
        <w:t> </w:t>
      </w:r>
      <w:r>
        <w:rPr>
          <w:sz w:val="22"/>
        </w:rPr>
        <w:t>facilitate</w:t>
      </w:r>
      <w:r>
        <w:rPr>
          <w:spacing w:val="-52"/>
          <w:sz w:val="22"/>
        </w:rPr>
        <w:t> </w:t>
      </w:r>
      <w:r>
        <w:rPr>
          <w:sz w:val="22"/>
        </w:rPr>
        <w:t>communication and collaboration, including in real-time, such as required by remote work or</w:t>
      </w:r>
      <w:r>
        <w:rPr>
          <w:spacing w:val="1"/>
          <w:sz w:val="22"/>
        </w:rPr>
        <w:t> </w:t>
      </w:r>
      <w:r>
        <w:rPr>
          <w:sz w:val="22"/>
        </w:rPr>
        <w:t>collaboration</w:t>
      </w:r>
      <w:r>
        <w:rPr>
          <w:spacing w:val="-2"/>
          <w:sz w:val="22"/>
        </w:rPr>
        <w:t> </w:t>
      </w:r>
      <w:r>
        <w:rPr>
          <w:sz w:val="22"/>
        </w:rPr>
        <w:t>between locations.</w:t>
      </w:r>
    </w:p>
    <w:p>
      <w:pPr>
        <w:spacing w:before="120"/>
        <w:ind w:left="118" w:right="433" w:firstLine="0"/>
        <w:jc w:val="left"/>
        <w:rPr>
          <w:sz w:val="22"/>
        </w:rPr>
      </w:pPr>
      <w:r>
        <w:rPr>
          <w:b/>
          <w:sz w:val="22"/>
        </w:rPr>
        <w:t>Universal Security Capabilities</w:t>
      </w:r>
      <w:r>
        <w:rPr>
          <w:sz w:val="22"/>
        </w:rPr>
        <w:t>: Enterprise-level capabilities that outline guiding principles for TIC use</w:t>
      </w:r>
      <w:r>
        <w:rPr>
          <w:spacing w:val="-53"/>
          <w:sz w:val="22"/>
        </w:rPr>
        <w:t> </w:t>
      </w:r>
      <w:r>
        <w:rPr>
          <w:sz w:val="22"/>
        </w:rPr>
        <w:t>cases.</w:t>
      </w:r>
    </w:p>
    <w:p>
      <w:pPr>
        <w:pStyle w:val="BodyText"/>
        <w:spacing w:before="121"/>
        <w:ind w:left="118"/>
      </w:pPr>
      <w:r>
        <w:rPr>
          <w:b/>
        </w:rPr>
        <w:t>Web:</w:t>
      </w:r>
      <w:r>
        <w:rPr>
          <w:b/>
          <w:spacing w:val="-4"/>
        </w:rPr>
        <w:t> </w:t>
      </w:r>
      <w:r>
        <w:rPr/>
        <w:t>An</w:t>
      </w:r>
      <w:r>
        <w:rPr>
          <w:spacing w:val="-3"/>
        </w:rPr>
        <w:t> </w:t>
      </w:r>
      <w:r>
        <w:rPr/>
        <w:t>environment</w:t>
      </w:r>
      <w:r>
        <w:rPr>
          <w:spacing w:val="-3"/>
        </w:rPr>
        <w:t> </w:t>
      </w:r>
      <w:r>
        <w:rPr/>
        <w:t>used</w:t>
      </w:r>
      <w:r>
        <w:rPr>
          <w:spacing w:val="-2"/>
        </w:rPr>
        <w:t> </w:t>
      </w:r>
      <w:r>
        <w:rPr/>
        <w:t>for</w:t>
      </w:r>
      <w:r>
        <w:rPr>
          <w:spacing w:val="-3"/>
        </w:rPr>
        <w:t> </w:t>
      </w:r>
      <w:r>
        <w:rPr/>
        <w:t>web</w:t>
      </w:r>
      <w:r>
        <w:rPr>
          <w:spacing w:val="-3"/>
        </w:rPr>
        <w:t> </w:t>
      </w:r>
      <w:r>
        <w:rPr/>
        <w:t>browsing</w:t>
      </w:r>
      <w:r>
        <w:rPr>
          <w:spacing w:val="-3"/>
        </w:rPr>
        <w:t> </w:t>
      </w:r>
      <w:r>
        <w:rPr/>
        <w:t>purposes.</w:t>
      </w:r>
      <w:r>
        <w:rPr>
          <w:spacing w:val="-2"/>
        </w:rPr>
        <w:t> </w:t>
      </w:r>
      <w:r>
        <w:rPr/>
        <w:t>Also</w:t>
      </w:r>
      <w:r>
        <w:rPr>
          <w:spacing w:val="-3"/>
        </w:rPr>
        <w:t> </w:t>
      </w:r>
      <w:r>
        <w:rPr/>
        <w:t>see</w:t>
      </w:r>
      <w:r>
        <w:rPr>
          <w:spacing w:val="-4"/>
        </w:rPr>
        <w:t> </w:t>
      </w:r>
      <w:r>
        <w:rPr/>
        <w:t>Internet.</w:t>
      </w:r>
    </w:p>
    <w:p>
      <w:pPr>
        <w:pStyle w:val="BodyText"/>
        <w:spacing w:before="119"/>
        <w:ind w:left="117" w:right="379"/>
      </w:pPr>
      <w:r>
        <w:rPr>
          <w:b/>
        </w:rPr>
        <w:t>Zero Trust: </w:t>
      </w:r>
      <w:r>
        <w:rPr/>
        <w:t>A security model based on the principle of maintaining strict access controls and not trusting</w:t>
      </w:r>
      <w:r>
        <w:rPr>
          <w:spacing w:val="-52"/>
        </w:rPr>
        <w:t> </w:t>
      </w:r>
      <w:r>
        <w:rPr/>
        <w:t>anyone</w:t>
      </w:r>
      <w:r>
        <w:rPr>
          <w:spacing w:val="-2"/>
        </w:rPr>
        <w:t> </w:t>
      </w:r>
      <w:r>
        <w:rPr/>
        <w:t>by</w:t>
      </w:r>
      <w:r>
        <w:rPr>
          <w:spacing w:val="-1"/>
        </w:rPr>
        <w:t> </w:t>
      </w:r>
      <w:r>
        <w:rPr/>
        <w:t>default,</w:t>
      </w:r>
      <w:r>
        <w:rPr>
          <w:spacing w:val="-1"/>
        </w:rPr>
        <w:t> </w:t>
      </w:r>
      <w:r>
        <w:rPr/>
        <w:t>even those</w:t>
      </w:r>
      <w:r>
        <w:rPr>
          <w:spacing w:val="-1"/>
        </w:rPr>
        <w:t> </w:t>
      </w:r>
      <w:r>
        <w:rPr/>
        <w:t>already</w:t>
      </w:r>
      <w:r>
        <w:rPr>
          <w:spacing w:val="-1"/>
        </w:rPr>
        <w:t> </w:t>
      </w:r>
      <w:r>
        <w:rPr/>
        <w:t>inside</w:t>
      </w:r>
      <w:r>
        <w:rPr>
          <w:spacing w:val="-1"/>
        </w:rPr>
        <w:t> </w:t>
      </w:r>
      <w:r>
        <w:rPr/>
        <w:t>the</w:t>
      </w:r>
      <w:r>
        <w:rPr>
          <w:spacing w:val="-2"/>
        </w:rPr>
        <w:t> </w:t>
      </w:r>
      <w:r>
        <w:rPr/>
        <w:t>network perimeter.</w:t>
      </w:r>
    </w:p>
    <w:sectPr>
      <w:pgSz w:w="12240" w:h="15840"/>
      <w:pgMar w:header="730" w:footer="764" w:top="960" w:bottom="960" w:left="1320" w:right="10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Franklin Gothic Medium">
    <w:altName w:val="Franklin Gothic Medium"/>
    <w:charset w:val="0"/>
    <w:family w:val="swiss"/>
    <w:pitch w:val="variable"/>
  </w:font>
  <w:font w:name="Franklin Gothic Demi">
    <w:altName w:val="Franklin Gothic Demi"/>
    <w:charset w:val="0"/>
    <w:family w:val="auto"/>
    <w:pitch w:val="default"/>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757.212952pt;width:201.2pt;height:14.2pt;mso-position-horizontal-relative:page;mso-position-vertical-relative:page;z-index:-16749568" type="#_x0000_t202" id="docshape3" filled="false" stroked="false">
          <v:textbox inset="0,0,0,0">
            <w:txbxContent>
              <w:p>
                <w:pPr>
                  <w:pStyle w:val="BodyText"/>
                  <w:spacing w:before="10"/>
                  <w:ind w:left="20"/>
                </w:pPr>
                <w:r>
                  <w:rPr/>
                  <w:t>Vol.</w:t>
                </w:r>
                <w:r>
                  <w:rPr>
                    <w:spacing w:val="-3"/>
                  </w:rPr>
                  <w:t> </w:t>
                </w:r>
                <w:r>
                  <w:rPr/>
                  <w:t>3:</w:t>
                </w:r>
                <w:r>
                  <w:rPr>
                    <w:spacing w:val="-3"/>
                  </w:rPr>
                  <w:t> </w:t>
                </w:r>
                <w:r>
                  <w:rPr/>
                  <w:t>TIC</w:t>
                </w:r>
                <w:r>
                  <w:rPr>
                    <w:spacing w:val="-2"/>
                  </w:rPr>
                  <w:t> </w:t>
                </w:r>
                <w:r>
                  <w:rPr/>
                  <w:t>3.0</w:t>
                </w:r>
                <w:r>
                  <w:rPr>
                    <w:spacing w:val="-3"/>
                  </w:rPr>
                  <w:t> </w:t>
                </w:r>
                <w:r>
                  <w:rPr/>
                  <w:t>Security</w:t>
                </w:r>
                <w:r>
                  <w:rPr>
                    <w:spacing w:val="-3"/>
                  </w:rPr>
                  <w:t> </w:t>
                </w:r>
                <w:r>
                  <w:rPr/>
                  <w:t>Capabilities</w:t>
                </w:r>
                <w:r>
                  <w:rPr>
                    <w:spacing w:val="-3"/>
                  </w:rPr>
                  <w:t> </w:t>
                </w:r>
                <w:r>
                  <w:rPr/>
                  <w:t>Catalog</w:t>
                </w:r>
              </w:p>
            </w:txbxContent>
          </v:textbox>
          <w10:wrap type="none"/>
        </v:shape>
      </w:pict>
    </w:r>
    <w:r>
      <w:rPr/>
      <w:pict>
        <v:shape style="position:absolute;margin-left:467.234985pt;margin-top:757.212585pt;width:62.4pt;height:14.2pt;mso-position-horizontal-relative:page;mso-position-vertical-relative:page;z-index:-16749056" type="#_x0000_t202" id="docshape4" filled="false" stroked="false">
          <v:textbox inset="0,0,0,0">
            <w:txbxContent>
              <w:p>
                <w:pPr>
                  <w:pStyle w:val="BodyText"/>
                  <w:spacing w:before="10"/>
                  <w:ind w:left="20"/>
                </w:pPr>
                <w:r>
                  <w:rPr/>
                  <w:t>October</w:t>
                </w:r>
                <w:r>
                  <w:rPr>
                    <w:spacing w:val="-2"/>
                  </w:rPr>
                  <w:t> </w:t>
                </w:r>
                <w:r>
                  <w:rPr/>
                  <w:t>2021</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011002pt;margin-top:742.818176pt;width:201.2pt;height:14.2pt;mso-position-horizontal-relative:page;mso-position-vertical-relative:page;z-index:-16748032" type="#_x0000_t202" id="docshape6" filled="false" stroked="false">
          <v:textbox inset="0,0,0,0">
            <w:txbxContent>
              <w:p>
                <w:pPr>
                  <w:pStyle w:val="BodyText"/>
                  <w:spacing w:before="10"/>
                  <w:ind w:left="20"/>
                </w:pPr>
                <w:r>
                  <w:rPr/>
                  <w:t>Vol.</w:t>
                </w:r>
                <w:r>
                  <w:rPr>
                    <w:spacing w:val="-3"/>
                  </w:rPr>
                  <w:t> </w:t>
                </w:r>
                <w:r>
                  <w:rPr/>
                  <w:t>3:</w:t>
                </w:r>
                <w:r>
                  <w:rPr>
                    <w:spacing w:val="-3"/>
                  </w:rPr>
                  <w:t> </w:t>
                </w:r>
                <w:r>
                  <w:rPr/>
                  <w:t>TIC</w:t>
                </w:r>
                <w:r>
                  <w:rPr>
                    <w:spacing w:val="-2"/>
                  </w:rPr>
                  <w:t> </w:t>
                </w:r>
                <w:r>
                  <w:rPr/>
                  <w:t>3.0</w:t>
                </w:r>
                <w:r>
                  <w:rPr>
                    <w:spacing w:val="-3"/>
                  </w:rPr>
                  <w:t> </w:t>
                </w:r>
                <w:r>
                  <w:rPr/>
                  <w:t>Security</w:t>
                </w:r>
                <w:r>
                  <w:rPr>
                    <w:spacing w:val="-3"/>
                  </w:rPr>
                  <w:t> </w:t>
                </w:r>
                <w:r>
                  <w:rPr/>
                  <w:t>Capabilities</w:t>
                </w:r>
                <w:r>
                  <w:rPr>
                    <w:spacing w:val="-3"/>
                  </w:rPr>
                  <w:t> </w:t>
                </w:r>
                <w:r>
                  <w:rPr/>
                  <w:t>Catalog</w:t>
                </w:r>
              </w:p>
            </w:txbxContent>
          </v:textbox>
          <w10:wrap type="none"/>
        </v:shape>
      </w:pict>
    </w:r>
    <w:r>
      <w:rPr/>
      <w:pict>
        <v:shape style="position:absolute;margin-left:467.246002pt;margin-top:742.818604pt;width:62.4pt;height:14.2pt;mso-position-horizontal-relative:page;mso-position-vertical-relative:page;z-index:-16747520" type="#_x0000_t202" id="docshape7" filled="false" stroked="false">
          <v:textbox inset="0,0,0,0">
            <w:txbxContent>
              <w:p>
                <w:pPr>
                  <w:pStyle w:val="BodyText"/>
                  <w:spacing w:before="10"/>
                  <w:ind w:left="20"/>
                </w:pPr>
                <w:r>
                  <w:rPr/>
                  <w:t>October</w:t>
                </w:r>
                <w:r>
                  <w:rPr>
                    <w:spacing w:val="-2"/>
                  </w:rPr>
                  <w:t> </w:t>
                </w:r>
                <w:r>
                  <w:rPr/>
                  <w:t>2021</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2pt;margin-top:690.659973pt;width:144pt;height:.54pt;mso-position-horizontal-relative:page;mso-position-vertical-relative:page;z-index:-16746496" id="docshape13" filled="true" fillcolor="#000000" stroked="false">
          <v:fill type="solid"/>
          <w10:wrap type="none"/>
        </v:rect>
      </w:pict>
    </w:r>
    <w:r>
      <w:rPr/>
      <w:pict>
        <v:shape style="position:absolute;margin-left:71.011002pt;margin-top:742.818176pt;width:201.2pt;height:14.2pt;mso-position-horizontal-relative:page;mso-position-vertical-relative:page;z-index:-16745984" type="#_x0000_t202" id="docshape14" filled="false" stroked="false">
          <v:textbox inset="0,0,0,0">
            <w:txbxContent>
              <w:p>
                <w:pPr>
                  <w:pStyle w:val="BodyText"/>
                  <w:spacing w:before="10"/>
                  <w:ind w:left="20"/>
                </w:pPr>
                <w:r>
                  <w:rPr/>
                  <w:t>Vol.</w:t>
                </w:r>
                <w:r>
                  <w:rPr>
                    <w:spacing w:val="-3"/>
                  </w:rPr>
                  <w:t> </w:t>
                </w:r>
                <w:r>
                  <w:rPr/>
                  <w:t>3:</w:t>
                </w:r>
                <w:r>
                  <w:rPr>
                    <w:spacing w:val="-3"/>
                  </w:rPr>
                  <w:t> </w:t>
                </w:r>
                <w:r>
                  <w:rPr/>
                  <w:t>TIC</w:t>
                </w:r>
                <w:r>
                  <w:rPr>
                    <w:spacing w:val="-2"/>
                  </w:rPr>
                  <w:t> </w:t>
                </w:r>
                <w:r>
                  <w:rPr/>
                  <w:t>3.0</w:t>
                </w:r>
                <w:r>
                  <w:rPr>
                    <w:spacing w:val="-3"/>
                  </w:rPr>
                  <w:t> </w:t>
                </w:r>
                <w:r>
                  <w:rPr/>
                  <w:t>Security</w:t>
                </w:r>
                <w:r>
                  <w:rPr>
                    <w:spacing w:val="-3"/>
                  </w:rPr>
                  <w:t> </w:t>
                </w:r>
                <w:r>
                  <w:rPr/>
                  <w:t>Capabilities</w:t>
                </w:r>
                <w:r>
                  <w:rPr>
                    <w:spacing w:val="-3"/>
                  </w:rPr>
                  <w:t> </w:t>
                </w:r>
                <w:r>
                  <w:rPr/>
                  <w:t>Catalog</w:t>
                </w:r>
              </w:p>
            </w:txbxContent>
          </v:textbox>
          <w10:wrap type="none"/>
        </v:shape>
      </w:pict>
    </w:r>
    <w:r>
      <w:rPr/>
      <w:pict>
        <v:shape style="position:absolute;margin-left:467.246002pt;margin-top:742.818604pt;width:62.4pt;height:14.2pt;mso-position-horizontal-relative:page;mso-position-vertical-relative:page;z-index:-16745472" type="#_x0000_t202" id="docshape15" filled="false" stroked="false">
          <v:textbox inset="0,0,0,0">
            <w:txbxContent>
              <w:p>
                <w:pPr>
                  <w:pStyle w:val="BodyText"/>
                  <w:spacing w:before="10"/>
                  <w:ind w:left="20"/>
                </w:pPr>
                <w:r>
                  <w:rPr/>
                  <w:t>October</w:t>
                </w:r>
                <w:r>
                  <w:rPr>
                    <w:spacing w:val="-2"/>
                  </w:rPr>
                  <w:t> </w:t>
                </w:r>
                <w:r>
                  <w:rPr/>
                  <w:t>2021</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011002pt;margin-top:742.818176pt;width:201.2pt;height:14.2pt;mso-position-horizontal-relative:page;mso-position-vertical-relative:page;z-index:-16744448" type="#_x0000_t202" id="docshape17" filled="false" stroked="false">
          <v:textbox inset="0,0,0,0">
            <w:txbxContent>
              <w:p>
                <w:pPr>
                  <w:pStyle w:val="BodyText"/>
                  <w:spacing w:before="10"/>
                  <w:ind w:left="20"/>
                </w:pPr>
                <w:r>
                  <w:rPr/>
                  <w:t>Vol.</w:t>
                </w:r>
                <w:r>
                  <w:rPr>
                    <w:spacing w:val="-3"/>
                  </w:rPr>
                  <w:t> </w:t>
                </w:r>
                <w:r>
                  <w:rPr/>
                  <w:t>3:</w:t>
                </w:r>
                <w:r>
                  <w:rPr>
                    <w:spacing w:val="-3"/>
                  </w:rPr>
                  <w:t> </w:t>
                </w:r>
                <w:r>
                  <w:rPr/>
                  <w:t>TIC</w:t>
                </w:r>
                <w:r>
                  <w:rPr>
                    <w:spacing w:val="-2"/>
                  </w:rPr>
                  <w:t> </w:t>
                </w:r>
                <w:r>
                  <w:rPr/>
                  <w:t>3.0</w:t>
                </w:r>
                <w:r>
                  <w:rPr>
                    <w:spacing w:val="-3"/>
                  </w:rPr>
                  <w:t> </w:t>
                </w:r>
                <w:r>
                  <w:rPr/>
                  <w:t>Security</w:t>
                </w:r>
                <w:r>
                  <w:rPr>
                    <w:spacing w:val="-3"/>
                  </w:rPr>
                  <w:t> </w:t>
                </w:r>
                <w:r>
                  <w:rPr/>
                  <w:t>Capabilities</w:t>
                </w:r>
                <w:r>
                  <w:rPr>
                    <w:spacing w:val="-3"/>
                  </w:rPr>
                  <w:t> </w:t>
                </w:r>
                <w:r>
                  <w:rPr/>
                  <w:t>Catalog</w:t>
                </w:r>
              </w:p>
            </w:txbxContent>
          </v:textbox>
          <w10:wrap type="none"/>
        </v:shape>
      </w:pict>
    </w:r>
    <w:r>
      <w:rPr/>
      <w:pict>
        <v:shape style="position:absolute;margin-left:467.246002pt;margin-top:742.818604pt;width:62.4pt;height:14.2pt;mso-position-horizontal-relative:page;mso-position-vertical-relative:page;z-index:-16743936" type="#_x0000_t202" id="docshape18" filled="false" stroked="false">
          <v:textbox inset="0,0,0,0">
            <w:txbxContent>
              <w:p>
                <w:pPr>
                  <w:pStyle w:val="BodyText"/>
                  <w:spacing w:before="10"/>
                  <w:ind w:left="20"/>
                </w:pPr>
                <w:r>
                  <w:rPr/>
                  <w:t>October</w:t>
                </w:r>
                <w:r>
                  <w:rPr>
                    <w:spacing w:val="-2"/>
                  </w:rPr>
                  <w:t> </w:t>
                </w:r>
                <w:r>
                  <w:rPr/>
                  <w:t>2021</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742.818176pt;width:201.2pt;height:14.2pt;mso-position-horizontal-relative:page;mso-position-vertical-relative:page;z-index:-16742912" type="#_x0000_t202" id="docshape20" filled="false" stroked="false">
          <v:textbox inset="0,0,0,0">
            <w:txbxContent>
              <w:p>
                <w:pPr>
                  <w:pStyle w:val="BodyText"/>
                  <w:spacing w:before="10"/>
                  <w:ind w:left="20"/>
                </w:pPr>
                <w:r>
                  <w:rPr/>
                  <w:t>Vol.</w:t>
                </w:r>
                <w:r>
                  <w:rPr>
                    <w:spacing w:val="-3"/>
                  </w:rPr>
                  <w:t> </w:t>
                </w:r>
                <w:r>
                  <w:rPr/>
                  <w:t>3:</w:t>
                </w:r>
                <w:r>
                  <w:rPr>
                    <w:spacing w:val="-3"/>
                  </w:rPr>
                  <w:t> </w:t>
                </w:r>
                <w:r>
                  <w:rPr/>
                  <w:t>TIC</w:t>
                </w:r>
                <w:r>
                  <w:rPr>
                    <w:spacing w:val="-2"/>
                  </w:rPr>
                  <w:t> </w:t>
                </w:r>
                <w:r>
                  <w:rPr/>
                  <w:t>3.0</w:t>
                </w:r>
                <w:r>
                  <w:rPr>
                    <w:spacing w:val="-3"/>
                  </w:rPr>
                  <w:t> </w:t>
                </w:r>
                <w:r>
                  <w:rPr/>
                  <w:t>Security</w:t>
                </w:r>
                <w:r>
                  <w:rPr>
                    <w:spacing w:val="-3"/>
                  </w:rPr>
                  <w:t> </w:t>
                </w:r>
                <w:r>
                  <w:rPr/>
                  <w:t>Capabilities</w:t>
                </w:r>
                <w:r>
                  <w:rPr>
                    <w:spacing w:val="-3"/>
                  </w:rPr>
                  <w:t> </w:t>
                </w:r>
                <w:r>
                  <w:rPr/>
                  <w:t>Catalog</w:t>
                </w:r>
              </w:p>
            </w:txbxContent>
          </v:textbox>
          <w10:wrap type="none"/>
        </v:shape>
      </w:pict>
    </w:r>
    <w:r>
      <w:rPr/>
      <w:pict>
        <v:shape style="position:absolute;margin-left:467.234985pt;margin-top:742.818176pt;width:62.4pt;height:14.2pt;mso-position-horizontal-relative:page;mso-position-vertical-relative:page;z-index:-16742400" type="#_x0000_t202" id="docshape21" filled="false" stroked="false">
          <v:textbox inset="0,0,0,0">
            <w:txbxContent>
              <w:p>
                <w:pPr>
                  <w:pStyle w:val="BodyText"/>
                  <w:spacing w:before="10"/>
                  <w:ind w:left="20"/>
                </w:pPr>
                <w:r>
                  <w:rPr/>
                  <w:t>October</w:t>
                </w:r>
                <w:r>
                  <w:rPr>
                    <w:spacing w:val="-2"/>
                  </w:rPr>
                  <w:t> </w:t>
                </w:r>
                <w:r>
                  <w:rPr/>
                  <w:t>2021</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2pt;margin-top:685.799988pt;width:144pt;height:.54pt;mso-position-horizontal-relative:page;mso-position-vertical-relative:page;z-index:-16741376" id="docshape24" filled="true" fillcolor="#000000" stroked="false">
          <v:fill type="solid"/>
          <w10:wrap type="none"/>
        </v:rect>
      </w:pict>
    </w:r>
    <w:r>
      <w:rPr/>
      <w:pict>
        <v:shape style="position:absolute;margin-left:71pt;margin-top:742.818176pt;width:201.2pt;height:14.2pt;mso-position-horizontal-relative:page;mso-position-vertical-relative:page;z-index:-16740864" type="#_x0000_t202" id="docshape25" filled="false" stroked="false">
          <v:textbox inset="0,0,0,0">
            <w:txbxContent>
              <w:p>
                <w:pPr>
                  <w:pStyle w:val="BodyText"/>
                  <w:spacing w:before="10"/>
                  <w:ind w:left="20"/>
                </w:pPr>
                <w:r>
                  <w:rPr/>
                  <w:t>Vol.</w:t>
                </w:r>
                <w:r>
                  <w:rPr>
                    <w:spacing w:val="-3"/>
                  </w:rPr>
                  <w:t> </w:t>
                </w:r>
                <w:r>
                  <w:rPr/>
                  <w:t>3:</w:t>
                </w:r>
                <w:r>
                  <w:rPr>
                    <w:spacing w:val="-3"/>
                  </w:rPr>
                  <w:t> </w:t>
                </w:r>
                <w:r>
                  <w:rPr/>
                  <w:t>TIC</w:t>
                </w:r>
                <w:r>
                  <w:rPr>
                    <w:spacing w:val="-2"/>
                  </w:rPr>
                  <w:t> </w:t>
                </w:r>
                <w:r>
                  <w:rPr/>
                  <w:t>3.0</w:t>
                </w:r>
                <w:r>
                  <w:rPr>
                    <w:spacing w:val="-3"/>
                  </w:rPr>
                  <w:t> </w:t>
                </w:r>
                <w:r>
                  <w:rPr/>
                  <w:t>Security</w:t>
                </w:r>
                <w:r>
                  <w:rPr>
                    <w:spacing w:val="-3"/>
                  </w:rPr>
                  <w:t> </w:t>
                </w:r>
                <w:r>
                  <w:rPr/>
                  <w:t>Capabilities</w:t>
                </w:r>
                <w:r>
                  <w:rPr>
                    <w:spacing w:val="-3"/>
                  </w:rPr>
                  <w:t> </w:t>
                </w:r>
                <w:r>
                  <w:rPr/>
                  <w:t>Catalog</w:t>
                </w:r>
              </w:p>
            </w:txbxContent>
          </v:textbox>
          <w10:wrap type="none"/>
        </v:shape>
      </w:pict>
    </w:r>
    <w:r>
      <w:rPr/>
      <w:pict>
        <v:shape style="position:absolute;margin-left:467.234985pt;margin-top:742.818176pt;width:62.4pt;height:14.2pt;mso-position-horizontal-relative:page;mso-position-vertical-relative:page;z-index:-16740352" type="#_x0000_t202" id="docshape26" filled="false" stroked="false">
          <v:textbox inset="0,0,0,0">
            <w:txbxContent>
              <w:p>
                <w:pPr>
                  <w:pStyle w:val="BodyText"/>
                  <w:spacing w:before="10"/>
                  <w:ind w:left="20"/>
                </w:pPr>
                <w:r>
                  <w:rPr/>
                  <w:t>October</w:t>
                </w:r>
                <w:r>
                  <w:rPr>
                    <w:spacing w:val="-2"/>
                  </w:rPr>
                  <w:t> </w:t>
                </w:r>
                <w:r>
                  <w:rPr/>
                  <w:t>2021</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742.818176pt;width:201.2pt;height:14.2pt;mso-position-horizontal-relative:page;mso-position-vertical-relative:page;z-index:-16739328" type="#_x0000_t202" id="docshape28" filled="false" stroked="false">
          <v:textbox inset="0,0,0,0">
            <w:txbxContent>
              <w:p>
                <w:pPr>
                  <w:pStyle w:val="BodyText"/>
                  <w:spacing w:before="10"/>
                  <w:ind w:left="20"/>
                </w:pPr>
                <w:r>
                  <w:rPr/>
                  <w:t>Vol.</w:t>
                </w:r>
                <w:r>
                  <w:rPr>
                    <w:spacing w:val="-3"/>
                  </w:rPr>
                  <w:t> </w:t>
                </w:r>
                <w:r>
                  <w:rPr/>
                  <w:t>3:</w:t>
                </w:r>
                <w:r>
                  <w:rPr>
                    <w:spacing w:val="-3"/>
                  </w:rPr>
                  <w:t> </w:t>
                </w:r>
                <w:r>
                  <w:rPr/>
                  <w:t>TIC</w:t>
                </w:r>
                <w:r>
                  <w:rPr>
                    <w:spacing w:val="-2"/>
                  </w:rPr>
                  <w:t> </w:t>
                </w:r>
                <w:r>
                  <w:rPr/>
                  <w:t>3.0</w:t>
                </w:r>
                <w:r>
                  <w:rPr>
                    <w:spacing w:val="-3"/>
                  </w:rPr>
                  <w:t> </w:t>
                </w:r>
                <w:r>
                  <w:rPr/>
                  <w:t>Security</w:t>
                </w:r>
                <w:r>
                  <w:rPr>
                    <w:spacing w:val="-3"/>
                  </w:rPr>
                  <w:t> </w:t>
                </w:r>
                <w:r>
                  <w:rPr/>
                  <w:t>Capabilities</w:t>
                </w:r>
                <w:r>
                  <w:rPr>
                    <w:spacing w:val="-3"/>
                  </w:rPr>
                  <w:t> </w:t>
                </w:r>
                <w:r>
                  <w:rPr/>
                  <w:t>Catalog</w:t>
                </w:r>
              </w:p>
            </w:txbxContent>
          </v:textbox>
          <w10:wrap type="none"/>
        </v:shape>
      </w:pict>
    </w:r>
    <w:r>
      <w:rPr/>
      <w:pict>
        <v:shape style="position:absolute;margin-left:467.234985pt;margin-top:742.818176pt;width:62.4pt;height:14.2pt;mso-position-horizontal-relative:page;mso-position-vertical-relative:page;z-index:-16738816" type="#_x0000_t202" id="docshape29" filled="false" stroked="false">
          <v:textbox inset="0,0,0,0">
            <w:txbxContent>
              <w:p>
                <w:pPr>
                  <w:pStyle w:val="BodyText"/>
                  <w:spacing w:before="10"/>
                  <w:ind w:left="20"/>
                </w:pPr>
                <w:r>
                  <w:rPr/>
                  <w:t>October</w:t>
                </w:r>
                <w:r>
                  <w:rPr>
                    <w:spacing w:val="-2"/>
                  </w:rPr>
                  <w:t> </w:t>
                </w:r>
                <w:r>
                  <w:rPr/>
                  <w:t>2021</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69pt;margin-top:35.475578pt;width:16.2pt;height:14.2pt;mso-position-horizontal-relative:page;mso-position-vertical-relative:page;z-index:-16750080" type="#_x0000_t202" id="docshape2" filled="false" stroked="false">
          <v:textbox inset="0,0,0,0">
            <w:txbxContent>
              <w:p>
                <w:pPr>
                  <w:pStyle w:val="BodyText"/>
                  <w:spacing w:before="10"/>
                  <w:ind w:left="60"/>
                </w:pPr>
                <w:r>
                  <w:rPr/>
                  <w:fldChar w:fldCharType="begin"/>
                </w:r>
                <w:r>
                  <w:rPr/>
                  <w:instrText> PAGE  \* roman </w:instrText>
                </w:r>
                <w:r>
                  <w:rPr/>
                  <w:fldChar w:fldCharType="separate"/>
                </w:r>
                <w:r>
                  <w:rPr/>
                  <w:t>iii</w:t>
                </w:r>
                <w:r>
                  <w:rPr/>
                  <w:fldChar w:fldCharType="end"/>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pt;margin-top:35.475578pt;width:12.5pt;height:14.2pt;mso-position-horizontal-relative:page;mso-position-vertical-relative:page;z-index:-16748544" type="#_x0000_t202" id="docshape5" filled="false" stroked="false">
          <v:textbox inset="0,0,0,0">
            <w:txbxContent>
              <w:p>
                <w:pPr>
                  <w:pStyle w:val="BodyText"/>
                  <w:spacing w:before="10"/>
                  <w:ind w:left="60"/>
                </w:pPr>
                <w:r>
                  <w:rPr/>
                  <w:fldChar w:fldCharType="begin"/>
                </w:r>
                <w:r>
                  <w:rPr>
                    <w:w w:val="99"/>
                  </w:rPr>
                  <w:instrText> PAGE </w:instrText>
                </w:r>
                <w:r>
                  <w:rPr/>
                  <w:fldChar w:fldCharType="separate"/>
                </w:r>
                <w:r>
                  <w:rPr/>
                  <w:t>1</w:t>
                </w:r>
                <w:r>
                  <w:rPr/>
                  <w:fldChar w:fldCharType="end"/>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pt;margin-top:35.475578pt;width:12.5pt;height:14.2pt;mso-position-horizontal-relative:page;mso-position-vertical-relative:page;z-index:-16747008" type="#_x0000_t202" id="docshape12" filled="false" stroked="false">
          <v:textbox inset="0,0,0,0">
            <w:txbxContent>
              <w:p>
                <w:pPr>
                  <w:pStyle w:val="BodyText"/>
                  <w:spacing w:before="10"/>
                  <w:ind w:left="60"/>
                </w:pPr>
                <w:r>
                  <w:rPr/>
                  <w:fldChar w:fldCharType="begin"/>
                </w:r>
                <w:r>
                  <w:rPr>
                    <w:w w:val="99"/>
                  </w:rPr>
                  <w:instrText> PAGE </w:instrText>
                </w:r>
                <w:r>
                  <w:rPr/>
                  <w:fldChar w:fldCharType="separate"/>
                </w:r>
                <w:r>
                  <w:rPr/>
                  <w:t>4</w:t>
                </w:r>
                <w:r>
                  <w:rPr/>
                  <w:fldChar w:fldCharType="end"/>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pt;margin-top:35.475578pt;width:12.5pt;height:14.2pt;mso-position-horizontal-relative:page;mso-position-vertical-relative:page;z-index:-16744960" type="#_x0000_t202" id="docshape16" filled="false" stroked="false">
          <v:textbox inset="0,0,0,0">
            <w:txbxContent>
              <w:p>
                <w:pPr>
                  <w:pStyle w:val="BodyText"/>
                  <w:spacing w:before="10"/>
                  <w:ind w:left="60"/>
                </w:pPr>
                <w:r>
                  <w:rPr/>
                  <w:fldChar w:fldCharType="begin"/>
                </w:r>
                <w:r>
                  <w:rPr>
                    <w:w w:val="99"/>
                  </w:rPr>
                  <w:instrText> PAGE </w:instrText>
                </w:r>
                <w:r>
                  <w:rPr/>
                  <w:fldChar w:fldCharType="separate"/>
                </w:r>
                <w:r>
                  <w:rPr/>
                  <w:t>5</w:t>
                </w:r>
                <w:r>
                  <w:rPr/>
                  <w:fldChar w:fldCharType="end"/>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pt;margin-top:35.475578pt;width:18.05pt;height:14.2pt;mso-position-horizontal-relative:page;mso-position-vertical-relative:page;z-index:-16743424" type="#_x0000_t202" id="docshape19" filled="false" stroked="false">
          <v:textbox inset="0,0,0,0">
            <w:txbxContent>
              <w:p>
                <w:pPr>
                  <w:pStyle w:val="BodyText"/>
                  <w:spacing w:before="10"/>
                  <w:ind w:left="60"/>
                </w:pPr>
                <w:r>
                  <w:rPr/>
                  <w:fldChar w:fldCharType="begin"/>
                </w:r>
                <w:r>
                  <w:rPr/>
                  <w:instrText> PAGE </w:instrText>
                </w:r>
                <w:r>
                  <w:rPr/>
                  <w:fldChar w:fldCharType="separate"/>
                </w:r>
                <w:r>
                  <w:rPr/>
                  <w:t>10</w:t>
                </w:r>
                <w:r>
                  <w:rPr/>
                  <w:fldChar w:fldCharType="end"/>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pt;margin-top:35.475578pt;width:18.05pt;height:14.2pt;mso-position-horizontal-relative:page;mso-position-vertical-relative:page;z-index:-16741888" type="#_x0000_t202" id="docshape23" filled="false" stroked="false">
          <v:textbox inset="0,0,0,0">
            <w:txbxContent>
              <w:p>
                <w:pPr>
                  <w:pStyle w:val="BodyText"/>
                  <w:spacing w:before="10"/>
                  <w:ind w:left="60"/>
                </w:pPr>
                <w:r>
                  <w:rPr/>
                  <w:fldChar w:fldCharType="begin"/>
                </w:r>
                <w:r>
                  <w:rPr/>
                  <w:instrText> PAGE </w:instrText>
                </w:r>
                <w:r>
                  <w:rPr/>
                  <w:fldChar w:fldCharType="separate"/>
                </w:r>
                <w:r>
                  <w:rPr/>
                  <w:t>11</w:t>
                </w:r>
                <w:r>
                  <w:rPr/>
                  <w:fldChar w:fldCharType="end"/>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pt;margin-top:35.475578pt;width:18.05pt;height:14.2pt;mso-position-horizontal-relative:page;mso-position-vertical-relative:page;z-index:-16739840" type="#_x0000_t202" id="docshape27" filled="false" stroked="false">
          <v:textbox inset="0,0,0,0">
            <w:txbxContent>
              <w:p>
                <w:pPr>
                  <w:pStyle w:val="BodyText"/>
                  <w:spacing w:before="10"/>
                  <w:ind w:left="60"/>
                </w:pPr>
                <w:r>
                  <w:rPr/>
                  <w:fldChar w:fldCharType="begin"/>
                </w:r>
                <w:r>
                  <w:rPr/>
                  <w:instrText> PAGE </w:instrText>
                </w:r>
                <w:r>
                  <w:rPr/>
                  <w:fldChar w:fldCharType="separate"/>
                </w:r>
                <w:r>
                  <w:rPr/>
                  <w:t>12</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
      <w:numFmt w:val="decimal"/>
      <w:lvlText w:val="%1."/>
      <w:lvlJc w:val="left"/>
      <w:pPr>
        <w:ind w:left="1199" w:hanging="360"/>
        <w:jc w:val="left"/>
      </w:pPr>
      <w:rPr>
        <w:rFonts w:hint="default" w:ascii="Times New Roman" w:hAnsi="Times New Roman" w:eastAsia="Times New Roman" w:cs="Times New Roman"/>
        <w:b w:val="0"/>
        <w:bCs w:val="0"/>
        <w:i w:val="0"/>
        <w:iCs w:val="0"/>
        <w:w w:val="99"/>
        <w:sz w:val="22"/>
        <w:szCs w:val="22"/>
        <w:lang w:val="en-us" w:eastAsia="en-US" w:bidi="ar-SA"/>
      </w:rPr>
    </w:lvl>
    <w:lvl w:ilvl="1">
      <w:start w:val="0"/>
      <w:numFmt w:val="bullet"/>
      <w:lvlText w:val="•"/>
      <w:lvlJc w:val="left"/>
      <w:pPr>
        <w:ind w:left="2064" w:hanging="360"/>
      </w:pPr>
      <w:rPr>
        <w:rFonts w:hint="default"/>
        <w:lang w:val="en-us" w:eastAsia="en-US" w:bidi="ar-SA"/>
      </w:rPr>
    </w:lvl>
    <w:lvl w:ilvl="2">
      <w:start w:val="0"/>
      <w:numFmt w:val="bullet"/>
      <w:lvlText w:val="•"/>
      <w:lvlJc w:val="left"/>
      <w:pPr>
        <w:ind w:left="2928" w:hanging="360"/>
      </w:pPr>
      <w:rPr>
        <w:rFonts w:hint="default"/>
        <w:lang w:val="en-us" w:eastAsia="en-US" w:bidi="ar-SA"/>
      </w:rPr>
    </w:lvl>
    <w:lvl w:ilvl="3">
      <w:start w:val="0"/>
      <w:numFmt w:val="bullet"/>
      <w:lvlText w:val="•"/>
      <w:lvlJc w:val="left"/>
      <w:pPr>
        <w:ind w:left="3792" w:hanging="360"/>
      </w:pPr>
      <w:rPr>
        <w:rFonts w:hint="default"/>
        <w:lang w:val="en-us" w:eastAsia="en-US" w:bidi="ar-SA"/>
      </w:rPr>
    </w:lvl>
    <w:lvl w:ilvl="4">
      <w:start w:val="0"/>
      <w:numFmt w:val="bullet"/>
      <w:lvlText w:val="•"/>
      <w:lvlJc w:val="left"/>
      <w:pPr>
        <w:ind w:left="4656" w:hanging="360"/>
      </w:pPr>
      <w:rPr>
        <w:rFonts w:hint="default"/>
        <w:lang w:val="en-us" w:eastAsia="en-US" w:bidi="ar-SA"/>
      </w:rPr>
    </w:lvl>
    <w:lvl w:ilvl="5">
      <w:start w:val="0"/>
      <w:numFmt w:val="bullet"/>
      <w:lvlText w:val="•"/>
      <w:lvlJc w:val="left"/>
      <w:pPr>
        <w:ind w:left="5520" w:hanging="360"/>
      </w:pPr>
      <w:rPr>
        <w:rFonts w:hint="default"/>
        <w:lang w:val="en-us" w:eastAsia="en-US" w:bidi="ar-SA"/>
      </w:rPr>
    </w:lvl>
    <w:lvl w:ilvl="6">
      <w:start w:val="0"/>
      <w:numFmt w:val="bullet"/>
      <w:lvlText w:val="•"/>
      <w:lvlJc w:val="left"/>
      <w:pPr>
        <w:ind w:left="6384" w:hanging="360"/>
      </w:pPr>
      <w:rPr>
        <w:rFonts w:hint="default"/>
        <w:lang w:val="en-us" w:eastAsia="en-US" w:bidi="ar-SA"/>
      </w:rPr>
    </w:lvl>
    <w:lvl w:ilvl="7">
      <w:start w:val="0"/>
      <w:numFmt w:val="bullet"/>
      <w:lvlText w:val="•"/>
      <w:lvlJc w:val="left"/>
      <w:pPr>
        <w:ind w:left="7248" w:hanging="360"/>
      </w:pPr>
      <w:rPr>
        <w:rFonts w:hint="default"/>
        <w:lang w:val="en-us" w:eastAsia="en-US" w:bidi="ar-SA"/>
      </w:rPr>
    </w:lvl>
    <w:lvl w:ilvl="8">
      <w:start w:val="0"/>
      <w:numFmt w:val="bullet"/>
      <w:lvlText w:val="•"/>
      <w:lvlJc w:val="left"/>
      <w:pPr>
        <w:ind w:left="8112" w:hanging="360"/>
      </w:pPr>
      <w:rPr>
        <w:rFonts w:hint="default"/>
        <w:lang w:val="en-us" w:eastAsia="en-US" w:bidi="ar-SA"/>
      </w:rPr>
    </w:lvl>
  </w:abstractNum>
  <w:abstractNum w:abstractNumId="5">
    <w:multiLevelType w:val="hybridMultilevel"/>
    <w:lvl w:ilvl="0">
      <w:start w:val="0"/>
      <w:numFmt w:val="bullet"/>
      <w:lvlText w:val=""/>
      <w:lvlJc w:val="left"/>
      <w:pPr>
        <w:ind w:left="480" w:hanging="360"/>
      </w:pPr>
      <w:rPr>
        <w:rFonts w:hint="default" w:ascii="Symbol" w:hAnsi="Symbol" w:eastAsia="Symbol" w:cs="Symbol"/>
        <w:b w:val="0"/>
        <w:bCs w:val="0"/>
        <w:i w:val="0"/>
        <w:iCs w:val="0"/>
        <w:w w:val="99"/>
        <w:sz w:val="22"/>
        <w:szCs w:val="22"/>
        <w:lang w:val="en-us" w:eastAsia="en-US" w:bidi="ar-SA"/>
      </w:rPr>
    </w:lvl>
    <w:lvl w:ilvl="1">
      <w:start w:val="0"/>
      <w:numFmt w:val="bullet"/>
      <w:lvlText w:val="•"/>
      <w:lvlJc w:val="left"/>
      <w:pPr>
        <w:ind w:left="876" w:hanging="360"/>
      </w:pPr>
      <w:rPr>
        <w:rFonts w:hint="default"/>
        <w:lang w:val="en-us" w:eastAsia="en-US" w:bidi="ar-SA"/>
      </w:rPr>
    </w:lvl>
    <w:lvl w:ilvl="2">
      <w:start w:val="0"/>
      <w:numFmt w:val="bullet"/>
      <w:lvlText w:val="•"/>
      <w:lvlJc w:val="left"/>
      <w:pPr>
        <w:ind w:left="1272" w:hanging="360"/>
      </w:pPr>
      <w:rPr>
        <w:rFonts w:hint="default"/>
        <w:lang w:val="en-us" w:eastAsia="en-US" w:bidi="ar-SA"/>
      </w:rPr>
    </w:lvl>
    <w:lvl w:ilvl="3">
      <w:start w:val="0"/>
      <w:numFmt w:val="bullet"/>
      <w:lvlText w:val="•"/>
      <w:lvlJc w:val="left"/>
      <w:pPr>
        <w:ind w:left="1668" w:hanging="360"/>
      </w:pPr>
      <w:rPr>
        <w:rFonts w:hint="default"/>
        <w:lang w:val="en-us" w:eastAsia="en-US" w:bidi="ar-SA"/>
      </w:rPr>
    </w:lvl>
    <w:lvl w:ilvl="4">
      <w:start w:val="0"/>
      <w:numFmt w:val="bullet"/>
      <w:lvlText w:val="•"/>
      <w:lvlJc w:val="left"/>
      <w:pPr>
        <w:ind w:left="2064" w:hanging="360"/>
      </w:pPr>
      <w:rPr>
        <w:rFonts w:hint="default"/>
        <w:lang w:val="en-us" w:eastAsia="en-US" w:bidi="ar-SA"/>
      </w:rPr>
    </w:lvl>
    <w:lvl w:ilvl="5">
      <w:start w:val="0"/>
      <w:numFmt w:val="bullet"/>
      <w:lvlText w:val="•"/>
      <w:lvlJc w:val="left"/>
      <w:pPr>
        <w:ind w:left="2460" w:hanging="360"/>
      </w:pPr>
      <w:rPr>
        <w:rFonts w:hint="default"/>
        <w:lang w:val="en-us" w:eastAsia="en-US" w:bidi="ar-SA"/>
      </w:rPr>
    </w:lvl>
    <w:lvl w:ilvl="6">
      <w:start w:val="0"/>
      <w:numFmt w:val="bullet"/>
      <w:lvlText w:val="•"/>
      <w:lvlJc w:val="left"/>
      <w:pPr>
        <w:ind w:left="2856" w:hanging="360"/>
      </w:pPr>
      <w:rPr>
        <w:rFonts w:hint="default"/>
        <w:lang w:val="en-us" w:eastAsia="en-US" w:bidi="ar-SA"/>
      </w:rPr>
    </w:lvl>
    <w:lvl w:ilvl="7">
      <w:start w:val="0"/>
      <w:numFmt w:val="bullet"/>
      <w:lvlText w:val="•"/>
      <w:lvlJc w:val="left"/>
      <w:pPr>
        <w:ind w:left="3252" w:hanging="360"/>
      </w:pPr>
      <w:rPr>
        <w:rFonts w:hint="default"/>
        <w:lang w:val="en-us" w:eastAsia="en-US" w:bidi="ar-SA"/>
      </w:rPr>
    </w:lvl>
    <w:lvl w:ilvl="8">
      <w:start w:val="0"/>
      <w:numFmt w:val="bullet"/>
      <w:lvlText w:val="•"/>
      <w:lvlJc w:val="left"/>
      <w:pPr>
        <w:ind w:left="3648" w:hanging="360"/>
      </w:pPr>
      <w:rPr>
        <w:rFonts w:hint="default"/>
        <w:lang w:val="en-us" w:eastAsia="en-US" w:bidi="ar-SA"/>
      </w:rPr>
    </w:lvl>
  </w:abstractNum>
  <w:abstractNum w:abstractNumId="4">
    <w:multiLevelType w:val="hybridMultilevel"/>
    <w:lvl w:ilvl="0">
      <w:start w:val="4"/>
      <w:numFmt w:val="decimal"/>
      <w:lvlText w:val="%1"/>
      <w:lvlJc w:val="left"/>
      <w:pPr>
        <w:ind w:left="695" w:hanging="576"/>
        <w:jc w:val="left"/>
      </w:pPr>
      <w:rPr>
        <w:rFonts w:hint="default"/>
        <w:lang w:val="en-us" w:eastAsia="en-US" w:bidi="ar-SA"/>
      </w:rPr>
    </w:lvl>
    <w:lvl w:ilvl="1">
      <w:start w:val="1"/>
      <w:numFmt w:val="decimal"/>
      <w:lvlText w:val="%1.%2"/>
      <w:lvlJc w:val="left"/>
      <w:pPr>
        <w:ind w:left="695" w:hanging="576"/>
        <w:jc w:val="left"/>
      </w:pPr>
      <w:rPr>
        <w:rFonts w:hint="default" w:ascii="Times New Roman" w:hAnsi="Times New Roman" w:eastAsia="Times New Roman" w:cs="Times New Roman"/>
        <w:b w:val="0"/>
        <w:bCs w:val="0"/>
        <w:i w:val="0"/>
        <w:iCs w:val="0"/>
        <w:spacing w:val="-1"/>
        <w:w w:val="99"/>
        <w:sz w:val="28"/>
        <w:szCs w:val="28"/>
        <w:lang w:val="en-us" w:eastAsia="en-US" w:bidi="ar-SA"/>
      </w:rPr>
    </w:lvl>
    <w:lvl w:ilvl="2">
      <w:start w:val="0"/>
      <w:numFmt w:val="bullet"/>
      <w:lvlText w:val=""/>
      <w:lvlJc w:val="left"/>
      <w:pPr>
        <w:ind w:left="840" w:hanging="360"/>
      </w:pPr>
      <w:rPr>
        <w:rFonts w:hint="default" w:ascii="Symbol" w:hAnsi="Symbol" w:eastAsia="Symbol" w:cs="Symbol"/>
        <w:b w:val="0"/>
        <w:bCs w:val="0"/>
        <w:i w:val="0"/>
        <w:iCs w:val="0"/>
        <w:w w:val="99"/>
        <w:sz w:val="22"/>
        <w:szCs w:val="22"/>
        <w:lang w:val="en-us" w:eastAsia="en-US" w:bidi="ar-SA"/>
      </w:rPr>
    </w:lvl>
    <w:lvl w:ilvl="3">
      <w:start w:val="0"/>
      <w:numFmt w:val="bullet"/>
      <w:lvlText w:val="•"/>
      <w:lvlJc w:val="left"/>
      <w:pPr>
        <w:ind w:left="1446" w:hanging="360"/>
      </w:pPr>
      <w:rPr>
        <w:rFonts w:hint="default"/>
        <w:lang w:val="en-us" w:eastAsia="en-US" w:bidi="ar-SA"/>
      </w:rPr>
    </w:lvl>
    <w:lvl w:ilvl="4">
      <w:start w:val="0"/>
      <w:numFmt w:val="bullet"/>
      <w:lvlText w:val="•"/>
      <w:lvlJc w:val="left"/>
      <w:pPr>
        <w:ind w:left="1749" w:hanging="360"/>
      </w:pPr>
      <w:rPr>
        <w:rFonts w:hint="default"/>
        <w:lang w:val="en-us" w:eastAsia="en-US" w:bidi="ar-SA"/>
      </w:rPr>
    </w:lvl>
    <w:lvl w:ilvl="5">
      <w:start w:val="0"/>
      <w:numFmt w:val="bullet"/>
      <w:lvlText w:val="•"/>
      <w:lvlJc w:val="left"/>
      <w:pPr>
        <w:ind w:left="2052" w:hanging="360"/>
      </w:pPr>
      <w:rPr>
        <w:rFonts w:hint="default"/>
        <w:lang w:val="en-us" w:eastAsia="en-US" w:bidi="ar-SA"/>
      </w:rPr>
    </w:lvl>
    <w:lvl w:ilvl="6">
      <w:start w:val="0"/>
      <w:numFmt w:val="bullet"/>
      <w:lvlText w:val="•"/>
      <w:lvlJc w:val="left"/>
      <w:pPr>
        <w:ind w:left="2355" w:hanging="360"/>
      </w:pPr>
      <w:rPr>
        <w:rFonts w:hint="default"/>
        <w:lang w:val="en-us" w:eastAsia="en-US" w:bidi="ar-SA"/>
      </w:rPr>
    </w:lvl>
    <w:lvl w:ilvl="7">
      <w:start w:val="0"/>
      <w:numFmt w:val="bullet"/>
      <w:lvlText w:val="•"/>
      <w:lvlJc w:val="left"/>
      <w:pPr>
        <w:ind w:left="2658" w:hanging="360"/>
      </w:pPr>
      <w:rPr>
        <w:rFonts w:hint="default"/>
        <w:lang w:val="en-us" w:eastAsia="en-US" w:bidi="ar-SA"/>
      </w:rPr>
    </w:lvl>
    <w:lvl w:ilvl="8">
      <w:start w:val="0"/>
      <w:numFmt w:val="bullet"/>
      <w:lvlText w:val="•"/>
      <w:lvlJc w:val="left"/>
      <w:pPr>
        <w:ind w:left="2961" w:hanging="360"/>
      </w:pPr>
      <w:rPr>
        <w:rFonts w:hint="default"/>
        <w:lang w:val="en-us" w:eastAsia="en-US" w:bidi="ar-SA"/>
      </w:rPr>
    </w:lvl>
  </w:abstractNum>
  <w:abstractNum w:abstractNumId="3">
    <w:multiLevelType w:val="hybridMultilevel"/>
    <w:lvl w:ilvl="0">
      <w:start w:val="2"/>
      <w:numFmt w:val="decimal"/>
      <w:lvlText w:val="%1."/>
      <w:lvlJc w:val="left"/>
      <w:pPr>
        <w:ind w:left="551" w:hanging="432"/>
        <w:jc w:val="left"/>
      </w:pPr>
      <w:rPr>
        <w:rFonts w:hint="default" w:ascii="Times New Roman" w:hAnsi="Times New Roman" w:eastAsia="Times New Roman" w:cs="Times New Roman"/>
        <w:b w:val="0"/>
        <w:bCs w:val="0"/>
        <w:i w:val="0"/>
        <w:iCs w:val="0"/>
        <w:w w:val="100"/>
        <w:sz w:val="32"/>
        <w:szCs w:val="32"/>
        <w:lang w:val="en-us" w:eastAsia="en-US" w:bidi="ar-SA"/>
      </w:rPr>
    </w:lvl>
    <w:lvl w:ilvl="1">
      <w:start w:val="0"/>
      <w:numFmt w:val="bullet"/>
      <w:lvlText w:val=""/>
      <w:lvlJc w:val="left"/>
      <w:pPr>
        <w:ind w:left="838" w:hanging="360"/>
      </w:pPr>
      <w:rPr>
        <w:rFonts w:hint="default" w:ascii="Symbol" w:hAnsi="Symbol" w:eastAsia="Symbol" w:cs="Symbol"/>
        <w:b w:val="0"/>
        <w:bCs w:val="0"/>
        <w:i w:val="0"/>
        <w:iCs w:val="0"/>
        <w:w w:val="99"/>
        <w:sz w:val="22"/>
        <w:szCs w:val="22"/>
        <w:lang w:val="en-us" w:eastAsia="en-US" w:bidi="ar-SA"/>
      </w:rPr>
    </w:lvl>
    <w:lvl w:ilvl="2">
      <w:start w:val="0"/>
      <w:numFmt w:val="bullet"/>
      <w:lvlText w:val="•"/>
      <w:lvlJc w:val="left"/>
      <w:pPr>
        <w:ind w:left="1840" w:hanging="360"/>
      </w:pPr>
      <w:rPr>
        <w:rFonts w:hint="default"/>
        <w:lang w:val="en-us" w:eastAsia="en-US" w:bidi="ar-SA"/>
      </w:rPr>
    </w:lvl>
    <w:lvl w:ilvl="3">
      <w:start w:val="0"/>
      <w:numFmt w:val="bullet"/>
      <w:lvlText w:val="•"/>
      <w:lvlJc w:val="left"/>
      <w:pPr>
        <w:ind w:left="2840" w:hanging="360"/>
      </w:pPr>
      <w:rPr>
        <w:rFonts w:hint="default"/>
        <w:lang w:val="en-us" w:eastAsia="en-US" w:bidi="ar-SA"/>
      </w:rPr>
    </w:lvl>
    <w:lvl w:ilvl="4">
      <w:start w:val="0"/>
      <w:numFmt w:val="bullet"/>
      <w:lvlText w:val="•"/>
      <w:lvlJc w:val="left"/>
      <w:pPr>
        <w:ind w:left="3840" w:hanging="360"/>
      </w:pPr>
      <w:rPr>
        <w:rFonts w:hint="default"/>
        <w:lang w:val="en-us" w:eastAsia="en-US" w:bidi="ar-SA"/>
      </w:rPr>
    </w:lvl>
    <w:lvl w:ilvl="5">
      <w:start w:val="0"/>
      <w:numFmt w:val="bullet"/>
      <w:lvlText w:val="•"/>
      <w:lvlJc w:val="left"/>
      <w:pPr>
        <w:ind w:left="4840" w:hanging="360"/>
      </w:pPr>
      <w:rPr>
        <w:rFonts w:hint="default"/>
        <w:lang w:val="en-us" w:eastAsia="en-US" w:bidi="ar-SA"/>
      </w:rPr>
    </w:lvl>
    <w:lvl w:ilvl="6">
      <w:start w:val="0"/>
      <w:numFmt w:val="bullet"/>
      <w:lvlText w:val="•"/>
      <w:lvlJc w:val="left"/>
      <w:pPr>
        <w:ind w:left="5840" w:hanging="360"/>
      </w:pPr>
      <w:rPr>
        <w:rFonts w:hint="default"/>
        <w:lang w:val="en-us" w:eastAsia="en-US" w:bidi="ar-SA"/>
      </w:rPr>
    </w:lvl>
    <w:lvl w:ilvl="7">
      <w:start w:val="0"/>
      <w:numFmt w:val="bullet"/>
      <w:lvlText w:val="•"/>
      <w:lvlJc w:val="left"/>
      <w:pPr>
        <w:ind w:left="6840" w:hanging="360"/>
      </w:pPr>
      <w:rPr>
        <w:rFonts w:hint="default"/>
        <w:lang w:val="en-us" w:eastAsia="en-US" w:bidi="ar-SA"/>
      </w:rPr>
    </w:lvl>
    <w:lvl w:ilvl="8">
      <w:start w:val="0"/>
      <w:numFmt w:val="bullet"/>
      <w:lvlText w:val="•"/>
      <w:lvlJc w:val="left"/>
      <w:pPr>
        <w:ind w:left="7840" w:hanging="360"/>
      </w:pPr>
      <w:rPr>
        <w:rFonts w:hint="default"/>
        <w:lang w:val="en-us" w:eastAsia="en-US" w:bidi="ar-SA"/>
      </w:rPr>
    </w:lvl>
  </w:abstractNum>
  <w:abstractNum w:abstractNumId="2">
    <w:multiLevelType w:val="hybridMultilevel"/>
    <w:lvl w:ilvl="0">
      <w:start w:val="1"/>
      <w:numFmt w:val="decimal"/>
      <w:lvlText w:val="%1."/>
      <w:lvlJc w:val="left"/>
      <w:pPr>
        <w:ind w:left="1199" w:hanging="360"/>
        <w:jc w:val="left"/>
      </w:pPr>
      <w:rPr>
        <w:rFonts w:hint="default" w:ascii="Times New Roman" w:hAnsi="Times New Roman" w:eastAsia="Times New Roman" w:cs="Times New Roman"/>
        <w:b w:val="0"/>
        <w:bCs w:val="0"/>
        <w:i w:val="0"/>
        <w:iCs w:val="0"/>
        <w:w w:val="99"/>
        <w:sz w:val="22"/>
        <w:szCs w:val="22"/>
        <w:lang w:val="en-us" w:eastAsia="en-US" w:bidi="ar-SA"/>
      </w:rPr>
    </w:lvl>
    <w:lvl w:ilvl="1">
      <w:start w:val="0"/>
      <w:numFmt w:val="bullet"/>
      <w:lvlText w:val="•"/>
      <w:lvlJc w:val="left"/>
      <w:pPr>
        <w:ind w:left="2064" w:hanging="360"/>
      </w:pPr>
      <w:rPr>
        <w:rFonts w:hint="default"/>
        <w:lang w:val="en-us" w:eastAsia="en-US" w:bidi="ar-SA"/>
      </w:rPr>
    </w:lvl>
    <w:lvl w:ilvl="2">
      <w:start w:val="0"/>
      <w:numFmt w:val="bullet"/>
      <w:lvlText w:val="•"/>
      <w:lvlJc w:val="left"/>
      <w:pPr>
        <w:ind w:left="2928" w:hanging="360"/>
      </w:pPr>
      <w:rPr>
        <w:rFonts w:hint="default"/>
        <w:lang w:val="en-us" w:eastAsia="en-US" w:bidi="ar-SA"/>
      </w:rPr>
    </w:lvl>
    <w:lvl w:ilvl="3">
      <w:start w:val="0"/>
      <w:numFmt w:val="bullet"/>
      <w:lvlText w:val="•"/>
      <w:lvlJc w:val="left"/>
      <w:pPr>
        <w:ind w:left="3792" w:hanging="360"/>
      </w:pPr>
      <w:rPr>
        <w:rFonts w:hint="default"/>
        <w:lang w:val="en-us" w:eastAsia="en-US" w:bidi="ar-SA"/>
      </w:rPr>
    </w:lvl>
    <w:lvl w:ilvl="4">
      <w:start w:val="0"/>
      <w:numFmt w:val="bullet"/>
      <w:lvlText w:val="•"/>
      <w:lvlJc w:val="left"/>
      <w:pPr>
        <w:ind w:left="4656" w:hanging="360"/>
      </w:pPr>
      <w:rPr>
        <w:rFonts w:hint="default"/>
        <w:lang w:val="en-us" w:eastAsia="en-US" w:bidi="ar-SA"/>
      </w:rPr>
    </w:lvl>
    <w:lvl w:ilvl="5">
      <w:start w:val="0"/>
      <w:numFmt w:val="bullet"/>
      <w:lvlText w:val="•"/>
      <w:lvlJc w:val="left"/>
      <w:pPr>
        <w:ind w:left="5520" w:hanging="360"/>
      </w:pPr>
      <w:rPr>
        <w:rFonts w:hint="default"/>
        <w:lang w:val="en-us" w:eastAsia="en-US" w:bidi="ar-SA"/>
      </w:rPr>
    </w:lvl>
    <w:lvl w:ilvl="6">
      <w:start w:val="0"/>
      <w:numFmt w:val="bullet"/>
      <w:lvlText w:val="•"/>
      <w:lvlJc w:val="left"/>
      <w:pPr>
        <w:ind w:left="6384" w:hanging="360"/>
      </w:pPr>
      <w:rPr>
        <w:rFonts w:hint="default"/>
        <w:lang w:val="en-us" w:eastAsia="en-US" w:bidi="ar-SA"/>
      </w:rPr>
    </w:lvl>
    <w:lvl w:ilvl="7">
      <w:start w:val="0"/>
      <w:numFmt w:val="bullet"/>
      <w:lvlText w:val="•"/>
      <w:lvlJc w:val="left"/>
      <w:pPr>
        <w:ind w:left="7248" w:hanging="360"/>
      </w:pPr>
      <w:rPr>
        <w:rFonts w:hint="default"/>
        <w:lang w:val="en-us" w:eastAsia="en-US" w:bidi="ar-SA"/>
      </w:rPr>
    </w:lvl>
    <w:lvl w:ilvl="8">
      <w:start w:val="0"/>
      <w:numFmt w:val="bullet"/>
      <w:lvlText w:val="•"/>
      <w:lvlJc w:val="left"/>
      <w:pPr>
        <w:ind w:left="8112" w:hanging="360"/>
      </w:pPr>
      <w:rPr>
        <w:rFonts w:hint="default"/>
        <w:lang w:val="en-us" w:eastAsia="en-US" w:bidi="ar-SA"/>
      </w:rPr>
    </w:lvl>
  </w:abstractNum>
  <w:abstractNum w:abstractNumId="1">
    <w:multiLevelType w:val="hybridMultilevel"/>
    <w:lvl w:ilvl="0">
      <w:start w:val="1"/>
      <w:numFmt w:val="decimal"/>
      <w:lvlText w:val="%1."/>
      <w:lvlJc w:val="left"/>
      <w:pPr>
        <w:ind w:left="551" w:hanging="432"/>
        <w:jc w:val="left"/>
      </w:pPr>
      <w:rPr>
        <w:rFonts w:hint="default" w:ascii="Times New Roman" w:hAnsi="Times New Roman" w:eastAsia="Times New Roman" w:cs="Times New Roman"/>
        <w:b w:val="0"/>
        <w:bCs w:val="0"/>
        <w:i w:val="0"/>
        <w:iCs w:val="0"/>
        <w:w w:val="100"/>
        <w:sz w:val="32"/>
        <w:szCs w:val="32"/>
        <w:lang w:val="en-us" w:eastAsia="en-US" w:bidi="ar-SA"/>
      </w:rPr>
    </w:lvl>
    <w:lvl w:ilvl="1">
      <w:start w:val="1"/>
      <w:numFmt w:val="decimal"/>
      <w:lvlText w:val="%1.%2"/>
      <w:lvlJc w:val="left"/>
      <w:pPr>
        <w:ind w:left="695" w:hanging="576"/>
        <w:jc w:val="left"/>
      </w:pPr>
      <w:rPr>
        <w:rFonts w:hint="default" w:ascii="Times New Roman" w:hAnsi="Times New Roman" w:eastAsia="Times New Roman" w:cs="Times New Roman"/>
        <w:b w:val="0"/>
        <w:bCs w:val="0"/>
        <w:i w:val="0"/>
        <w:iCs w:val="0"/>
        <w:spacing w:val="-1"/>
        <w:w w:val="99"/>
        <w:sz w:val="28"/>
        <w:szCs w:val="28"/>
        <w:lang w:val="en-us" w:eastAsia="en-US" w:bidi="ar-SA"/>
      </w:rPr>
    </w:lvl>
    <w:lvl w:ilvl="2">
      <w:start w:val="0"/>
      <w:numFmt w:val="bullet"/>
      <w:lvlText w:val="•"/>
      <w:lvlJc w:val="left"/>
      <w:pPr>
        <w:ind w:left="1715" w:hanging="576"/>
      </w:pPr>
      <w:rPr>
        <w:rFonts w:hint="default"/>
        <w:lang w:val="en-us" w:eastAsia="en-US" w:bidi="ar-SA"/>
      </w:rPr>
    </w:lvl>
    <w:lvl w:ilvl="3">
      <w:start w:val="0"/>
      <w:numFmt w:val="bullet"/>
      <w:lvlText w:val="•"/>
      <w:lvlJc w:val="left"/>
      <w:pPr>
        <w:ind w:left="2731" w:hanging="576"/>
      </w:pPr>
      <w:rPr>
        <w:rFonts w:hint="default"/>
        <w:lang w:val="en-us" w:eastAsia="en-US" w:bidi="ar-SA"/>
      </w:rPr>
    </w:lvl>
    <w:lvl w:ilvl="4">
      <w:start w:val="0"/>
      <w:numFmt w:val="bullet"/>
      <w:lvlText w:val="•"/>
      <w:lvlJc w:val="left"/>
      <w:pPr>
        <w:ind w:left="3746" w:hanging="576"/>
      </w:pPr>
      <w:rPr>
        <w:rFonts w:hint="default"/>
        <w:lang w:val="en-us" w:eastAsia="en-US" w:bidi="ar-SA"/>
      </w:rPr>
    </w:lvl>
    <w:lvl w:ilvl="5">
      <w:start w:val="0"/>
      <w:numFmt w:val="bullet"/>
      <w:lvlText w:val="•"/>
      <w:lvlJc w:val="left"/>
      <w:pPr>
        <w:ind w:left="4762" w:hanging="576"/>
      </w:pPr>
      <w:rPr>
        <w:rFonts w:hint="default"/>
        <w:lang w:val="en-us" w:eastAsia="en-US" w:bidi="ar-SA"/>
      </w:rPr>
    </w:lvl>
    <w:lvl w:ilvl="6">
      <w:start w:val="0"/>
      <w:numFmt w:val="bullet"/>
      <w:lvlText w:val="•"/>
      <w:lvlJc w:val="left"/>
      <w:pPr>
        <w:ind w:left="5777" w:hanging="576"/>
      </w:pPr>
      <w:rPr>
        <w:rFonts w:hint="default"/>
        <w:lang w:val="en-us" w:eastAsia="en-US" w:bidi="ar-SA"/>
      </w:rPr>
    </w:lvl>
    <w:lvl w:ilvl="7">
      <w:start w:val="0"/>
      <w:numFmt w:val="bullet"/>
      <w:lvlText w:val="•"/>
      <w:lvlJc w:val="left"/>
      <w:pPr>
        <w:ind w:left="6793" w:hanging="576"/>
      </w:pPr>
      <w:rPr>
        <w:rFonts w:hint="default"/>
        <w:lang w:val="en-us" w:eastAsia="en-US" w:bidi="ar-SA"/>
      </w:rPr>
    </w:lvl>
    <w:lvl w:ilvl="8">
      <w:start w:val="0"/>
      <w:numFmt w:val="bullet"/>
      <w:lvlText w:val="•"/>
      <w:lvlJc w:val="left"/>
      <w:pPr>
        <w:ind w:left="7808" w:hanging="576"/>
      </w:pPr>
      <w:rPr>
        <w:rFonts w:hint="default"/>
        <w:lang w:val="en-us" w:eastAsia="en-US" w:bidi="ar-SA"/>
      </w:rPr>
    </w:lvl>
  </w:abstractNum>
  <w:abstractNum w:abstractNumId="0">
    <w:multiLevelType w:val="hybridMultilevel"/>
    <w:lvl w:ilvl="0">
      <w:start w:val="1"/>
      <w:numFmt w:val="decimal"/>
      <w:lvlText w:val="%1."/>
      <w:lvlJc w:val="left"/>
      <w:pPr>
        <w:ind w:left="600" w:hanging="481"/>
        <w:jc w:val="left"/>
      </w:pPr>
      <w:rPr>
        <w:rFonts w:hint="default" w:ascii="Times New Roman" w:hAnsi="Times New Roman" w:eastAsia="Times New Roman" w:cs="Times New Roman"/>
        <w:b w:val="0"/>
        <w:bCs w:val="0"/>
        <w:i w:val="0"/>
        <w:iCs w:val="0"/>
        <w:w w:val="99"/>
        <w:sz w:val="22"/>
        <w:szCs w:val="22"/>
        <w:lang w:val="en-us" w:eastAsia="en-US" w:bidi="ar-SA"/>
      </w:rPr>
    </w:lvl>
    <w:lvl w:ilvl="1">
      <w:start w:val="1"/>
      <w:numFmt w:val="decimal"/>
      <w:lvlText w:val="%1.%2"/>
      <w:lvlJc w:val="left"/>
      <w:pPr>
        <w:ind w:left="1110" w:hanging="750"/>
        <w:jc w:val="left"/>
      </w:pPr>
      <w:rPr>
        <w:rFonts w:hint="default" w:ascii="Times New Roman" w:hAnsi="Times New Roman" w:eastAsia="Times New Roman" w:cs="Times New Roman"/>
        <w:b w:val="0"/>
        <w:bCs w:val="0"/>
        <w:i w:val="0"/>
        <w:iCs w:val="0"/>
        <w:w w:val="99"/>
        <w:sz w:val="22"/>
        <w:szCs w:val="22"/>
        <w:lang w:val="en-us" w:eastAsia="en-US" w:bidi="ar-SA"/>
      </w:rPr>
    </w:lvl>
    <w:lvl w:ilvl="2">
      <w:start w:val="0"/>
      <w:numFmt w:val="bullet"/>
      <w:lvlText w:val="•"/>
      <w:lvlJc w:val="left"/>
      <w:pPr>
        <w:ind w:left="2088" w:hanging="750"/>
      </w:pPr>
      <w:rPr>
        <w:rFonts w:hint="default"/>
        <w:lang w:val="en-us" w:eastAsia="en-US" w:bidi="ar-SA"/>
      </w:rPr>
    </w:lvl>
    <w:lvl w:ilvl="3">
      <w:start w:val="0"/>
      <w:numFmt w:val="bullet"/>
      <w:lvlText w:val="•"/>
      <w:lvlJc w:val="left"/>
      <w:pPr>
        <w:ind w:left="3057" w:hanging="750"/>
      </w:pPr>
      <w:rPr>
        <w:rFonts w:hint="default"/>
        <w:lang w:val="en-us" w:eastAsia="en-US" w:bidi="ar-SA"/>
      </w:rPr>
    </w:lvl>
    <w:lvl w:ilvl="4">
      <w:start w:val="0"/>
      <w:numFmt w:val="bullet"/>
      <w:lvlText w:val="•"/>
      <w:lvlJc w:val="left"/>
      <w:pPr>
        <w:ind w:left="4026" w:hanging="750"/>
      </w:pPr>
      <w:rPr>
        <w:rFonts w:hint="default"/>
        <w:lang w:val="en-us" w:eastAsia="en-US" w:bidi="ar-SA"/>
      </w:rPr>
    </w:lvl>
    <w:lvl w:ilvl="5">
      <w:start w:val="0"/>
      <w:numFmt w:val="bullet"/>
      <w:lvlText w:val="•"/>
      <w:lvlJc w:val="left"/>
      <w:pPr>
        <w:ind w:left="4995" w:hanging="750"/>
      </w:pPr>
      <w:rPr>
        <w:rFonts w:hint="default"/>
        <w:lang w:val="en-us" w:eastAsia="en-US" w:bidi="ar-SA"/>
      </w:rPr>
    </w:lvl>
    <w:lvl w:ilvl="6">
      <w:start w:val="0"/>
      <w:numFmt w:val="bullet"/>
      <w:lvlText w:val="•"/>
      <w:lvlJc w:val="left"/>
      <w:pPr>
        <w:ind w:left="5964" w:hanging="750"/>
      </w:pPr>
      <w:rPr>
        <w:rFonts w:hint="default"/>
        <w:lang w:val="en-us" w:eastAsia="en-US" w:bidi="ar-SA"/>
      </w:rPr>
    </w:lvl>
    <w:lvl w:ilvl="7">
      <w:start w:val="0"/>
      <w:numFmt w:val="bullet"/>
      <w:lvlText w:val="•"/>
      <w:lvlJc w:val="left"/>
      <w:pPr>
        <w:ind w:left="6933" w:hanging="750"/>
      </w:pPr>
      <w:rPr>
        <w:rFonts w:hint="default"/>
        <w:lang w:val="en-us" w:eastAsia="en-US" w:bidi="ar-SA"/>
      </w:rPr>
    </w:lvl>
    <w:lvl w:ilvl="8">
      <w:start w:val="0"/>
      <w:numFmt w:val="bullet"/>
      <w:lvlText w:val="•"/>
      <w:lvlJc w:val="left"/>
      <w:pPr>
        <w:ind w:left="7902" w:hanging="750"/>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240"/>
      <w:ind w:left="120"/>
    </w:pPr>
    <w:rPr>
      <w:rFonts w:ascii="Times New Roman" w:hAnsi="Times New Roman" w:eastAsia="Times New Roman" w:cs="Times New Roman"/>
      <w:b/>
      <w:bCs/>
      <w:sz w:val="22"/>
      <w:szCs w:val="22"/>
      <w:lang w:val="en-us" w:eastAsia="en-US" w:bidi="ar-SA"/>
    </w:rPr>
  </w:style>
  <w:style w:styleId="TOC2" w:type="paragraph">
    <w:name w:val="TOC 2"/>
    <w:basedOn w:val="Normal"/>
    <w:uiPriority w:val="1"/>
    <w:qFormat/>
    <w:pPr>
      <w:ind w:left="120"/>
    </w:pPr>
    <w:rPr>
      <w:rFonts w:ascii="Times New Roman" w:hAnsi="Times New Roman" w:eastAsia="Times New Roman" w:cs="Times New Roman"/>
      <w:sz w:val="22"/>
      <w:szCs w:val="22"/>
      <w:lang w:val="en-us" w:eastAsia="en-US" w:bidi="ar-SA"/>
    </w:rPr>
  </w:style>
  <w:style w:styleId="TOC3" w:type="paragraph">
    <w:name w:val="TOC 3"/>
    <w:basedOn w:val="Normal"/>
    <w:uiPriority w:val="1"/>
    <w:qFormat/>
    <w:pPr>
      <w:ind w:left="1110" w:hanging="751"/>
    </w:pPr>
    <w:rPr>
      <w:rFonts w:ascii="Times New Roman" w:hAnsi="Times New Roman" w:eastAsia="Times New Roman" w:cs="Times New Roman"/>
      <w:sz w:val="22"/>
      <w:szCs w:val="22"/>
      <w:lang w:val="en-us" w:eastAsia="en-US" w:bidi="ar-SA"/>
    </w:rPr>
  </w:style>
  <w:style w:styleId="BodyText" w:type="paragraph">
    <w:name w:val="Body Text"/>
    <w:basedOn w:val="Normal"/>
    <w:uiPriority w:val="1"/>
    <w:qFormat/>
    <w:pPr/>
    <w:rPr>
      <w:rFonts w:ascii="Times New Roman" w:hAnsi="Times New Roman" w:eastAsia="Times New Roman" w:cs="Times New Roman"/>
      <w:sz w:val="22"/>
      <w:szCs w:val="22"/>
      <w:lang w:val="en-us" w:eastAsia="en-US" w:bidi="ar-SA"/>
    </w:rPr>
  </w:style>
  <w:style w:styleId="Heading1" w:type="paragraph">
    <w:name w:val="Heading 1"/>
    <w:basedOn w:val="Normal"/>
    <w:uiPriority w:val="1"/>
    <w:qFormat/>
    <w:pPr>
      <w:spacing w:before="237"/>
      <w:ind w:left="551" w:hanging="432"/>
      <w:outlineLvl w:val="1"/>
    </w:pPr>
    <w:rPr>
      <w:rFonts w:ascii="Times New Roman" w:hAnsi="Times New Roman" w:eastAsia="Times New Roman" w:cs="Times New Roman"/>
      <w:sz w:val="32"/>
      <w:szCs w:val="32"/>
      <w:lang w:val="en-us" w:eastAsia="en-US" w:bidi="ar-SA"/>
    </w:rPr>
  </w:style>
  <w:style w:styleId="Heading2" w:type="paragraph">
    <w:name w:val="Heading 2"/>
    <w:basedOn w:val="Normal"/>
    <w:uiPriority w:val="1"/>
    <w:qFormat/>
    <w:pPr>
      <w:ind w:left="695" w:hanging="576"/>
      <w:outlineLvl w:val="2"/>
    </w:pPr>
    <w:rPr>
      <w:rFonts w:ascii="Times New Roman" w:hAnsi="Times New Roman" w:eastAsia="Times New Roman" w:cs="Times New Roman"/>
      <w:sz w:val="28"/>
      <w:szCs w:val="28"/>
      <w:lang w:val="en-us" w:eastAsia="en-US" w:bidi="ar-SA"/>
    </w:rPr>
  </w:style>
  <w:style w:styleId="Heading3" w:type="paragraph">
    <w:name w:val="Heading 3"/>
    <w:basedOn w:val="Normal"/>
    <w:uiPriority w:val="1"/>
    <w:qFormat/>
    <w:pPr>
      <w:ind w:left="120"/>
      <w:outlineLvl w:val="3"/>
    </w:pPr>
    <w:rPr>
      <w:rFonts w:ascii="Times New Roman" w:hAnsi="Times New Roman" w:eastAsia="Times New Roman" w:cs="Times New Roman"/>
      <w:b/>
      <w:bCs/>
      <w:sz w:val="22"/>
      <w:szCs w:val="22"/>
      <w:lang w:val="en-us" w:eastAsia="en-US" w:bidi="ar-SA"/>
    </w:rPr>
  </w:style>
  <w:style w:styleId="Title" w:type="paragraph">
    <w:name w:val="Title"/>
    <w:basedOn w:val="Normal"/>
    <w:uiPriority w:val="1"/>
    <w:qFormat/>
    <w:pPr>
      <w:spacing w:before="260"/>
      <w:ind w:left="120" w:right="2826"/>
    </w:pPr>
    <w:rPr>
      <w:rFonts w:ascii="Franklin Gothic Demi" w:hAnsi="Franklin Gothic Demi" w:eastAsia="Franklin Gothic Demi" w:cs="Franklin Gothic Demi"/>
      <w:sz w:val="96"/>
      <w:szCs w:val="96"/>
      <w:lang w:val="en-us" w:eastAsia="en-US" w:bidi="ar-SA"/>
    </w:rPr>
  </w:style>
  <w:style w:styleId="ListParagraph" w:type="paragraph">
    <w:name w:val="List Paragraph"/>
    <w:basedOn w:val="Normal"/>
    <w:uiPriority w:val="1"/>
    <w:qFormat/>
    <w:pPr>
      <w:ind w:left="840" w:hanging="36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15"/>
      <w:ind w:left="129"/>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image" Target="media/image3.png"/><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hyperlink" Target="http://www.whitehouse.gov/wp-content/uploads/2019/09/M-19-26.pdf" TargetMode="External"/><Relationship Id="rId13" Type="http://schemas.openxmlformats.org/officeDocument/2006/relationships/hyperlink" Target="http://dx.doi.org/10.6028/NIST.SP.800-53r4" TargetMode="Externa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image" Target="media/image4.jpeg"/><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header" Target="header5.xml"/><Relationship Id="rId20" Type="http://schemas.openxmlformats.org/officeDocument/2006/relationships/footer" Target="footer5.xml"/><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hyperlink" Target="http://www.cisa.gov/publication/einstein-3-accelerated" TargetMode="External"/><Relationship Id="rId24" Type="http://schemas.openxmlformats.org/officeDocument/2006/relationships/header" Target="header7.xml"/><Relationship Id="rId25" Type="http://schemas.openxmlformats.org/officeDocument/2006/relationships/footer" Target="footer7.xml"/><Relationship Id="rId26" Type="http://schemas.openxmlformats.org/officeDocument/2006/relationships/hyperlink" Target="http://www.ietf.org/standards/rfcs/" TargetMode="External"/><Relationship Id="rId2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Cybersecurity and Infrastructure Security Agency</dc:creator>
  <dc:title>CISA TIC 3.0 Security Capabilities Catalog_Version 2</dc:title>
  <dcterms:created xsi:type="dcterms:W3CDTF">2021-10-26T12:50:30Z</dcterms:created>
  <dcterms:modified xsi:type="dcterms:W3CDTF">2021-10-26T12:50:30Z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2021-09-24T00:00:00Z</vt:filetime>
  </property>
  <property fmtid="{D5CDD505-2E9C-101B-9397-08002B2CF9AE}" pid="3" name="Creator">
    <vt:lpwstr>Acrobat PDFMaker 20 for Word</vt:lpwstr>
  </property>
  <property fmtid="{D5CDD505-2E9C-101B-9397-08002B2CF9AE}" pid="4" name="LastSaved">
    <vt:filetime>2021-10-26T00:00:00Z</vt:filetime>
  </property>
</Properties>
</file>