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2BC62" w14:textId="7BD2BE26" w:rsidR="0091546E" w:rsidRDefault="009A00A8" w:rsidP="009A00A8">
      <w:pPr>
        <w:pStyle w:val="Heading1"/>
        <w:rPr>
          <w:rtl/>
        </w:rPr>
      </w:pPr>
      <w:r>
        <w:rPr>
          <w:rFonts w:hint="cs"/>
          <w:rtl/>
        </w:rPr>
        <w:t>בענין מילת גירות</w:t>
      </w:r>
      <w:r w:rsidR="004F1C23">
        <w:rPr>
          <w:rStyle w:val="FootnoteReference"/>
          <w:rtl/>
        </w:rPr>
        <w:footnoteReference w:id="1"/>
      </w:r>
    </w:p>
    <w:p w14:paraId="697D822C" w14:textId="5CB24F6E" w:rsidR="00A631F1" w:rsidRDefault="00A631F1" w:rsidP="009A00A8">
      <w:pPr>
        <w:rPr>
          <w:rFonts w:cs="David"/>
          <w:rtl/>
        </w:rPr>
      </w:pPr>
      <w:r>
        <w:rPr>
          <w:rFonts w:hint="cs"/>
          <w:rtl/>
        </w:rPr>
        <w:t xml:space="preserve">איתא בגמ' כריתות ט' א', </w:t>
      </w:r>
      <w:r w:rsidRPr="00A631F1">
        <w:rPr>
          <w:rFonts w:cs="David"/>
          <w:rtl/>
        </w:rPr>
        <w:t>רבי אומר ככם כאבותיכם מה אבותיכם לא נכנסו לברית אלא במילה וטבילה והרצאת דם</w:t>
      </w:r>
      <w:r>
        <w:rPr>
          <w:rFonts w:cs="David" w:hint="cs"/>
          <w:rtl/>
        </w:rPr>
        <w:t>,</w:t>
      </w:r>
      <w:r w:rsidRPr="00A631F1">
        <w:rPr>
          <w:rFonts w:cs="David"/>
          <w:rtl/>
        </w:rPr>
        <w:t xml:space="preserve"> אף הם לא יכנסו לברית אלא במילה וטבילה והרצאת דמים</w:t>
      </w:r>
      <w:r>
        <w:rPr>
          <w:rFonts w:cs="David" w:hint="cs"/>
          <w:rtl/>
        </w:rPr>
        <w:t xml:space="preserve"> ע"כ, מבואר דילפי' סדר הגירות לדורות מסדר הגירות של אבותינו שנכנסו לברית בשעת מתן </w:t>
      </w:r>
      <w:r w:rsidR="002D7ACE">
        <w:rPr>
          <w:rFonts w:cs="David" w:hint="cs"/>
          <w:rtl/>
        </w:rPr>
        <w:t>תורה ע"י מילה וטבילה והרצאת דמים.</w:t>
      </w:r>
    </w:p>
    <w:p w14:paraId="3F9E0AD3" w14:textId="02D6F592" w:rsidR="002D7ACE" w:rsidRDefault="002D7ACE" w:rsidP="009A00A8">
      <w:pPr>
        <w:rPr>
          <w:rFonts w:cs="David"/>
          <w:rtl/>
        </w:rPr>
      </w:pPr>
      <w:r>
        <w:rPr>
          <w:rFonts w:cs="David" w:hint="cs"/>
          <w:rtl/>
        </w:rPr>
        <w:t xml:space="preserve">ובגמ' יבמות מ"ו א', </w:t>
      </w:r>
      <w:r w:rsidRPr="002D7ACE">
        <w:rPr>
          <w:rFonts w:cs="David"/>
          <w:rtl/>
        </w:rPr>
        <w:t>ת"ר גר שמל ולא טבל ר"א אומר הרי זה גר שכן מצינו באבותינו שמלו ולא טבלו</w:t>
      </w:r>
      <w:r>
        <w:rPr>
          <w:rFonts w:cs="David" w:hint="cs"/>
          <w:rtl/>
        </w:rPr>
        <w:t>,</w:t>
      </w:r>
      <w:r w:rsidRPr="002D7ACE">
        <w:rPr>
          <w:rFonts w:cs="David"/>
          <w:rtl/>
        </w:rPr>
        <w:t xml:space="preserve"> טבל ולא מל ר' יהושע אומר הרי זה גר שכן מצינו באמהות שטבלו ולא מלו</w:t>
      </w:r>
      <w:r>
        <w:rPr>
          <w:rFonts w:cs="David" w:hint="cs"/>
          <w:rtl/>
        </w:rPr>
        <w:t>,</w:t>
      </w:r>
      <w:r w:rsidRPr="002D7ACE">
        <w:rPr>
          <w:rFonts w:cs="David"/>
          <w:rtl/>
        </w:rPr>
        <w:t xml:space="preserve"> וחכמים אומרים טבל ולא מל מל ולא טבל אין גר עד שימול ויטבול</w:t>
      </w:r>
      <w:r>
        <w:rPr>
          <w:rFonts w:cs="David" w:hint="cs"/>
          <w:rtl/>
        </w:rPr>
        <w:t xml:space="preserve">. ומבו' בהמשך הגמ' דר' יהושע וחכמים חולקים על ר"א </w:t>
      </w:r>
      <w:r w:rsidR="00E1189F">
        <w:rPr>
          <w:rFonts w:cs="David" w:hint="cs"/>
          <w:rtl/>
        </w:rPr>
        <w:t>ו</w:t>
      </w:r>
      <w:r>
        <w:rPr>
          <w:rFonts w:cs="David" w:hint="cs"/>
          <w:rtl/>
        </w:rPr>
        <w:t xml:space="preserve">ס"ל דאבותינו מלו וטבלו, אלא דר"י ס"ל דילפי' מאמהות שנתגיירו ע"י טבילה לחוד, וחכמים ס"ל אין דנין אפשר משאי אפשר, ודוקא לנקבות סגי בטבילה לחוד </w:t>
      </w:r>
      <w:r w:rsidR="00E1189F">
        <w:rPr>
          <w:rFonts w:cs="David" w:hint="cs"/>
          <w:rtl/>
        </w:rPr>
        <w:t xml:space="preserve">דילפי' להו מאמהות, </w:t>
      </w:r>
      <w:r>
        <w:rPr>
          <w:rFonts w:cs="David" w:hint="cs"/>
          <w:rtl/>
        </w:rPr>
        <w:t>אבל זכרים ילפי' להו מאבות</w:t>
      </w:r>
      <w:r w:rsidR="00E1189F">
        <w:rPr>
          <w:rFonts w:cs="David" w:hint="cs"/>
          <w:rtl/>
        </w:rPr>
        <w:t xml:space="preserve"> וצריכים מילה וטבילה. והכי קיי"ל כחכמים דאינו גר עד שימול ויטבול</w:t>
      </w:r>
      <w:r w:rsidR="00E0359F">
        <w:rPr>
          <w:rStyle w:val="FootnoteReference"/>
          <w:rFonts w:cs="David"/>
          <w:rtl/>
        </w:rPr>
        <w:footnoteReference w:id="2"/>
      </w:r>
      <w:r w:rsidR="00E1189F">
        <w:rPr>
          <w:rFonts w:cs="David" w:hint="cs"/>
          <w:rtl/>
        </w:rPr>
        <w:t>.</w:t>
      </w:r>
    </w:p>
    <w:p w14:paraId="51488652" w14:textId="74B4A500" w:rsidR="00E1189F" w:rsidRDefault="00E1189F" w:rsidP="009A00A8">
      <w:pPr>
        <w:rPr>
          <w:rtl/>
        </w:rPr>
      </w:pPr>
      <w:r>
        <w:rPr>
          <w:rFonts w:hint="cs"/>
          <w:rtl/>
        </w:rPr>
        <w:t xml:space="preserve">ויש לחקור בגדר הך </w:t>
      </w:r>
      <w:r w:rsidR="00E0359F">
        <w:rPr>
          <w:rFonts w:hint="cs"/>
          <w:rtl/>
        </w:rPr>
        <w:t>דינא</w:t>
      </w:r>
      <w:r>
        <w:rPr>
          <w:rFonts w:hint="cs"/>
          <w:rtl/>
        </w:rPr>
        <w:t xml:space="preserve"> דאינו גר עד שימול ויטבול, האם היינו דהמילה והטבילה פועלים ב' חלקים נפרדים של הגירות, </w:t>
      </w:r>
      <w:r w:rsidR="00EE788F">
        <w:rPr>
          <w:rFonts w:hint="cs"/>
          <w:rtl/>
        </w:rPr>
        <w:t xml:space="preserve">שיש שלב א' מתוך מהלך הגירות שחלה מכח מילה, ושלב אחר שחלה מכח טבילה, </w:t>
      </w:r>
      <w:r>
        <w:rPr>
          <w:rFonts w:hint="cs"/>
          <w:rtl/>
        </w:rPr>
        <w:t>או לא, דלעולם כל הפעולת גירות היא רק פעולה אחת שנעשית מכח מילה וטבילה ביחד</w:t>
      </w:r>
      <w:r w:rsidR="00EE788F">
        <w:rPr>
          <w:rFonts w:hint="cs"/>
          <w:rtl/>
        </w:rPr>
        <w:t>, ומילה או טבילה בפנ"ע אינו פועל שום דבר או חלק של גירות כלל.</w:t>
      </w:r>
    </w:p>
    <w:p w14:paraId="2688D805" w14:textId="66AEBD6C" w:rsidR="00D8068F" w:rsidRDefault="00D8068F" w:rsidP="00D8068F">
      <w:pPr>
        <w:pStyle w:val="Heading3"/>
        <w:rPr>
          <w:rtl/>
        </w:rPr>
      </w:pPr>
      <w:r>
        <w:rPr>
          <w:rFonts w:hint="cs"/>
          <w:rtl/>
        </w:rPr>
        <w:t>ביאור פלוגתת הראשונים האם הסדר של מילה ואח"כ טבילה הוא לעיכובא</w:t>
      </w:r>
    </w:p>
    <w:p w14:paraId="00C53B89" w14:textId="68BAF367" w:rsidR="00045846" w:rsidRDefault="00045846" w:rsidP="009A00A8">
      <w:pPr>
        <w:rPr>
          <w:rtl/>
        </w:rPr>
      </w:pPr>
      <w:r>
        <w:rPr>
          <w:rFonts w:hint="cs"/>
          <w:rtl/>
        </w:rPr>
        <w:t>וי"ל ד</w:t>
      </w:r>
      <w:r w:rsidR="005F04B7">
        <w:rPr>
          <w:rFonts w:hint="cs"/>
          <w:rtl/>
        </w:rPr>
        <w:t>ד"ז תליא בפלוגתת ה</w:t>
      </w:r>
      <w:r>
        <w:rPr>
          <w:rFonts w:hint="cs"/>
          <w:rtl/>
        </w:rPr>
        <w:t>ראשונים</w:t>
      </w:r>
      <w:r w:rsidR="00726833">
        <w:rPr>
          <w:rFonts w:hint="cs"/>
          <w:rtl/>
        </w:rPr>
        <w:t>, ד</w:t>
      </w:r>
      <w:r w:rsidR="005F04B7">
        <w:rPr>
          <w:rFonts w:hint="cs"/>
          <w:rtl/>
        </w:rPr>
        <w:t xml:space="preserve">הנה </w:t>
      </w:r>
      <w:r w:rsidR="00726833">
        <w:rPr>
          <w:rFonts w:hint="cs"/>
          <w:rtl/>
        </w:rPr>
        <w:t xml:space="preserve">נחלקו הראשונים בסדר של מילה וטבילה, האם לעולם בעי' שימול ואח"כ יטבול, וכדאי' בברייתא בגמ' [יבמות מ"ו ב'] גר הבא להתגייר כו' מלין אותו מיד כו' נתרפא מטבילין אותו מיד, או דהך סדר אינו מעכב, ובדיעבד גם אם טבל ואח"כ מל חלה הגירות. דהרמב"ן </w:t>
      </w:r>
      <w:r w:rsidR="000259A8">
        <w:rPr>
          <w:rFonts w:hint="cs"/>
          <w:rtl/>
        </w:rPr>
        <w:t>[מ"ז ב'] הקשה מהא דאיתא להלן שם [ע"ח א'] מעוברת שנתגיירה בנה א"צ טבילה, הרי דאף דאכתי לא מל ויצטרך למול לכשיולד</w:t>
      </w:r>
      <w:r w:rsidR="00E0359F">
        <w:rPr>
          <w:rFonts w:hint="cs"/>
          <w:rtl/>
        </w:rPr>
        <w:t>,</w:t>
      </w:r>
      <w:r w:rsidR="000259A8">
        <w:rPr>
          <w:rFonts w:hint="cs"/>
          <w:rtl/>
        </w:rPr>
        <w:t xml:space="preserve"> אפ"ה עולה לו טבילת אמו,</w:t>
      </w:r>
      <w:r w:rsidR="007514D9">
        <w:rPr>
          <w:rFonts w:hint="cs"/>
          <w:rtl/>
        </w:rPr>
        <w:t xml:space="preserve"> אע"ג דנמצא דהטבילה היא קודם להמילה,</w:t>
      </w:r>
      <w:r w:rsidR="000259A8">
        <w:rPr>
          <w:rFonts w:hint="cs"/>
          <w:rtl/>
        </w:rPr>
        <w:t xml:space="preserve"> והוכיח מזה דבדיעבד אם טבל ואח"כ מל שפיר דמי. </w:t>
      </w:r>
      <w:r w:rsidR="00526A79">
        <w:rPr>
          <w:rFonts w:hint="cs"/>
          <w:rtl/>
        </w:rPr>
        <w:t>אכן תוס' ושאר הראשונים דחו ראיית הרמב"ן</w:t>
      </w:r>
      <w:r w:rsidR="009B442B">
        <w:rPr>
          <w:rStyle w:val="FootnoteReference"/>
          <w:rtl/>
        </w:rPr>
        <w:footnoteReference w:id="3"/>
      </w:r>
      <w:r w:rsidR="00526A79">
        <w:rPr>
          <w:rFonts w:hint="cs"/>
          <w:rtl/>
        </w:rPr>
        <w:t>, וס"ל דד"ז דבעי'</w:t>
      </w:r>
      <w:r w:rsidR="009B442B">
        <w:rPr>
          <w:rFonts w:hint="cs"/>
          <w:rtl/>
        </w:rPr>
        <w:t xml:space="preserve"> </w:t>
      </w:r>
      <w:r w:rsidR="00526A79">
        <w:rPr>
          <w:rFonts w:hint="cs"/>
          <w:rtl/>
        </w:rPr>
        <w:t>הך סדר של מילה ואח"כ טבילה הוא לעיכובא, ואם טבל תחילה לא חלה הגירות.</w:t>
      </w:r>
    </w:p>
    <w:p w14:paraId="69437767" w14:textId="712006A6" w:rsidR="007342DE" w:rsidRDefault="007342DE" w:rsidP="009A00A8">
      <w:pPr>
        <w:rPr>
          <w:rFonts w:cs="David"/>
          <w:rtl/>
        </w:rPr>
      </w:pPr>
      <w:r>
        <w:rPr>
          <w:rFonts w:hint="cs"/>
          <w:rtl/>
        </w:rPr>
        <w:t xml:space="preserve">ובביאור הך פלוגתא </w:t>
      </w:r>
      <w:r w:rsidR="009653B5">
        <w:rPr>
          <w:rFonts w:hint="cs"/>
          <w:rtl/>
        </w:rPr>
        <w:t xml:space="preserve">אפשר לומר, דהנה יעו' בלשון הרשב"א שם שביאר הא דבעי' מילה קודם טבילה דוקא וז"ל: </w:t>
      </w:r>
      <w:r w:rsidR="00CF2E9A" w:rsidRPr="007514D9">
        <w:rPr>
          <w:rFonts w:cs="David"/>
          <w:b/>
          <w:bCs/>
          <w:rtl/>
        </w:rPr>
        <w:t>כיון שהטבילה כוללת עיקר גירות</w:t>
      </w:r>
      <w:r w:rsidR="00CF2E9A" w:rsidRPr="00CF2E9A">
        <w:rPr>
          <w:rFonts w:cs="David"/>
          <w:rtl/>
        </w:rPr>
        <w:t xml:space="preserve"> ולצאת מטומאת גוים וליכנס בקדושת ישראל לפיכך צריכה בסוף</w:t>
      </w:r>
      <w:r w:rsidR="00CF2E9A">
        <w:rPr>
          <w:rFonts w:cs="David" w:hint="cs"/>
          <w:rtl/>
        </w:rPr>
        <w:t xml:space="preserve"> עכ"ל, ומשמע דר"ל דעיקר מעשה גירות היא טבילה והיא המוציאו מטומאת גוים ומכניסו בקדושת ישראל, והא דצ</w:t>
      </w:r>
      <w:r w:rsidR="007514D9">
        <w:rPr>
          <w:rFonts w:cs="David" w:hint="cs"/>
          <w:rtl/>
        </w:rPr>
        <w:t>ריך</w:t>
      </w:r>
      <w:r w:rsidR="00CF2E9A">
        <w:rPr>
          <w:rFonts w:cs="David" w:hint="cs"/>
          <w:rtl/>
        </w:rPr>
        <w:t xml:space="preserve"> מילה הוא דבר צדדי דאין הטבילה מועלת לפעול החלות גירות אא"כ אית לי' מילה ג"כ, ומש"ה צ' שהטבילה </w:t>
      </w:r>
      <w:r w:rsidR="007514D9">
        <w:rPr>
          <w:rFonts w:cs="David" w:hint="cs"/>
          <w:rtl/>
        </w:rPr>
        <w:t>תהא</w:t>
      </w:r>
      <w:r w:rsidR="00CF2E9A">
        <w:rPr>
          <w:rFonts w:cs="David" w:hint="cs"/>
          <w:rtl/>
        </w:rPr>
        <w:t xml:space="preserve"> לבסוף, דכיון דהטבילה היא הפועלת עצם הגירות בעי' שבשעת הטבילה הוא כבר ראוי להתגייר ע"י שהוא כבר מל והוא מוכשר שיחול עליו ח</w:t>
      </w:r>
      <w:r w:rsidR="007514D9">
        <w:rPr>
          <w:rFonts w:cs="David" w:hint="cs"/>
          <w:rtl/>
        </w:rPr>
        <w:t>ל</w:t>
      </w:r>
      <w:r w:rsidR="00CF2E9A">
        <w:rPr>
          <w:rFonts w:cs="David" w:hint="cs"/>
          <w:rtl/>
        </w:rPr>
        <w:t xml:space="preserve">ות גירות ע"י טבילה, אבל אם עדיין לא מל </w:t>
      </w:r>
      <w:r w:rsidR="007514D9">
        <w:rPr>
          <w:rFonts w:cs="David" w:hint="cs"/>
          <w:rtl/>
        </w:rPr>
        <w:t xml:space="preserve">הרי </w:t>
      </w:r>
      <w:r w:rsidR="00CF2E9A">
        <w:rPr>
          <w:rFonts w:cs="David" w:hint="cs"/>
          <w:rtl/>
        </w:rPr>
        <w:t>אין הטבילה יכולה לחול בשעתה</w:t>
      </w:r>
      <w:r w:rsidR="007514D9">
        <w:rPr>
          <w:rFonts w:cs="David" w:hint="cs"/>
          <w:rtl/>
        </w:rPr>
        <w:t>,</w:t>
      </w:r>
      <w:r w:rsidR="00CF2E9A">
        <w:rPr>
          <w:rFonts w:cs="David" w:hint="cs"/>
          <w:rtl/>
        </w:rPr>
        <w:t xml:space="preserve"> וממילא תו לא חיילא </w:t>
      </w:r>
      <w:r w:rsidR="007514D9">
        <w:rPr>
          <w:rFonts w:cs="David" w:hint="cs"/>
          <w:rtl/>
        </w:rPr>
        <w:t xml:space="preserve">גם </w:t>
      </w:r>
      <w:r w:rsidR="00CF2E9A">
        <w:rPr>
          <w:rFonts w:cs="David" w:hint="cs"/>
          <w:rtl/>
        </w:rPr>
        <w:t>אח"כ כשמל ונעשה ראוי להתגייר</w:t>
      </w:r>
      <w:r w:rsidR="007514D9">
        <w:rPr>
          <w:rFonts w:cs="David" w:hint="cs"/>
          <w:rtl/>
        </w:rPr>
        <w:t>,</w:t>
      </w:r>
      <w:r w:rsidR="00CF2E9A">
        <w:rPr>
          <w:rFonts w:cs="David" w:hint="cs"/>
          <w:rtl/>
        </w:rPr>
        <w:t xml:space="preserve"> דסוכ"ס בשעת המעשה גירות לא היתה יכולה לחול.</w:t>
      </w:r>
    </w:p>
    <w:p w14:paraId="4D6081DF" w14:textId="6AEC1824" w:rsidR="00CF2E9A" w:rsidRDefault="00CF2E9A" w:rsidP="009A00A8">
      <w:pPr>
        <w:rPr>
          <w:rFonts w:cs="David"/>
          <w:rtl/>
        </w:rPr>
      </w:pPr>
      <w:r>
        <w:rPr>
          <w:rFonts w:cs="David" w:hint="cs"/>
          <w:rtl/>
        </w:rPr>
        <w:t>ובדעת הרמב"ן דס"ל דאין הסדר מעכב, י"ל דפליג ע"ז וס"ל דאין הטבילה עיקר הג</w:t>
      </w:r>
      <w:r w:rsidR="007514D9">
        <w:rPr>
          <w:rFonts w:cs="David" w:hint="cs"/>
          <w:rtl/>
        </w:rPr>
        <w:t>י</w:t>
      </w:r>
      <w:r>
        <w:rPr>
          <w:rFonts w:cs="David" w:hint="cs"/>
          <w:rtl/>
        </w:rPr>
        <w:t>רת טפי ממיל</w:t>
      </w:r>
      <w:r w:rsidR="00877730">
        <w:rPr>
          <w:rFonts w:cs="David" w:hint="cs"/>
          <w:rtl/>
        </w:rPr>
        <w:t>ה,</w:t>
      </w:r>
      <w:r>
        <w:rPr>
          <w:rFonts w:cs="David" w:hint="cs"/>
          <w:rtl/>
        </w:rPr>
        <w:t xml:space="preserve"> אלא תרוו</w:t>
      </w:r>
      <w:r w:rsidR="00877730">
        <w:rPr>
          <w:rFonts w:cs="David" w:hint="cs"/>
          <w:rtl/>
        </w:rPr>
        <w:t>י</w:t>
      </w:r>
      <w:r>
        <w:rPr>
          <w:rFonts w:cs="David" w:hint="cs"/>
          <w:rtl/>
        </w:rPr>
        <w:t xml:space="preserve">יהו פועלים הגירות בשוה, דעצם המטהר של גירות היא מילה וטבילה ביחד, ותרווייהו הם בכלל עצם מעשה </w:t>
      </w:r>
      <w:r w:rsidR="00877730">
        <w:rPr>
          <w:rFonts w:cs="David" w:hint="cs"/>
          <w:rtl/>
        </w:rPr>
        <w:t>ה</w:t>
      </w:r>
      <w:r>
        <w:rPr>
          <w:rFonts w:cs="David" w:hint="cs"/>
          <w:rtl/>
        </w:rPr>
        <w:t>גירות</w:t>
      </w:r>
      <w:r w:rsidR="005F04B7">
        <w:rPr>
          <w:rFonts w:cs="David" w:hint="cs"/>
          <w:rtl/>
        </w:rPr>
        <w:t>, וממילא לא אכפ"ל איזה מהם עשה תחילה</w:t>
      </w:r>
      <w:r w:rsidR="00877730">
        <w:rPr>
          <w:rFonts w:cs="David" w:hint="cs"/>
          <w:rtl/>
        </w:rPr>
        <w:t>,</w:t>
      </w:r>
      <w:r w:rsidR="005F04B7">
        <w:rPr>
          <w:rFonts w:cs="David" w:hint="cs"/>
          <w:rtl/>
        </w:rPr>
        <w:t xml:space="preserve"> דבכל אופן </w:t>
      </w:r>
      <w:r w:rsidR="00877730">
        <w:rPr>
          <w:rFonts w:cs="David" w:hint="cs"/>
          <w:rtl/>
        </w:rPr>
        <w:t xml:space="preserve">שמסדר המילה והטבילה, הרי </w:t>
      </w:r>
      <w:r w:rsidR="005F04B7">
        <w:rPr>
          <w:rFonts w:cs="David" w:hint="cs"/>
          <w:rtl/>
        </w:rPr>
        <w:t>א' בלא חבירו לא הוי מעשה גירות כלל</w:t>
      </w:r>
      <w:r w:rsidR="00877730">
        <w:rPr>
          <w:rFonts w:cs="David" w:hint="cs"/>
          <w:rtl/>
        </w:rPr>
        <w:t>,</w:t>
      </w:r>
      <w:r w:rsidR="005F04B7">
        <w:rPr>
          <w:rFonts w:cs="David" w:hint="cs"/>
          <w:rtl/>
        </w:rPr>
        <w:t xml:space="preserve"> והמעשה גירות </w:t>
      </w:r>
      <w:r w:rsidR="00877730">
        <w:rPr>
          <w:rFonts w:cs="David" w:hint="cs"/>
          <w:rtl/>
        </w:rPr>
        <w:t>אינה משתלמת</w:t>
      </w:r>
      <w:r w:rsidR="005F04B7">
        <w:rPr>
          <w:rFonts w:cs="David" w:hint="cs"/>
          <w:rtl/>
        </w:rPr>
        <w:t xml:space="preserve"> עד שיש כאן שניהם מילה וגם טבילה</w:t>
      </w:r>
      <w:r w:rsidR="00877730">
        <w:rPr>
          <w:rFonts w:cs="David" w:hint="cs"/>
          <w:rtl/>
        </w:rPr>
        <w:t>,</w:t>
      </w:r>
      <w:r w:rsidR="005F04B7">
        <w:rPr>
          <w:rFonts w:cs="David" w:hint="cs"/>
          <w:rtl/>
        </w:rPr>
        <w:t xml:space="preserve"> וממילא בכל אופן </w:t>
      </w:r>
      <w:r w:rsidR="00877730">
        <w:rPr>
          <w:rFonts w:cs="David" w:hint="cs"/>
          <w:rtl/>
        </w:rPr>
        <w:t>ש</w:t>
      </w:r>
      <w:r w:rsidR="005F04B7">
        <w:rPr>
          <w:rFonts w:cs="David" w:hint="cs"/>
          <w:rtl/>
        </w:rPr>
        <w:t>ע</w:t>
      </w:r>
      <w:r w:rsidR="00877730">
        <w:rPr>
          <w:rFonts w:cs="David" w:hint="cs"/>
          <w:rtl/>
        </w:rPr>
        <w:t>ו</w:t>
      </w:r>
      <w:r w:rsidR="005F04B7">
        <w:rPr>
          <w:rFonts w:cs="David" w:hint="cs"/>
          <w:rtl/>
        </w:rPr>
        <w:t>שה א' ממעשי הגירות ואח"כ ע</w:t>
      </w:r>
      <w:r w:rsidR="00877730">
        <w:rPr>
          <w:rFonts w:cs="David" w:hint="cs"/>
          <w:rtl/>
        </w:rPr>
        <w:t>ו</w:t>
      </w:r>
      <w:r w:rsidR="005F04B7">
        <w:rPr>
          <w:rFonts w:cs="David" w:hint="cs"/>
          <w:rtl/>
        </w:rPr>
        <w:t>שה הב'</w:t>
      </w:r>
      <w:r w:rsidR="00877730">
        <w:rPr>
          <w:rFonts w:cs="David" w:hint="cs"/>
          <w:rtl/>
        </w:rPr>
        <w:t>,</w:t>
      </w:r>
      <w:r w:rsidR="005F04B7">
        <w:rPr>
          <w:rFonts w:cs="David" w:hint="cs"/>
          <w:rtl/>
        </w:rPr>
        <w:t xml:space="preserve"> </w:t>
      </w:r>
      <w:r w:rsidR="007514D9">
        <w:rPr>
          <w:rFonts w:cs="David" w:hint="cs"/>
          <w:rtl/>
        </w:rPr>
        <w:t>באותה שעה</w:t>
      </w:r>
      <w:r w:rsidR="005F04B7">
        <w:rPr>
          <w:rFonts w:cs="David" w:hint="cs"/>
          <w:rtl/>
        </w:rPr>
        <w:t xml:space="preserve"> איכא מעשה גירות שלימה ו</w:t>
      </w:r>
      <w:r w:rsidR="007514D9">
        <w:rPr>
          <w:rFonts w:cs="David" w:hint="cs"/>
          <w:rtl/>
        </w:rPr>
        <w:t xml:space="preserve">אז </w:t>
      </w:r>
      <w:r w:rsidR="005F04B7">
        <w:rPr>
          <w:rFonts w:cs="David" w:hint="cs"/>
          <w:rtl/>
        </w:rPr>
        <w:t>חיילא הגירות.</w:t>
      </w:r>
    </w:p>
    <w:p w14:paraId="7B41A803" w14:textId="3025F206" w:rsidR="005F04B7" w:rsidRDefault="005F04B7" w:rsidP="009A00A8">
      <w:pPr>
        <w:rPr>
          <w:rFonts w:hint="cs"/>
          <w:rtl/>
        </w:rPr>
      </w:pPr>
      <w:r>
        <w:rPr>
          <w:rFonts w:cs="David" w:hint="cs"/>
          <w:rtl/>
        </w:rPr>
        <w:lastRenderedPageBreak/>
        <w:t xml:space="preserve">באופן </w:t>
      </w:r>
      <w:r w:rsidR="00D71E12">
        <w:rPr>
          <w:rFonts w:cs="David" w:hint="cs"/>
          <w:rtl/>
        </w:rPr>
        <w:t>דנמצא דלדעת הרמב"ן אין מילה או טבילה פועלים שום דבר בפנ"ע, וכל הפעולת גירות נשלמת מכח שניהם ביחד. ותוס' ושאר הראשונים ס"ל דעיקר פועלת גירות היא הטבילה, והמילה פועלת פעולה נפרדת המכש</w:t>
      </w:r>
      <w:r w:rsidR="004642B1">
        <w:rPr>
          <w:rFonts w:cs="David" w:hint="cs"/>
          <w:rtl/>
        </w:rPr>
        <w:t>רת</w:t>
      </w:r>
      <w:r w:rsidR="00D71E12">
        <w:rPr>
          <w:rFonts w:cs="David" w:hint="cs"/>
          <w:rtl/>
        </w:rPr>
        <w:t xml:space="preserve"> אותו </w:t>
      </w:r>
      <w:r w:rsidR="004642B1">
        <w:rPr>
          <w:rFonts w:cs="David" w:hint="cs"/>
          <w:rtl/>
        </w:rPr>
        <w:t>להיות ראוי</w:t>
      </w:r>
      <w:r w:rsidR="00D71E12">
        <w:rPr>
          <w:rFonts w:cs="David" w:hint="cs"/>
          <w:rtl/>
        </w:rPr>
        <w:t xml:space="preserve"> להתגייר ע"י טבילה [ומטעם זה לעולם בעי' מילה קודם טבילה]</w:t>
      </w:r>
      <w:r w:rsidR="00D71E12">
        <w:rPr>
          <w:rStyle w:val="FootnoteReference"/>
          <w:rFonts w:cs="David"/>
          <w:rtl/>
        </w:rPr>
        <w:footnoteReference w:id="4"/>
      </w:r>
      <w:r w:rsidR="00D71E12">
        <w:rPr>
          <w:rFonts w:cs="David" w:hint="cs"/>
          <w:rtl/>
        </w:rPr>
        <w:t>.</w:t>
      </w:r>
    </w:p>
    <w:p w14:paraId="7284451E" w14:textId="574E9AD2" w:rsidR="00526A79" w:rsidRDefault="00D8068F" w:rsidP="00D8068F">
      <w:pPr>
        <w:pStyle w:val="Heading3"/>
        <w:rPr>
          <w:rFonts w:hint="cs"/>
          <w:rtl/>
        </w:rPr>
      </w:pPr>
      <w:r>
        <w:rPr>
          <w:rFonts w:hint="cs"/>
          <w:rtl/>
        </w:rPr>
        <w:t>ביאור פלוגתת הראשונים בטעמא דמילתא דשבט לוי לא היו צריכים בשעת מתן תורה</w:t>
      </w:r>
    </w:p>
    <w:p w14:paraId="379E5499" w14:textId="075543AB" w:rsidR="00EE788F" w:rsidRDefault="00A61EAA" w:rsidP="009A00A8">
      <w:pPr>
        <w:rPr>
          <w:rFonts w:cs="David"/>
          <w:rtl/>
        </w:rPr>
      </w:pPr>
      <w:r>
        <w:rPr>
          <w:rFonts w:hint="cs"/>
          <w:rtl/>
        </w:rPr>
        <w:t>ועפ"ז נראה לבאר פלוגתא אחרת שמצינו בין הרמב"ן ותוס'. דיעו' בתוס' כריתות ט' א' [</w:t>
      </w:r>
      <w:r w:rsidR="00A31E0E">
        <w:rPr>
          <w:rFonts w:hint="cs"/>
          <w:rtl/>
        </w:rPr>
        <w:t>ו</w:t>
      </w:r>
      <w:r>
        <w:rPr>
          <w:rFonts w:hint="cs"/>
          <w:rtl/>
        </w:rPr>
        <w:t xml:space="preserve">כעי"ז בשמ"ק בשם הרא"ש שם] שהק' דבשלמא כל ישראל נכנסו לברית ע"י שמלו בשעה שיצאו ממצרים [ע' רש"י יבמות מ"ו א' וז"ל בד"ה </w:t>
      </w:r>
      <w:r w:rsidRPr="00A61EAA">
        <w:rPr>
          <w:rFonts w:cs="David"/>
          <w:rtl/>
        </w:rPr>
        <w:t>באבותינו שמלו</w:t>
      </w:r>
      <w:r>
        <w:rPr>
          <w:rFonts w:cs="David" w:hint="cs"/>
          <w:rtl/>
        </w:rPr>
        <w:t>,</w:t>
      </w:r>
      <w:r w:rsidRPr="00A61EAA">
        <w:rPr>
          <w:rFonts w:cs="David"/>
          <w:rtl/>
        </w:rPr>
        <w:t xml:space="preserve"> בימי משה כשיצאו ממצרים ויצאו מכלל בני נח לקבל התורה ולקבל פני השכינה</w:t>
      </w:r>
      <w:r>
        <w:rPr>
          <w:rFonts w:cs="David" w:hint="cs"/>
          <w:rtl/>
        </w:rPr>
        <w:t xml:space="preserve"> עכ"ל, הרי דהמילה בשעת יצי"</w:t>
      </w:r>
      <w:r w:rsidR="004312BA">
        <w:rPr>
          <w:rFonts w:cs="David" w:hint="cs"/>
          <w:rtl/>
        </w:rPr>
        <w:t>מ</w:t>
      </w:r>
      <w:r>
        <w:rPr>
          <w:rFonts w:cs="David" w:hint="cs"/>
          <w:rtl/>
        </w:rPr>
        <w:t xml:space="preserve"> היתה כדי לקבל תורה ולקבל פני השכינה], אבל</w:t>
      </w:r>
      <w:r w:rsidR="00A31E0E">
        <w:rPr>
          <w:rFonts w:cs="David" w:hint="cs"/>
          <w:rtl/>
        </w:rPr>
        <w:t xml:space="preserve"> שבט</w:t>
      </w:r>
      <w:r>
        <w:rPr>
          <w:rFonts w:cs="David" w:hint="cs"/>
          <w:rtl/>
        </w:rPr>
        <w:t xml:space="preserve"> </w:t>
      </w:r>
      <w:r w:rsidR="00687A3F">
        <w:rPr>
          <w:rFonts w:cs="David" w:hint="cs"/>
          <w:rtl/>
        </w:rPr>
        <w:t xml:space="preserve">לוי שמלו עצמם במצרים קודם לכן, במה נכנסו לברית. ותי' התוס' וז"ל, </w:t>
      </w:r>
      <w:r w:rsidR="00687A3F" w:rsidRPr="00687A3F">
        <w:rPr>
          <w:rFonts w:cs="David"/>
          <w:rtl/>
        </w:rPr>
        <w:t xml:space="preserve">ואף על פי שאותן שהיו נימולים בימי אברהם לא מלו אותם ביציאת מצרים </w:t>
      </w:r>
      <w:r w:rsidR="00687A3F" w:rsidRPr="004312BA">
        <w:rPr>
          <w:rFonts w:cs="David"/>
          <w:b/>
          <w:bCs/>
          <w:rtl/>
        </w:rPr>
        <w:t>מ"מ מעיקרא כשמלו עצמן מלו ליכנס בברית המקום וליבדל משאר אומות</w:t>
      </w:r>
      <w:r w:rsidR="00687A3F">
        <w:rPr>
          <w:rFonts w:cs="David" w:hint="cs"/>
          <w:rtl/>
        </w:rPr>
        <w:t xml:space="preserve"> וכו' עכ"ל. הרי שתי' התוס' שאותה מילה גופה שמלו מצרים היתה מועלת בהגירות</w:t>
      </w:r>
      <w:r w:rsidR="004312BA">
        <w:rPr>
          <w:rFonts w:cs="David" w:hint="cs"/>
          <w:rtl/>
        </w:rPr>
        <w:t>,</w:t>
      </w:r>
      <w:r w:rsidR="00687A3F">
        <w:rPr>
          <w:rFonts w:cs="David" w:hint="cs"/>
          <w:rtl/>
        </w:rPr>
        <w:t xml:space="preserve"> כי גם הך מילה היתה כדי ליכנס בברית המקום ולהבדל משאר אומות</w:t>
      </w:r>
      <w:r w:rsidR="004312BA">
        <w:rPr>
          <w:rFonts w:cs="David" w:hint="cs"/>
          <w:rtl/>
        </w:rPr>
        <w:t>,</w:t>
      </w:r>
      <w:r w:rsidR="00687A3F">
        <w:rPr>
          <w:rFonts w:cs="David" w:hint="cs"/>
          <w:rtl/>
        </w:rPr>
        <w:t xml:space="preserve"> וממילא דינה ממש כמו מילה שעושה לשם גירות, ושפיר נתקיימה ע"י הך מילה דין גירות ע"י מילה וטבילה.</w:t>
      </w:r>
    </w:p>
    <w:p w14:paraId="26F5D138" w14:textId="58745EF6" w:rsidR="00AB5810" w:rsidRDefault="00A31E0E" w:rsidP="009A00A8">
      <w:pPr>
        <w:rPr>
          <w:rFonts w:cs="David"/>
          <w:rtl/>
        </w:rPr>
      </w:pPr>
      <w:r>
        <w:rPr>
          <w:rFonts w:cs="David" w:hint="cs"/>
          <w:rtl/>
        </w:rPr>
        <w:t xml:space="preserve">והרמב"ן [בחי' יבמות מ"ו א'] תי לקו' הנ"ל וז"ל: </w:t>
      </w:r>
      <w:r w:rsidRPr="00A31E0E">
        <w:rPr>
          <w:rFonts w:cs="David"/>
          <w:rtl/>
        </w:rPr>
        <w:t>ולי נראה דמדין מילה אינן חייבין להטיף דהא מלו, ולא דמו לערבי מהול וגבעוני מהול דהתם כיון דלא מפקדי כמאן דלא מהילי דמו</w:t>
      </w:r>
      <w:r w:rsidR="004B075E">
        <w:rPr>
          <w:rFonts w:cs="David" w:hint="cs"/>
          <w:rtl/>
        </w:rPr>
        <w:t xml:space="preserve"> כו', </w:t>
      </w:r>
      <w:r w:rsidRPr="00A31E0E">
        <w:rPr>
          <w:rFonts w:cs="David"/>
          <w:rtl/>
        </w:rPr>
        <w:t xml:space="preserve">ואם תשיבני בני קטורה, לא נתחייבו אלא הם הא זרעם לא נתחייבו </w:t>
      </w:r>
      <w:r w:rsidR="004B075E">
        <w:rPr>
          <w:rFonts w:cs="David" w:hint="cs"/>
          <w:rtl/>
        </w:rPr>
        <w:t>כו',</w:t>
      </w:r>
      <w:r w:rsidRPr="00A31E0E">
        <w:rPr>
          <w:rFonts w:cs="David"/>
          <w:rtl/>
        </w:rPr>
        <w:t xml:space="preserve"> </w:t>
      </w:r>
      <w:r w:rsidRPr="004312BA">
        <w:rPr>
          <w:rFonts w:cs="David"/>
          <w:b/>
          <w:bCs/>
          <w:rtl/>
        </w:rPr>
        <w:t>הילכך בני לוי נדונו כנשים להכנס בטבילה תחת כנפי השכינה עם המילה שלהם</w:t>
      </w:r>
      <w:r w:rsidR="004B075E">
        <w:rPr>
          <w:rFonts w:cs="David" w:hint="cs"/>
          <w:rtl/>
        </w:rPr>
        <w:t xml:space="preserve">, עכ"ל. הרי שהרמב"ן תי' כעין מה שתי' התוס' דכיון דהיו נמולים כבר ממילא לא היו צריכים מילה בשעת גירות, אבל הוא חולק </w:t>
      </w:r>
      <w:r w:rsidR="00AB5810">
        <w:rPr>
          <w:rFonts w:cs="David" w:hint="cs"/>
          <w:rtl/>
        </w:rPr>
        <w:t>על התוס'</w:t>
      </w:r>
      <w:r w:rsidR="004B075E">
        <w:rPr>
          <w:rFonts w:cs="David" w:hint="cs"/>
          <w:rtl/>
        </w:rPr>
        <w:t xml:space="preserve"> בביאור הענין, דבד' התוס' מבו' דע"י אותה מילה גופה נתקיימה גירות ע"י מילה וטבילה משום דהיא מילה של כניסה בברית, אבל בד' הרמב"ן מבו' דלא היתה קיום של גירות ע"י מילה רק כתב דין חדש דכיון דכבר היו נמולים לא היו צריכים מילה של גירות אלא דינם כנשים דחייל גירות דידהו ע"י </w:t>
      </w:r>
      <w:r w:rsidR="007F7B10">
        <w:rPr>
          <w:rFonts w:cs="David" w:hint="cs"/>
          <w:rtl/>
        </w:rPr>
        <w:t>טב</w:t>
      </w:r>
      <w:r w:rsidR="004B075E">
        <w:rPr>
          <w:rFonts w:cs="David" w:hint="cs"/>
          <w:rtl/>
        </w:rPr>
        <w:t>ילה לחוד.</w:t>
      </w:r>
    </w:p>
    <w:p w14:paraId="03F4C77E" w14:textId="27F34C29" w:rsidR="00A31E0E" w:rsidRDefault="004B075E" w:rsidP="009A00A8">
      <w:pPr>
        <w:rPr>
          <w:rFonts w:cs="David"/>
          <w:rtl/>
        </w:rPr>
      </w:pPr>
      <w:r>
        <w:rPr>
          <w:rFonts w:cs="David" w:hint="cs"/>
          <w:rtl/>
        </w:rPr>
        <w:t>ו</w:t>
      </w:r>
      <w:r w:rsidR="00AB5810">
        <w:rPr>
          <w:rFonts w:cs="David" w:hint="cs"/>
          <w:rtl/>
        </w:rPr>
        <w:t xml:space="preserve">גם בנקודה אחרת </w:t>
      </w:r>
      <w:r w:rsidR="00A206D2">
        <w:rPr>
          <w:rFonts w:cs="David" w:hint="cs"/>
          <w:rtl/>
        </w:rPr>
        <w:t>חולק הרמב"ן על התוס' בענין זה,</w:t>
      </w:r>
      <w:r>
        <w:rPr>
          <w:rFonts w:cs="David" w:hint="cs"/>
          <w:rtl/>
        </w:rPr>
        <w:t xml:space="preserve"> </w:t>
      </w:r>
      <w:r w:rsidR="00A206D2">
        <w:rPr>
          <w:rFonts w:cs="David" w:hint="cs"/>
          <w:rtl/>
        </w:rPr>
        <w:t>ד</w:t>
      </w:r>
      <w:r>
        <w:rPr>
          <w:rFonts w:cs="David" w:hint="cs"/>
          <w:rtl/>
        </w:rPr>
        <w:t xml:space="preserve">בד' הרמב"ן </w:t>
      </w:r>
      <w:r w:rsidR="00A206D2">
        <w:rPr>
          <w:rFonts w:cs="David" w:hint="cs"/>
          <w:rtl/>
        </w:rPr>
        <w:t xml:space="preserve">מבו' </w:t>
      </w:r>
      <w:r>
        <w:rPr>
          <w:rFonts w:cs="David" w:hint="cs"/>
          <w:rtl/>
        </w:rPr>
        <w:t>דהא דא"צ מילה בשעה גירות אי"ז משום ש</w:t>
      </w:r>
      <w:r w:rsidR="00AB5810">
        <w:rPr>
          <w:rFonts w:cs="David" w:hint="cs"/>
          <w:rtl/>
        </w:rPr>
        <w:t>המילה שמלו במצרים היתה מילה</w:t>
      </w:r>
      <w:r w:rsidR="007F7B10">
        <w:rPr>
          <w:rFonts w:cs="David" w:hint="cs"/>
          <w:rtl/>
        </w:rPr>
        <w:t xml:space="preserve"> של</w:t>
      </w:r>
      <w:r w:rsidR="00AB5810">
        <w:rPr>
          <w:rFonts w:cs="David" w:hint="cs"/>
          <w:rtl/>
        </w:rPr>
        <w:t xml:space="preserve"> כניסה בברית וכעין מילת גירות דעלמא וכמ"ש התוס', רק כיון דהיתה מילה שהיו מצווים בה וחשיבא מילה, מה"ט א"צ מילת גירות. והכי מבו' ממה שהק' ע"ע מבני קטורה שצ' מילה בשעת גירות ולא אמרי' כיון דהם מצווים במילה דינם כנשים להכנס בברית בטבילה לחוד, והוצ' לתרץ דבאמת בנ"ק אינם מצווים במילה בזה"ז, ומבו' דאפי' מילה דבני קטורה אלו היו מצווים בה היה סגי לגרום ש</w:t>
      </w:r>
      <w:r w:rsidR="007F7B10">
        <w:rPr>
          <w:rFonts w:cs="David" w:hint="cs"/>
          <w:rtl/>
        </w:rPr>
        <w:t>לא יהו צריכים</w:t>
      </w:r>
      <w:r w:rsidR="00AB5810">
        <w:rPr>
          <w:rFonts w:cs="David" w:hint="cs"/>
          <w:rtl/>
        </w:rPr>
        <w:t xml:space="preserve"> מילת גירות, אף דהך מילה ודאי איננה </w:t>
      </w:r>
      <w:r w:rsidR="007F7B10">
        <w:rPr>
          <w:rFonts w:cs="David" w:hint="cs"/>
          <w:rtl/>
        </w:rPr>
        <w:t>כדי</w:t>
      </w:r>
      <w:r w:rsidR="00AB5810">
        <w:rPr>
          <w:rFonts w:cs="David" w:hint="cs"/>
          <w:rtl/>
        </w:rPr>
        <w:t xml:space="preserve"> להכנס בברית ולהבדל משאר אומות, ובע"כ דדין זה שחידש הרמב"ן דמי שהוא נמול דינו כנשים דא"צ מילת גירות, אי"ז תליא דוקא במילה של כניסה בברית</w:t>
      </w:r>
      <w:r w:rsidR="007F7B10">
        <w:rPr>
          <w:rFonts w:cs="David" w:hint="cs"/>
          <w:rtl/>
        </w:rPr>
        <w:t>,</w:t>
      </w:r>
      <w:r w:rsidR="00AB5810">
        <w:rPr>
          <w:rFonts w:cs="David" w:hint="cs"/>
          <w:rtl/>
        </w:rPr>
        <w:t xml:space="preserve"> אלא </w:t>
      </w:r>
      <w:r w:rsidR="007F7B10">
        <w:rPr>
          <w:rFonts w:cs="David" w:hint="cs"/>
          <w:rtl/>
        </w:rPr>
        <w:t xml:space="preserve">סגי </w:t>
      </w:r>
      <w:r w:rsidR="00AB5810">
        <w:rPr>
          <w:rFonts w:cs="David" w:hint="cs"/>
          <w:rtl/>
        </w:rPr>
        <w:t>באיזה מילה שתהא</w:t>
      </w:r>
      <w:r w:rsidR="007F7B10">
        <w:rPr>
          <w:rFonts w:cs="David" w:hint="cs"/>
          <w:rtl/>
        </w:rPr>
        <w:t>,</w:t>
      </w:r>
      <w:r w:rsidR="00AB5810">
        <w:rPr>
          <w:rFonts w:cs="David" w:hint="cs"/>
          <w:rtl/>
        </w:rPr>
        <w:t xml:space="preserve"> כל שהיא </w:t>
      </w:r>
      <w:r w:rsidR="007F7B10">
        <w:rPr>
          <w:rFonts w:cs="David" w:hint="cs"/>
          <w:rtl/>
        </w:rPr>
        <w:t>מילה של</w:t>
      </w:r>
      <w:r w:rsidR="00AB5810">
        <w:rPr>
          <w:rFonts w:cs="David" w:hint="cs"/>
          <w:rtl/>
        </w:rPr>
        <w:t xml:space="preserve"> מצוה ו</w:t>
      </w:r>
      <w:r w:rsidR="007F7B10">
        <w:rPr>
          <w:rFonts w:cs="David" w:hint="cs"/>
          <w:rtl/>
        </w:rPr>
        <w:t>חשיבא</w:t>
      </w:r>
      <w:r w:rsidR="00AB5810">
        <w:rPr>
          <w:rFonts w:cs="David" w:hint="cs"/>
          <w:rtl/>
        </w:rPr>
        <w:t xml:space="preserve"> מילה.</w:t>
      </w:r>
    </w:p>
    <w:p w14:paraId="14A74611" w14:textId="6DC56554" w:rsidR="00A206D2" w:rsidRDefault="00A206D2" w:rsidP="009A00A8">
      <w:pPr>
        <w:rPr>
          <w:rFonts w:cs="David"/>
          <w:rtl/>
        </w:rPr>
      </w:pPr>
      <w:r>
        <w:rPr>
          <w:rFonts w:cs="David" w:hint="cs"/>
          <w:rtl/>
        </w:rPr>
        <w:t>והך פלוגתא חוזרת ונשנית בענין מילת עבדות</w:t>
      </w:r>
      <w:r w:rsidR="008508C9">
        <w:rPr>
          <w:rFonts w:cs="David" w:hint="cs"/>
          <w:rtl/>
        </w:rPr>
        <w:t>,</w:t>
      </w:r>
      <w:r>
        <w:rPr>
          <w:rFonts w:cs="David" w:hint="cs"/>
          <w:rtl/>
        </w:rPr>
        <w:t xml:space="preserve"> האם יכולה להועיל לענין שלא יצטרך מילת גירות, דיעו' בתוס' הרא"ש [קידושין ס"ב] שהק' בהא דעבד </w:t>
      </w:r>
      <w:r w:rsidR="008508C9">
        <w:rPr>
          <w:rFonts w:cs="David" w:hint="cs"/>
          <w:rtl/>
        </w:rPr>
        <w:t>המ</w:t>
      </w:r>
      <w:r>
        <w:rPr>
          <w:rFonts w:cs="David" w:hint="cs"/>
          <w:rtl/>
        </w:rPr>
        <w:t>שתחר</w:t>
      </w:r>
      <w:r w:rsidR="00341DB1">
        <w:rPr>
          <w:rFonts w:cs="David" w:hint="cs"/>
          <w:rtl/>
        </w:rPr>
        <w:t>ר</w:t>
      </w:r>
      <w:r>
        <w:rPr>
          <w:rFonts w:cs="David" w:hint="cs"/>
          <w:rtl/>
        </w:rPr>
        <w:t xml:space="preserve"> צ' טבילה כדי להתגייר ולהעשות ישראל גמור,</w:t>
      </w:r>
      <w:r w:rsidR="00341DB1">
        <w:rPr>
          <w:rFonts w:cs="David" w:hint="cs"/>
          <w:rtl/>
        </w:rPr>
        <w:t xml:space="preserve"> </w:t>
      </w:r>
      <w:r>
        <w:rPr>
          <w:rFonts w:cs="David" w:hint="cs"/>
          <w:rtl/>
        </w:rPr>
        <w:t xml:space="preserve">דמדוע צ' </w:t>
      </w:r>
      <w:r w:rsidR="008508C9">
        <w:rPr>
          <w:rFonts w:cs="David" w:hint="cs"/>
          <w:rtl/>
        </w:rPr>
        <w:t xml:space="preserve">רק </w:t>
      </w:r>
      <w:r>
        <w:rPr>
          <w:rFonts w:cs="David" w:hint="cs"/>
          <w:rtl/>
        </w:rPr>
        <w:t>טבילה ולא מילה</w:t>
      </w:r>
      <w:r w:rsidR="008508C9">
        <w:rPr>
          <w:rFonts w:cs="David" w:hint="cs"/>
          <w:rtl/>
        </w:rPr>
        <w:t>,</w:t>
      </w:r>
      <w:r>
        <w:rPr>
          <w:rFonts w:cs="David" w:hint="cs"/>
          <w:rtl/>
        </w:rPr>
        <w:t xml:space="preserve"> הלא בעלמא אינו גר עד שימול ויטבול, והוכיח מזה דמה"ת א"צ לא מילה ולא טבילה</w:t>
      </w:r>
      <w:r w:rsidR="008508C9">
        <w:rPr>
          <w:rFonts w:cs="David" w:hint="cs"/>
          <w:rtl/>
        </w:rPr>
        <w:t>,</w:t>
      </w:r>
      <w:r>
        <w:rPr>
          <w:rFonts w:cs="David" w:hint="cs"/>
          <w:rtl/>
        </w:rPr>
        <w:t xml:space="preserve"> רק רבנן אצרכוה טבילה. אכן הרמב"ן [יבמות מ"ז] כ</w:t>
      </w:r>
      <w:r w:rsidR="008508C9">
        <w:rPr>
          <w:rFonts w:cs="David" w:hint="cs"/>
          <w:rtl/>
        </w:rPr>
        <w:t>תב בזה,</w:t>
      </w:r>
      <w:r>
        <w:rPr>
          <w:rFonts w:cs="David" w:hint="cs"/>
          <w:rtl/>
        </w:rPr>
        <w:t xml:space="preserve"> דא</w:t>
      </w:r>
      <w:r w:rsidR="008508C9">
        <w:rPr>
          <w:rFonts w:cs="David" w:hint="cs"/>
          <w:rtl/>
        </w:rPr>
        <w:t>ינו צריך</w:t>
      </w:r>
      <w:r>
        <w:rPr>
          <w:rFonts w:cs="David" w:hint="cs"/>
          <w:rtl/>
        </w:rPr>
        <w:t xml:space="preserve"> מילה כדי להתגייר בשעה שמשתחרר, דכיון ד</w:t>
      </w:r>
      <w:r w:rsidR="00EF5564">
        <w:rPr>
          <w:rFonts w:cs="David" w:hint="cs"/>
          <w:rtl/>
        </w:rPr>
        <w:t>כ</w:t>
      </w:r>
      <w:r>
        <w:rPr>
          <w:rFonts w:cs="David" w:hint="cs"/>
          <w:rtl/>
        </w:rPr>
        <w:t xml:space="preserve">בר מל בשעה שנעשה עבד, דינו כאשה להכנס בברית בטבילה לחוד, </w:t>
      </w:r>
      <w:r w:rsidR="00341DB1">
        <w:rPr>
          <w:rFonts w:cs="David" w:hint="cs"/>
          <w:rtl/>
        </w:rPr>
        <w:t>וכ' דהיינו כעין מ"ש</w:t>
      </w:r>
      <w:r w:rsidR="00EF5564">
        <w:rPr>
          <w:rFonts w:cs="David" w:hint="cs"/>
          <w:rtl/>
        </w:rPr>
        <w:t xml:space="preserve"> בענין שבט לוי. הרי דהרמב"ן ס"ל דמילת עבד</w:t>
      </w:r>
      <w:r w:rsidR="00341DB1">
        <w:rPr>
          <w:rFonts w:cs="David" w:hint="cs"/>
          <w:rtl/>
        </w:rPr>
        <w:t>ו</w:t>
      </w:r>
      <w:r w:rsidR="00EF5564">
        <w:rPr>
          <w:rFonts w:cs="David" w:hint="cs"/>
          <w:rtl/>
        </w:rPr>
        <w:t>ת מועלת</w:t>
      </w:r>
      <w:r w:rsidR="00341DB1">
        <w:rPr>
          <w:rFonts w:cs="David" w:hint="cs"/>
          <w:rtl/>
        </w:rPr>
        <w:t xml:space="preserve"> להעבד</w:t>
      </w:r>
      <w:r w:rsidR="00EF5564">
        <w:rPr>
          <w:rFonts w:cs="David" w:hint="cs"/>
          <w:rtl/>
        </w:rPr>
        <w:t xml:space="preserve"> שלא יצטרך מילת גירות</w:t>
      </w:r>
      <w:r w:rsidR="00341DB1">
        <w:rPr>
          <w:rFonts w:cs="David" w:hint="cs"/>
          <w:rtl/>
        </w:rPr>
        <w:t xml:space="preserve"> כשנעשה גר גמור לאח"ז</w:t>
      </w:r>
      <w:r w:rsidR="00EF5564">
        <w:rPr>
          <w:rFonts w:cs="David" w:hint="cs"/>
          <w:rtl/>
        </w:rPr>
        <w:t>, והרא"ש ס"ל דאינה מועלת, ואלו היה עבד משוחרר צ' מעשה גירות</w:t>
      </w:r>
      <w:r w:rsidR="00341DB1">
        <w:rPr>
          <w:rFonts w:cs="David" w:hint="cs"/>
          <w:rtl/>
        </w:rPr>
        <w:t xml:space="preserve"> מ</w:t>
      </w:r>
      <w:r w:rsidR="008508C9">
        <w:rPr>
          <w:rFonts w:cs="David" w:hint="cs"/>
          <w:rtl/>
        </w:rPr>
        <w:t>די</w:t>
      </w:r>
      <w:r w:rsidR="00341DB1">
        <w:rPr>
          <w:rFonts w:cs="David" w:hint="cs"/>
          <w:rtl/>
        </w:rPr>
        <w:t xml:space="preserve"> תורה,</w:t>
      </w:r>
      <w:r w:rsidR="00EF5564">
        <w:rPr>
          <w:rFonts w:cs="David" w:hint="cs"/>
          <w:rtl/>
        </w:rPr>
        <w:t xml:space="preserve"> היה צריך מילה כמו שהוא צ' טבילה. ויסוד פלוגתתם היא, דהרא"ש אזיל לשיטתי' ב</w:t>
      </w:r>
      <w:r w:rsidR="00341DB1">
        <w:rPr>
          <w:rFonts w:cs="David" w:hint="cs"/>
          <w:rtl/>
        </w:rPr>
        <w:t xml:space="preserve">שמ"ק </w:t>
      </w:r>
      <w:r w:rsidR="00EF5564">
        <w:rPr>
          <w:rFonts w:cs="David" w:hint="cs"/>
          <w:rtl/>
        </w:rPr>
        <w:t>כריתות דף ט' דס"ל כשי' התוס' שם דדוקא מילה שהיא כניסה בברית מועלת שלא יצטרך מיל</w:t>
      </w:r>
      <w:r w:rsidR="00B0379A">
        <w:rPr>
          <w:rFonts w:cs="David" w:hint="cs"/>
          <w:rtl/>
        </w:rPr>
        <w:t>ה בשעת</w:t>
      </w:r>
      <w:r w:rsidR="00EF5564">
        <w:rPr>
          <w:rFonts w:cs="David" w:hint="cs"/>
          <w:rtl/>
        </w:rPr>
        <w:t xml:space="preserve"> גירות, וממילא מילת עבדות שאינה מטעם כניסה בברית אינה מועלת לענין גירות. אבל </w:t>
      </w:r>
      <w:r w:rsidR="00B0379A">
        <w:rPr>
          <w:rFonts w:cs="David" w:hint="cs"/>
          <w:rtl/>
        </w:rPr>
        <w:t>הרמב"ן דס"ל דאיזה מילה שתהא</w:t>
      </w:r>
      <w:r w:rsidR="00341DB1">
        <w:rPr>
          <w:rFonts w:cs="David" w:hint="cs"/>
          <w:rtl/>
        </w:rPr>
        <w:t xml:space="preserve">, אם אך היא מילה של </w:t>
      </w:r>
      <w:r w:rsidR="00341DB1">
        <w:rPr>
          <w:rFonts w:cs="David" w:hint="cs"/>
          <w:rtl/>
        </w:rPr>
        <w:lastRenderedPageBreak/>
        <w:t>מצוה,</w:t>
      </w:r>
      <w:r w:rsidR="00B0379A">
        <w:rPr>
          <w:rFonts w:cs="David" w:hint="cs"/>
          <w:rtl/>
        </w:rPr>
        <w:t xml:space="preserve"> מועלת שלא יצ</w:t>
      </w:r>
      <w:r w:rsidR="00341DB1">
        <w:rPr>
          <w:rFonts w:cs="David" w:hint="cs"/>
          <w:rtl/>
        </w:rPr>
        <w:t>טרך</w:t>
      </w:r>
      <w:r w:rsidR="00B0379A">
        <w:rPr>
          <w:rFonts w:cs="David" w:hint="cs"/>
          <w:rtl/>
        </w:rPr>
        <w:t xml:space="preserve"> מילת גירות, ואפי' מילה דבנ"ק היתה מועלת לזה, מש"ה ס"ל דאפי' מילה של עבדות מועלת שאינו צריך מילת גירות.</w:t>
      </w:r>
    </w:p>
    <w:p w14:paraId="2462305B" w14:textId="79507ADD" w:rsidR="007A5665" w:rsidRDefault="007A5665" w:rsidP="009A00A8">
      <w:pPr>
        <w:rPr>
          <w:rFonts w:cs="David" w:hint="cs"/>
          <w:rtl/>
        </w:rPr>
      </w:pPr>
      <w:r>
        <w:rPr>
          <w:rFonts w:cs="David" w:hint="cs"/>
          <w:rtl/>
        </w:rPr>
        <w:t>וב</w:t>
      </w:r>
      <w:r w:rsidR="00341DB1">
        <w:rPr>
          <w:rFonts w:cs="David" w:hint="cs"/>
          <w:rtl/>
        </w:rPr>
        <w:t>פש</w:t>
      </w:r>
      <w:r>
        <w:rPr>
          <w:rFonts w:cs="David" w:hint="cs"/>
          <w:rtl/>
        </w:rPr>
        <w:t>טות ב' פלוגתות אלו</w:t>
      </w:r>
      <w:r w:rsidR="00A80862">
        <w:rPr>
          <w:rFonts w:cs="David" w:hint="cs"/>
          <w:rtl/>
        </w:rPr>
        <w:t xml:space="preserve"> בענין מילה דשבט לוי</w:t>
      </w:r>
      <w:r>
        <w:rPr>
          <w:rFonts w:cs="David" w:hint="cs"/>
          <w:rtl/>
        </w:rPr>
        <w:t xml:space="preserve"> תלויים זב"ז, דלשי' תוס' דמילה של שב"ל הוי קיום של מילת ג</w:t>
      </w:r>
      <w:r w:rsidR="00341DB1">
        <w:rPr>
          <w:rFonts w:cs="David" w:hint="cs"/>
          <w:rtl/>
        </w:rPr>
        <w:t>ירות, וחייל דין גירות ע"י מילה וטבילה</w:t>
      </w:r>
      <w:r>
        <w:rPr>
          <w:rFonts w:cs="David" w:hint="cs"/>
          <w:rtl/>
        </w:rPr>
        <w:t xml:space="preserve">, ממילא ס"ל דצ' לזה מילה של כניסה בברית, דמילה של מצוה בעלמא אינה יכולה להועיל בתורת </w:t>
      </w:r>
      <w:r w:rsidR="002A3E51">
        <w:rPr>
          <w:rFonts w:cs="David" w:hint="cs"/>
          <w:rtl/>
        </w:rPr>
        <w:t>מילת</w:t>
      </w:r>
      <w:r>
        <w:rPr>
          <w:rFonts w:cs="David" w:hint="cs"/>
          <w:rtl/>
        </w:rPr>
        <w:t xml:space="preserve"> גירות. ודוקא לשי' הרמב"ן</w:t>
      </w:r>
      <w:r w:rsidR="001D3853">
        <w:rPr>
          <w:rFonts w:cs="David" w:hint="cs"/>
          <w:rtl/>
        </w:rPr>
        <w:t>,</w:t>
      </w:r>
      <w:r>
        <w:rPr>
          <w:rFonts w:cs="David" w:hint="cs"/>
          <w:rtl/>
        </w:rPr>
        <w:t xml:space="preserve"> ש</w:t>
      </w:r>
      <w:r w:rsidR="001D3853">
        <w:rPr>
          <w:rFonts w:cs="David" w:hint="cs"/>
          <w:rtl/>
        </w:rPr>
        <w:t>כתב</w:t>
      </w:r>
      <w:r>
        <w:rPr>
          <w:rFonts w:cs="David" w:hint="cs"/>
          <w:rtl/>
        </w:rPr>
        <w:t xml:space="preserve"> דאית כאן דין חדש</w:t>
      </w:r>
      <w:r w:rsidR="001D3853">
        <w:rPr>
          <w:rFonts w:cs="David" w:hint="cs"/>
          <w:rtl/>
        </w:rPr>
        <w:t>,</w:t>
      </w:r>
      <w:r>
        <w:rPr>
          <w:rFonts w:cs="David" w:hint="cs"/>
          <w:rtl/>
        </w:rPr>
        <w:t xml:space="preserve"> דמי שיש לו מילה קודם הגירות דינו כנשים </w:t>
      </w:r>
      <w:r w:rsidR="00341DB1">
        <w:rPr>
          <w:rFonts w:cs="David" w:hint="cs"/>
          <w:rtl/>
        </w:rPr>
        <w:t xml:space="preserve">וחייל גירות דידי' </w:t>
      </w:r>
      <w:r w:rsidR="00A80862">
        <w:rPr>
          <w:rFonts w:cs="David" w:hint="cs"/>
          <w:rtl/>
        </w:rPr>
        <w:t>ע"י טבילה לחוד</w:t>
      </w:r>
      <w:r>
        <w:rPr>
          <w:rFonts w:cs="David" w:hint="cs"/>
          <w:rtl/>
        </w:rPr>
        <w:t>, הוא דאפ"ל דד"ז א"צ דוקא מילה של כניסה בברית דדמיא לגירות, אלא סגי לה בכל מילה שתהא</w:t>
      </w:r>
      <w:r w:rsidR="002A3E51">
        <w:rPr>
          <w:rStyle w:val="FootnoteReference"/>
          <w:rFonts w:cs="David"/>
          <w:rtl/>
        </w:rPr>
        <w:footnoteReference w:id="5"/>
      </w:r>
      <w:r>
        <w:rPr>
          <w:rFonts w:cs="David" w:hint="cs"/>
          <w:rtl/>
        </w:rPr>
        <w:t>.</w:t>
      </w:r>
    </w:p>
    <w:p w14:paraId="07CCB80C" w14:textId="74324ED1" w:rsidR="00B0379A" w:rsidRDefault="00EB7BA0" w:rsidP="009A00A8">
      <w:pPr>
        <w:rPr>
          <w:rFonts w:cs="David"/>
          <w:rtl/>
        </w:rPr>
      </w:pPr>
      <w:r>
        <w:rPr>
          <w:rFonts w:cs="David" w:hint="cs"/>
          <w:rtl/>
        </w:rPr>
        <w:t>ונראה לבאר שורש פלוגתת הרמב"ן עם התוס' והרא"ש בענין מילה דשבט לוי, שהיא תלויה בפלוגתתם בענין האם הסדר של מילה קודם טבילה מעכב, וביארנו דיסוד הך פלוגתא</w:t>
      </w:r>
      <w:r w:rsidR="001D3853">
        <w:rPr>
          <w:rFonts w:cs="David" w:hint="cs"/>
          <w:rtl/>
        </w:rPr>
        <w:t xml:space="preserve"> היא,</w:t>
      </w:r>
      <w:r>
        <w:rPr>
          <w:rFonts w:cs="David" w:hint="cs"/>
          <w:rtl/>
        </w:rPr>
        <w:t xml:space="preserve"> האם מילה </w:t>
      </w:r>
      <w:r w:rsidR="001D3853">
        <w:rPr>
          <w:rFonts w:cs="David" w:hint="cs"/>
          <w:rtl/>
        </w:rPr>
        <w:t>הוי</w:t>
      </w:r>
      <w:r>
        <w:rPr>
          <w:rFonts w:cs="David" w:hint="cs"/>
          <w:rtl/>
        </w:rPr>
        <w:t xml:space="preserve"> חלק מעצם מעשה הגירות או דהוי רק הקדמה לגירות ומכשרת אותו שיהא יכול להתגייר אח"כ ע"י טבילה. דנראה דלשיטת הרמב"ן דבעלמא המילה הוי מעשה גירות ממש כמו טבילה, בע"כ ליכא למימר דע"י מילתם של שבט לוי במצרים ה</w:t>
      </w:r>
      <w:r w:rsidR="001D3853">
        <w:rPr>
          <w:rFonts w:cs="David" w:hint="cs"/>
          <w:rtl/>
        </w:rPr>
        <w:t>ית</w:t>
      </w:r>
      <w:r>
        <w:rPr>
          <w:rFonts w:cs="David" w:hint="cs"/>
          <w:rtl/>
        </w:rPr>
        <w:t xml:space="preserve">ה קיום של גירות ע"י מילה וטבילה, דאותה מילה שמלו במצרים ודאי לא היתה </w:t>
      </w:r>
      <w:r w:rsidR="001D3853">
        <w:rPr>
          <w:rFonts w:cs="David" w:hint="cs"/>
          <w:rtl/>
        </w:rPr>
        <w:t>'</w:t>
      </w:r>
      <w:r>
        <w:rPr>
          <w:rFonts w:cs="David" w:hint="cs"/>
          <w:rtl/>
        </w:rPr>
        <w:t>מעשה גירות</w:t>
      </w:r>
      <w:r w:rsidR="001D3853">
        <w:rPr>
          <w:rFonts w:cs="David" w:hint="cs"/>
          <w:rtl/>
        </w:rPr>
        <w:t>'</w:t>
      </w:r>
      <w:r>
        <w:rPr>
          <w:rFonts w:cs="David" w:hint="cs"/>
          <w:rtl/>
        </w:rPr>
        <w:t xml:space="preserve">, דבאותה שעה שמלו </w:t>
      </w:r>
      <w:r w:rsidR="00EF2C6E">
        <w:rPr>
          <w:rFonts w:cs="David" w:hint="cs"/>
          <w:rtl/>
        </w:rPr>
        <w:t>אכתי לא היו עומדים</w:t>
      </w:r>
      <w:r w:rsidR="001D3853">
        <w:rPr>
          <w:rFonts w:cs="David" w:hint="cs"/>
          <w:rtl/>
        </w:rPr>
        <w:t xml:space="preserve"> לקבל התורה</w:t>
      </w:r>
      <w:r w:rsidR="00EF2C6E">
        <w:rPr>
          <w:rFonts w:cs="David" w:hint="cs"/>
          <w:rtl/>
        </w:rPr>
        <w:t xml:space="preserve"> </w:t>
      </w:r>
      <w:r w:rsidR="001D3853">
        <w:rPr>
          <w:rFonts w:cs="David" w:hint="cs"/>
          <w:rtl/>
        </w:rPr>
        <w:t>ו</w:t>
      </w:r>
      <w:r w:rsidR="00EF2C6E">
        <w:rPr>
          <w:rFonts w:cs="David" w:hint="cs"/>
          <w:rtl/>
        </w:rPr>
        <w:t>להתגייר</w:t>
      </w:r>
      <w:r w:rsidR="001D3853">
        <w:rPr>
          <w:rFonts w:cs="David" w:hint="cs"/>
          <w:rtl/>
        </w:rPr>
        <w:t>,</w:t>
      </w:r>
      <w:r w:rsidR="00EF2C6E">
        <w:rPr>
          <w:rFonts w:cs="David" w:hint="cs"/>
          <w:rtl/>
        </w:rPr>
        <w:t xml:space="preserve"> ולא היתה מילה לשם גירות, ומש"ה הוכרח הרמב"ן לומר דאיכא דין חדש דכשמל קודם הגירות יכול להתגייר אח"כ ע"י טבילה לחוד</w:t>
      </w:r>
      <w:r w:rsidR="00014FBE">
        <w:rPr>
          <w:rStyle w:val="FootnoteReference"/>
          <w:rFonts w:cs="David"/>
          <w:rtl/>
        </w:rPr>
        <w:footnoteReference w:id="6"/>
      </w:r>
      <w:r w:rsidR="00EF2C6E">
        <w:rPr>
          <w:rFonts w:cs="David" w:hint="cs"/>
          <w:rtl/>
        </w:rPr>
        <w:t>. ודוקא תוס' והרא"ש מצו לומר דע"י מילת שבט לוי במצרים היתה קיום של גירות ע"י מילה וטבילה, דאע"ג דאמנם כן הוא דלא נעש</w:t>
      </w:r>
      <w:r w:rsidR="001D3853">
        <w:rPr>
          <w:rFonts w:cs="David" w:hint="cs"/>
          <w:rtl/>
        </w:rPr>
        <w:t>תה</w:t>
      </w:r>
      <w:r w:rsidR="00EF2C6E">
        <w:rPr>
          <w:rFonts w:cs="David" w:hint="cs"/>
          <w:rtl/>
        </w:rPr>
        <w:t xml:space="preserve"> המילה לשם גירות ולא </w:t>
      </w:r>
      <w:r w:rsidR="001D3853">
        <w:rPr>
          <w:rFonts w:cs="David" w:hint="cs"/>
          <w:rtl/>
        </w:rPr>
        <w:t xml:space="preserve">הוה </w:t>
      </w:r>
      <w:r w:rsidR="00EF2C6E">
        <w:rPr>
          <w:rFonts w:cs="David" w:hint="cs"/>
          <w:rtl/>
        </w:rPr>
        <w:t xml:space="preserve">חשיבא מעשה גירות, אפ"ה היא </w:t>
      </w:r>
      <w:r w:rsidR="001D3853">
        <w:rPr>
          <w:rFonts w:cs="David" w:hint="cs"/>
          <w:rtl/>
        </w:rPr>
        <w:t>הועילה</w:t>
      </w:r>
      <w:r w:rsidR="00EF2C6E">
        <w:rPr>
          <w:rFonts w:cs="David" w:hint="cs"/>
          <w:rtl/>
        </w:rPr>
        <w:t xml:space="preserve"> </w:t>
      </w:r>
      <w:r w:rsidR="008B2FE0">
        <w:rPr>
          <w:rFonts w:cs="David" w:hint="cs"/>
          <w:rtl/>
        </w:rPr>
        <w:t xml:space="preserve">לפעול הגירות אח"כ, </w:t>
      </w:r>
      <w:r w:rsidR="00EF2C6E">
        <w:rPr>
          <w:rFonts w:cs="David" w:hint="cs"/>
          <w:rtl/>
        </w:rPr>
        <w:t xml:space="preserve">דהא אנהו ס"ל דבכל </w:t>
      </w:r>
      <w:r w:rsidR="001D3853">
        <w:rPr>
          <w:rFonts w:cs="David" w:hint="cs"/>
          <w:rtl/>
        </w:rPr>
        <w:t>גירות דעלמ</w:t>
      </w:r>
      <w:r w:rsidR="00B162FB">
        <w:rPr>
          <w:rFonts w:cs="David" w:hint="cs"/>
          <w:rtl/>
        </w:rPr>
        <w:t>א אין</w:t>
      </w:r>
      <w:r w:rsidR="00EF2C6E">
        <w:rPr>
          <w:rFonts w:cs="David" w:hint="cs"/>
          <w:rtl/>
        </w:rPr>
        <w:t xml:space="preserve"> המילה מעשה גירות רק היא הקדמה לגירות, דע"י המילה </w:t>
      </w:r>
      <w:r w:rsidR="00EF2C6E">
        <w:rPr>
          <w:rFonts w:cs="David" w:hint="cs"/>
          <w:rtl/>
        </w:rPr>
        <w:lastRenderedPageBreak/>
        <w:t>הוא נכנס בברית קצת ואז הוא ראוי להתגייר אח"כ</w:t>
      </w:r>
      <w:r w:rsidR="008B2FE0">
        <w:rPr>
          <w:rFonts w:cs="David" w:hint="cs"/>
          <w:rtl/>
        </w:rPr>
        <w:t xml:space="preserve"> בטבילה</w:t>
      </w:r>
      <w:r w:rsidR="00EF2C6E">
        <w:rPr>
          <w:rFonts w:cs="David" w:hint="cs"/>
          <w:rtl/>
        </w:rPr>
        <w:t xml:space="preserve">, וממילא ס"ל דגם </w:t>
      </w:r>
      <w:r w:rsidR="00284143">
        <w:rPr>
          <w:rFonts w:cs="David" w:hint="cs"/>
          <w:rtl/>
        </w:rPr>
        <w:t>ב</w:t>
      </w:r>
      <w:r w:rsidR="00EF2C6E">
        <w:rPr>
          <w:rFonts w:cs="David" w:hint="cs"/>
          <w:rtl/>
        </w:rPr>
        <w:t>מילתם של שבט לוי</w:t>
      </w:r>
      <w:r w:rsidR="00284143">
        <w:rPr>
          <w:rFonts w:cs="David" w:hint="cs"/>
          <w:rtl/>
        </w:rPr>
        <w:t>,</w:t>
      </w:r>
      <w:r w:rsidR="00EF2C6E">
        <w:rPr>
          <w:rFonts w:cs="David" w:hint="cs"/>
          <w:rtl/>
        </w:rPr>
        <w:t xml:space="preserve"> </w:t>
      </w:r>
      <w:r w:rsidR="00284143">
        <w:rPr>
          <w:rFonts w:cs="David" w:hint="cs"/>
          <w:rtl/>
        </w:rPr>
        <w:t xml:space="preserve">אף דלא נעשתה לשם גירות, מ"מ </w:t>
      </w:r>
      <w:r w:rsidR="00EF2C6E">
        <w:rPr>
          <w:rFonts w:cs="David" w:hint="cs"/>
          <w:rtl/>
        </w:rPr>
        <w:t xml:space="preserve">נפעל </w:t>
      </w:r>
      <w:r w:rsidR="00284143">
        <w:rPr>
          <w:rFonts w:cs="David" w:hint="cs"/>
          <w:rtl/>
        </w:rPr>
        <w:t xml:space="preserve">על ידה </w:t>
      </w:r>
      <w:r w:rsidR="00EF2C6E">
        <w:rPr>
          <w:rFonts w:cs="David" w:hint="cs"/>
          <w:rtl/>
        </w:rPr>
        <w:t>ענין זה שנכנסים בברית קצת</w:t>
      </w:r>
      <w:r w:rsidR="00284143">
        <w:rPr>
          <w:rFonts w:cs="David" w:hint="cs"/>
          <w:rtl/>
        </w:rPr>
        <w:t>,</w:t>
      </w:r>
      <w:r w:rsidR="00EF2C6E">
        <w:rPr>
          <w:rFonts w:cs="David" w:hint="cs"/>
          <w:rtl/>
        </w:rPr>
        <w:t xml:space="preserve"> ועי"ז </w:t>
      </w:r>
      <w:r w:rsidR="00B162FB">
        <w:rPr>
          <w:rFonts w:cs="David" w:hint="cs"/>
          <w:rtl/>
        </w:rPr>
        <w:t>נעשו</w:t>
      </w:r>
      <w:r w:rsidR="00EF2C6E">
        <w:rPr>
          <w:rFonts w:cs="David" w:hint="cs"/>
          <w:rtl/>
        </w:rPr>
        <w:t xml:space="preserve"> מוכשרים להתגייר אח"כ </w:t>
      </w:r>
      <w:r w:rsidR="00284143">
        <w:rPr>
          <w:rFonts w:cs="David" w:hint="cs"/>
          <w:rtl/>
        </w:rPr>
        <w:t>ע"י טבילה</w:t>
      </w:r>
      <w:r w:rsidR="0099370D">
        <w:rPr>
          <w:rStyle w:val="FootnoteReference"/>
          <w:rFonts w:cs="David"/>
          <w:rtl/>
        </w:rPr>
        <w:footnoteReference w:id="7"/>
      </w:r>
      <w:r w:rsidR="00D0447E">
        <w:rPr>
          <w:rFonts w:cs="David" w:hint="cs"/>
          <w:rtl/>
        </w:rPr>
        <w:t xml:space="preserve"> </w:t>
      </w:r>
      <w:r w:rsidR="00D0447E">
        <w:rPr>
          <w:rStyle w:val="FootnoteReference"/>
          <w:rFonts w:cs="David"/>
          <w:rtl/>
        </w:rPr>
        <w:footnoteReference w:id="8"/>
      </w:r>
      <w:r w:rsidR="00284143">
        <w:rPr>
          <w:rFonts w:cs="David" w:hint="cs"/>
          <w:rtl/>
        </w:rPr>
        <w:t>.</w:t>
      </w:r>
    </w:p>
    <w:p w14:paraId="1C732776" w14:textId="5BB6C85A" w:rsidR="00EA739F" w:rsidRDefault="00EA739F" w:rsidP="00EA739F">
      <w:pPr>
        <w:pStyle w:val="Heading3"/>
        <w:rPr>
          <w:rtl/>
        </w:rPr>
      </w:pPr>
      <w:r>
        <w:rPr>
          <w:rFonts w:hint="cs"/>
          <w:rtl/>
        </w:rPr>
        <w:t>ביאור שיטת הרמב"ן דמילת גירות צריך להיות בפני שלשה וביום ע"פ הנ"ל</w:t>
      </w:r>
    </w:p>
    <w:p w14:paraId="0E3119BD" w14:textId="7EDFF264" w:rsidR="00EA739F" w:rsidRDefault="007320F2" w:rsidP="00EA739F">
      <w:pPr>
        <w:rPr>
          <w:rtl/>
        </w:rPr>
      </w:pPr>
      <w:r>
        <w:rPr>
          <w:rFonts w:hint="cs"/>
          <w:rtl/>
        </w:rPr>
        <w:t>והנה איתא בגמ' יבמות מ"ו ב', ש"מ גר צריך שלשה כו' וש"מ אין מטבילין גר בלילה כו', אמר רבי יוחנן גר צריך ג' משפט כתיב בי', ויעו' בתוס' שם דגם הא דאין מטבילין גר בלילה הוא מה"ט דמשפט כתיב בי'. והנה בגמ' מבואר רק דטבילת גירות צריך להיות בפני שלשה וביום, אכן בחי' הרמב"ן מ"ה ב' משמע דגם מילת גירות צריך להיות בפני ג' וביום, וכ"כ הרשב"א שם בשמו, וכן פסק הטור סי' רס"ח. אכן יעו"ש בב"ח שדקדק מתוך דברי הרמב"ם והרי"ף והסמ"ג דפליגי ע"ז וס"ל דדוקא טבילת גירות צריך שלשה וביום, אבל לא מילת גירות, וכתב שכן משמע בגמ' דלא הוזכר בפני שלשה כי אם אצל טבילה ולא אצל מילה.</w:t>
      </w:r>
    </w:p>
    <w:p w14:paraId="7062DECF" w14:textId="7186B3E3" w:rsidR="005858A2" w:rsidRDefault="005858A2" w:rsidP="00EA739F">
      <w:pPr>
        <w:rPr>
          <w:rtl/>
        </w:rPr>
      </w:pPr>
      <w:r>
        <w:rPr>
          <w:rFonts w:hint="cs"/>
          <w:rtl/>
        </w:rPr>
        <w:t>וע"פ דרכנו נראה דא"ש טובא הא דהרמב"ן נקט דגם מילה צריך להיות בפני שנים וביום, דאיהו ס"ל דמילת גירות הוי חלק מעצם סדר הגירות וחשיבא מעשה גירות, וא"כ מסתבר דגם היא מקרי משפט וצריך כל דיני משפט, אבל אי נימא כמ"ש בדעת שאר הראשונים, דדוקא טבילה היא מעשה גירות אבל מילה היא רק הקדמה המכשרתו להתגייר אח"כ, א"כ מסתבר דמילה לא מקריא משפט וא"צ להיות בפני ג' וביום.</w:t>
      </w:r>
    </w:p>
    <w:p w14:paraId="57B01050" w14:textId="6079B5A0" w:rsidR="00F64D4B" w:rsidRDefault="00F64D4B" w:rsidP="00F64D4B">
      <w:pPr>
        <w:pStyle w:val="Heading3"/>
        <w:rPr>
          <w:rtl/>
        </w:rPr>
      </w:pPr>
      <w:r>
        <w:rPr>
          <w:rFonts w:hint="cs"/>
          <w:rtl/>
        </w:rPr>
        <w:t>קושי בשיטת הרמב"ם</w:t>
      </w:r>
    </w:p>
    <w:p w14:paraId="3839AA3F" w14:textId="515BFB4E" w:rsidR="00F64D4B" w:rsidRDefault="00F64D4B" w:rsidP="00F64D4B">
      <w:pPr>
        <w:rPr>
          <w:rtl/>
        </w:rPr>
      </w:pPr>
      <w:r>
        <w:rPr>
          <w:rFonts w:hint="cs"/>
          <w:rtl/>
        </w:rPr>
        <w:t>והנה כבר הזכרנו מה שדקדקו הפוסקים מתוך לשון הרמב"ם דהסדר של מילה ואח"כ טבילה היא לעיכובא, וע"פ דרכנו היינו משום דמילה איננה מכלל עצם הגירות, וזה א"ש עם מה שדקדק הב"ח מתו"ד הרמב"ם דמילת</w:t>
      </w:r>
      <w:r w:rsidR="00CA07D2">
        <w:rPr>
          <w:rFonts w:hint="cs"/>
          <w:rtl/>
        </w:rPr>
        <w:t xml:space="preserve"> גירות</w:t>
      </w:r>
      <w:r>
        <w:rPr>
          <w:rFonts w:hint="cs"/>
          <w:rtl/>
        </w:rPr>
        <w:t xml:space="preserve"> א"צ להיות בפני ג' וא"צ להיות ביום. וא"ש ג"כ, דהנה הרמב"ם ס"ל דבני קטורה חייבין במילה בזה"ז, ולפ"ז א"א לומר כדרכו של הרמב"ן דהא דשבט לוי לא הוצרכו למול בשעת מתן תורה הוא משום שכבר היו מצווין במילה, דא"כ תקשי דה"ה בנ"ק הבאים להתגייר בזה"ז לא יצטרכו למול </w:t>
      </w:r>
      <w:r w:rsidR="00CA07D2">
        <w:rPr>
          <w:rFonts w:hint="cs"/>
          <w:rtl/>
        </w:rPr>
        <w:t>[</w:t>
      </w:r>
      <w:r>
        <w:rPr>
          <w:rFonts w:hint="cs"/>
          <w:rtl/>
        </w:rPr>
        <w:t>ו</w:t>
      </w:r>
      <w:r w:rsidR="00CA07D2">
        <w:rPr>
          <w:rFonts w:hint="cs"/>
          <w:rtl/>
        </w:rPr>
        <w:t xml:space="preserve">כמו שק' </w:t>
      </w:r>
      <w:r>
        <w:rPr>
          <w:rFonts w:hint="cs"/>
          <w:rtl/>
        </w:rPr>
        <w:t>הרמב"ן</w:t>
      </w:r>
      <w:r w:rsidR="00CA07D2">
        <w:rPr>
          <w:rFonts w:hint="cs"/>
          <w:rtl/>
        </w:rPr>
        <w:t xml:space="preserve"> ו</w:t>
      </w:r>
      <w:r>
        <w:rPr>
          <w:rFonts w:hint="cs"/>
          <w:rtl/>
        </w:rPr>
        <w:t>הוכיח מזה דבנ"ק אינם חייבין במילה בזה"ז כ"א מדרב</w:t>
      </w:r>
      <w:r w:rsidR="00CA07D2">
        <w:rPr>
          <w:rFonts w:hint="cs"/>
          <w:rtl/>
        </w:rPr>
        <w:t>נ</w:t>
      </w:r>
      <w:r w:rsidR="000E4D18">
        <w:rPr>
          <w:rFonts w:hint="cs"/>
          <w:rtl/>
        </w:rPr>
        <w:t>ן</w:t>
      </w:r>
      <w:r w:rsidR="00CA07D2">
        <w:rPr>
          <w:rFonts w:hint="cs"/>
          <w:rtl/>
        </w:rPr>
        <w:t>]</w:t>
      </w:r>
      <w:r w:rsidR="000E4D18">
        <w:rPr>
          <w:rFonts w:hint="cs"/>
          <w:rtl/>
        </w:rPr>
        <w:t>. אע"כ צריך ל</w:t>
      </w:r>
      <w:r w:rsidR="00B03D23">
        <w:rPr>
          <w:rFonts w:hint="cs"/>
          <w:rtl/>
        </w:rPr>
        <w:t>ומר</w:t>
      </w:r>
      <w:r w:rsidR="000E4D18">
        <w:rPr>
          <w:rFonts w:hint="cs"/>
          <w:rtl/>
        </w:rPr>
        <w:t xml:space="preserve"> כמ"ש תוס' והרא"ש דשאני שבט לוי </w:t>
      </w:r>
      <w:r w:rsidR="00CA07D2">
        <w:rPr>
          <w:rFonts w:hint="cs"/>
          <w:rtl/>
        </w:rPr>
        <w:t>שמילתם</w:t>
      </w:r>
      <w:r w:rsidR="000E4D18">
        <w:rPr>
          <w:rFonts w:hint="cs"/>
          <w:rtl/>
        </w:rPr>
        <w:t xml:space="preserve"> </w:t>
      </w:r>
      <w:r w:rsidR="00CA07D2">
        <w:rPr>
          <w:rFonts w:hint="cs"/>
          <w:rtl/>
        </w:rPr>
        <w:t xml:space="preserve">שמלו </w:t>
      </w:r>
      <w:r w:rsidR="000E4D18">
        <w:rPr>
          <w:rFonts w:hint="cs"/>
          <w:rtl/>
        </w:rPr>
        <w:t xml:space="preserve">במצרים היתה ליכנס בברית המקום, </w:t>
      </w:r>
      <w:r w:rsidR="00CA07D2">
        <w:rPr>
          <w:rFonts w:hint="cs"/>
          <w:rtl/>
        </w:rPr>
        <w:t xml:space="preserve">משא"כ </w:t>
      </w:r>
      <w:r w:rsidR="000E4D18">
        <w:rPr>
          <w:rFonts w:hint="cs"/>
          <w:rtl/>
        </w:rPr>
        <w:t xml:space="preserve">במילת בני קטורה. וביארנו לעיל דהך תירוץ אזיל דמילה הוי הקדמה לגירות ולא עצם מעשה הגירות, </w:t>
      </w:r>
      <w:r w:rsidR="00CA07D2">
        <w:rPr>
          <w:rFonts w:hint="cs"/>
          <w:rtl/>
        </w:rPr>
        <w:t xml:space="preserve">וזה א"ש עם שיטת הרמב"ם </w:t>
      </w:r>
      <w:r w:rsidR="000E4D18">
        <w:rPr>
          <w:rFonts w:hint="cs"/>
          <w:rtl/>
        </w:rPr>
        <w:t>הנ"ל</w:t>
      </w:r>
      <w:r w:rsidR="00CA07D2">
        <w:rPr>
          <w:rFonts w:hint="cs"/>
          <w:rtl/>
        </w:rPr>
        <w:t xml:space="preserve"> דהסדר של מילה ואח"כ טבילה הוא לעיכובא,</w:t>
      </w:r>
      <w:r w:rsidR="000E4D18">
        <w:rPr>
          <w:rFonts w:hint="cs"/>
          <w:rtl/>
        </w:rPr>
        <w:t xml:space="preserve"> </w:t>
      </w:r>
      <w:r w:rsidR="00842CCD">
        <w:rPr>
          <w:rFonts w:hint="cs"/>
          <w:rtl/>
        </w:rPr>
        <w:t>וש</w:t>
      </w:r>
      <w:r w:rsidR="000E4D18">
        <w:rPr>
          <w:rFonts w:hint="cs"/>
          <w:rtl/>
        </w:rPr>
        <w:t>מילה א"צ להיות בפני ג' וביום</w:t>
      </w:r>
      <w:r w:rsidR="00842CCD">
        <w:rPr>
          <w:rFonts w:hint="cs"/>
          <w:rtl/>
        </w:rPr>
        <w:t>.</w:t>
      </w:r>
    </w:p>
    <w:p w14:paraId="04D8C555" w14:textId="53DE2D9A" w:rsidR="000E4D18" w:rsidRDefault="000E4D18" w:rsidP="00F64D4B">
      <w:pPr>
        <w:rPr>
          <w:rtl/>
        </w:rPr>
      </w:pPr>
      <w:r>
        <w:rPr>
          <w:rFonts w:hint="cs"/>
          <w:rtl/>
        </w:rPr>
        <w:t>אלא</w:t>
      </w:r>
      <w:r w:rsidR="00EE51FB">
        <w:rPr>
          <w:rFonts w:hint="cs"/>
          <w:rtl/>
        </w:rPr>
        <w:t xml:space="preserve"> דצ"ע, דבחי' רבנו חיים הלוי פי"ג מהל' איסו"ב דקדק מתוך דברי הרמב"ם שם דהא דעבד משוחרר צריך טבילה לגמור גירותו הוא מן התורה, וא"כ תקשי מדוע סגי לי' בטבילה וא"צ מילה, וכבר נתבאר לעיל דמה שהרמב"ן תי' בזה דכיון דמל כשנעשה עבד א"צ מילה בשעת גירות, אתיא לשיטתו דכל גוי שנמול איזה מילה של מצוה אפי' אם איננה מילה של כניסה בברית, סגי לי' לענין שא"צ מילה בשעת גירות, אבל לדעת תוס' והרא"ש דדוקא ע"י מילה של כניסה בברית מפטר ממילה בשעת גירות, לא מהני לזה מילה של עבדו</w:t>
      </w:r>
      <w:r w:rsidR="00A409D9">
        <w:rPr>
          <w:rFonts w:hint="cs"/>
          <w:rtl/>
        </w:rPr>
        <w:t>ת, ומש"ה הוצרך הרא"ש לומר דבאמת עבד משוחרר א"צ סדר של גירות כלל ומה שצ' טבילה הוא רק מדרבנן, ולא היה יכול לחלק בין מילה לטבילה וכמ"ש הרמב"ן. ומעתה ק', דלדעת הרמב"ם דס"ל כשי' תוס', דגוי שנמול מילה שאינה מתורת כניסה לברית, צריך מילה שניה בשעת גירות, וכדמוכח מהא דבן קטורה הבא להתגייר צ' מילת גירות אף דמה שמל בגיותו היא מילה גמורה לדעתו, מאי שנא דעבד משוחרר א"צ מילה בשעת גירות.</w:t>
      </w:r>
    </w:p>
    <w:p w14:paraId="47366121" w14:textId="159D1666" w:rsidR="00A409D9" w:rsidRDefault="00A409D9" w:rsidP="00F64D4B">
      <w:pPr>
        <w:rPr>
          <w:rtl/>
        </w:rPr>
      </w:pPr>
      <w:r>
        <w:rPr>
          <w:rFonts w:hint="cs"/>
          <w:rtl/>
        </w:rPr>
        <w:lastRenderedPageBreak/>
        <w:t>ונראה שי"ל בזה, דהרמב"ם חולק על משנ"ת בד</w:t>
      </w:r>
      <w:r w:rsidR="006E4696">
        <w:rPr>
          <w:rFonts w:hint="cs"/>
          <w:rtl/>
        </w:rPr>
        <w:t xml:space="preserve">ברי התוס' הרא"ש [וכן י"ל בדעת הרמב"ן] דמילת עבדות לא הוי מילה של כניסה בברית, אלא ס"ל דמילת עבדות שיש בה גירות קצת, מקרי מילה של כניסה בברית, וממילא סגי לענין שלא יהא צריך מילה אחרת בשעה שמשתחרר, דהו"ל כמו שבט לוי שכיון שכבר מלו מילה של כניסה בברית קודם שעת הגירות, א"צ מילה אחרת בשעת </w:t>
      </w:r>
      <w:r w:rsidR="00AA2EF9">
        <w:rPr>
          <w:rFonts w:hint="cs"/>
          <w:rtl/>
        </w:rPr>
        <w:t>גירות</w:t>
      </w:r>
      <w:r w:rsidR="006E4696">
        <w:rPr>
          <w:rFonts w:hint="cs"/>
          <w:rtl/>
        </w:rPr>
        <w:t xml:space="preserve"> אלא סגי להו בטבילה.</w:t>
      </w:r>
    </w:p>
    <w:p w14:paraId="66DB1EB0" w14:textId="099DE9AC" w:rsidR="006E4696" w:rsidRDefault="00AA2EF9" w:rsidP="00F64D4B">
      <w:pPr>
        <w:rPr>
          <w:rtl/>
        </w:rPr>
      </w:pPr>
      <w:r>
        <w:rPr>
          <w:rFonts w:hint="cs"/>
          <w:rtl/>
        </w:rPr>
        <w:t>ובביאור הך פלוגתא שבין הרמב"ם עם הרא"ש, האם מילת עבדות מקרי מילה של כניסה בברית או לא, י"ל דתליא בפלוגתא אחרת שכבר נחלקו בעיקר התורת 'מקצת גירות' של עבדות.</w:t>
      </w:r>
      <w:r w:rsidR="00F31DC3">
        <w:rPr>
          <w:rFonts w:hint="cs"/>
          <w:rtl/>
        </w:rPr>
        <w:t xml:space="preserve"> דיעו' בחי' רח"ה שם, שכתב דנחלקו התוס' והרמב"ם בדין עבד משוחרר קודם טבילה, שהתוס' נקטו דלא הוי בר קידושין, אבל בדעת הרמב"ם כ' הגר"ח דס"ל דהוי בר קידושין, וביאר הגר"ח דהרמב"ם ס"ל דבשחרור לבד צריך להיות העבד בקדושת ישראל ע"י הטבילה והגירות שעשה בתחילה לשם עבדות</w:t>
      </w:r>
      <w:r w:rsidR="00B03D23">
        <w:rPr>
          <w:rFonts w:hint="cs"/>
          <w:rtl/>
        </w:rPr>
        <w:t>,</w:t>
      </w:r>
      <w:r w:rsidR="00F31DC3">
        <w:rPr>
          <w:rFonts w:hint="cs"/>
          <w:rtl/>
        </w:rPr>
        <w:t xml:space="preserve"> וא"צ לגירות אלא לדינים הנוספים</w:t>
      </w:r>
      <w:r w:rsidR="00675054">
        <w:rPr>
          <w:rFonts w:hint="cs"/>
          <w:rtl/>
        </w:rPr>
        <w:t xml:space="preserve"> של ישראל שעדיין לא חלו עליו אבל זה דלא תפסי בי' קידושין אינו משום חסרון קדושת ישראל שבו כ"א מחמת הדין עבד דעבד אין לו חייס, והשתא דפקע מיני' דין עבד ממילא הוא כישראל והו"ל בר קידושין, ויעו"ע בהמשך דבריו שם שזהו הטעם דמהני טבילת גירות בע"כ בעבד משוחרר</w:t>
      </w:r>
      <w:r w:rsidR="00B03D23">
        <w:rPr>
          <w:rFonts w:hint="cs"/>
          <w:rtl/>
        </w:rPr>
        <w:t>,</w:t>
      </w:r>
      <w:r w:rsidR="00675054">
        <w:rPr>
          <w:rFonts w:hint="cs"/>
          <w:rtl/>
        </w:rPr>
        <w:t xml:space="preserve"> משום דכבר הוא מחוייב להיות ישראל גמור ע"י הגירות שעשה בתחילה. ויעו"ש דתוס' חולקים ע"ז וס"ל דאפי' לאחר שנשתחרר לא נעש</w:t>
      </w:r>
      <w:r w:rsidR="00B03D23">
        <w:rPr>
          <w:rFonts w:hint="cs"/>
          <w:rtl/>
        </w:rPr>
        <w:t>ה</w:t>
      </w:r>
      <w:r w:rsidR="00675054">
        <w:rPr>
          <w:rFonts w:hint="cs"/>
          <w:rtl/>
        </w:rPr>
        <w:t xml:space="preserve"> כישראל לענין תפיסת קידושין עד שמתגייר בטבילה, וגם בהא דא"צ דעת העבד בשעת טבילה, לא ס"ל כמ"ש בדעת הרמב"ם משום דכבר הוי מחוייב להיות ישראל גמור, אלא הוי גזה"כ מיוחד דאפשר לגייר ולטבול העבד בע"כ וא"צ דעתו.</w:t>
      </w:r>
      <w:r w:rsidR="0077709C">
        <w:rPr>
          <w:rFonts w:hint="cs"/>
          <w:rtl/>
        </w:rPr>
        <w:t xml:space="preserve"> וי"ל בביאור הענין דנחלקו בעיקר התורת גירות של עבד, דהרמב"ם ס"ל דהוי כעין גירות גמורה ונכלל בי' שצ' להיות ישראל גמור רק שחסר לו איזה דיני ישראל ולזה צריך להשלים הגירות אח"כ כשהו משתחרר, ותוס' ס"ל דגירות של העבד לא הוי כגירות גמורה כלל והוי רק גירות של עבדות ולא אכלל בי' להיות כמו ישראל, ומה שנעשה ישראל אח"כ כשהוא משתחרר הוא דין חדש שבאותה שעה נעשה גר בע"כ</w:t>
      </w:r>
      <w:r w:rsidR="0077709C">
        <w:rPr>
          <w:rStyle w:val="FootnoteReference"/>
          <w:rtl/>
        </w:rPr>
        <w:footnoteReference w:id="9"/>
      </w:r>
      <w:r w:rsidR="0077709C">
        <w:rPr>
          <w:rFonts w:hint="cs"/>
          <w:rtl/>
        </w:rPr>
        <w:t>.</w:t>
      </w:r>
    </w:p>
    <w:p w14:paraId="1FCBCF5D" w14:textId="3F02E738" w:rsidR="00F31DC3" w:rsidRPr="00F64D4B" w:rsidRDefault="00F13E8D" w:rsidP="00F64D4B">
      <w:r>
        <w:rPr>
          <w:rFonts w:cs="David" w:hint="cs"/>
          <w:rtl/>
        </w:rPr>
        <w:t xml:space="preserve">וא"כ מובן היטב מ"ש דנחלקו הרמב"ם עם התוס' הרא"ש האם מילת עבדות חשיבא מילה של כניסה בברית או לא, דבשיטת התוס' הרי נתבאר דגירות של עבדות לא הוי כמו גירות של ישראל, ומה שנעשה ישראל בשעת שחררור הוא חלות אחרת המתחדשת אז בשעת השחרור, וא"כ אף דמילת עבדות מקרי מילה מ"מ לא מקריא מילה של כניסה בברית, ואינה יכולה לשמש כמילת גירות לענין הגירות שבא לעשות בשעת שחרור. אבל </w:t>
      </w:r>
      <w:r w:rsidR="0026389E">
        <w:rPr>
          <w:rFonts w:cs="David" w:hint="cs"/>
          <w:rtl/>
        </w:rPr>
        <w:t>לדעת הרמב"ם דבגירות של עבדות נכלל שדינו הוא להיות ישראל גמור, ומועלת לענין דתפסי בי' קידושין אחר שחרור קודם טבילה וגמר גירות, וגם לענין שחייב להתגייר אח"כ שיחול עליו דין ישראל גמור ומה"ט מהני טבילה בע"כ, ממילא שפיר חשיבא המילת עבדות מילה של כניסה בברית</w:t>
      </w:r>
      <w:r w:rsidR="00AD0D9F">
        <w:rPr>
          <w:rFonts w:cs="David" w:hint="cs"/>
          <w:rtl/>
        </w:rPr>
        <w:t>, ומועלת גם לענין הגירות שעושה בשעת שחרור.</w:t>
      </w:r>
    </w:p>
    <w:p w14:paraId="532AD1BB" w14:textId="546D283F" w:rsidR="00805B15" w:rsidRPr="00E71E10" w:rsidRDefault="00805B15" w:rsidP="00E71E10">
      <w:pPr>
        <w:pStyle w:val="Heading2"/>
        <w:numPr>
          <w:ilvl w:val="0"/>
          <w:numId w:val="0"/>
        </w:numPr>
        <w:spacing w:before="480"/>
        <w:rPr>
          <w:sz w:val="28"/>
          <w:szCs w:val="28"/>
          <w:rtl/>
        </w:rPr>
      </w:pPr>
      <w:r w:rsidRPr="00E71E10">
        <w:rPr>
          <w:rFonts w:hint="cs"/>
          <w:sz w:val="28"/>
          <w:szCs w:val="28"/>
          <w:rtl/>
        </w:rPr>
        <w:t>הוספות</w:t>
      </w:r>
    </w:p>
    <w:p w14:paraId="21852FDD" w14:textId="206F4EBA" w:rsidR="00805B15" w:rsidRDefault="00805B15" w:rsidP="00805B15">
      <w:pPr>
        <w:rPr>
          <w:rtl/>
        </w:rPr>
      </w:pPr>
      <w:r>
        <w:rPr>
          <w:rFonts w:cs="David" w:hint="cs"/>
          <w:b/>
          <w:bCs/>
          <w:rtl/>
        </w:rPr>
        <w:t>א.</w:t>
      </w:r>
      <w:r w:rsidR="00E71E10">
        <w:rPr>
          <w:rFonts w:cs="David" w:hint="eastAsia"/>
          <w:b/>
          <w:bCs/>
          <w:rtl/>
        </w:rPr>
        <w:t> </w:t>
      </w:r>
      <w:r>
        <w:rPr>
          <w:rFonts w:cs="David" w:hint="cs"/>
          <w:b/>
          <w:bCs/>
          <w:rtl/>
        </w:rPr>
        <w:t xml:space="preserve">ביאור פלוגתת הראשונים בענין מעוברת שנתגיירה - </w:t>
      </w:r>
      <w:r>
        <w:rPr>
          <w:rFonts w:cs="David" w:hint="cs"/>
          <w:rtl/>
        </w:rPr>
        <w:t xml:space="preserve">נראה להוסיף ביאור בפלוגתת הראשונים בדין מעוברת שנתגיירה בנה א"צ טבילה, </w:t>
      </w:r>
      <w:r>
        <w:rPr>
          <w:rFonts w:hint="cs"/>
          <w:rtl/>
        </w:rPr>
        <w:t>דהרמב"ן נקט ד</w:t>
      </w:r>
      <w:r>
        <w:rPr>
          <w:rFonts w:hint="cs"/>
          <w:rtl/>
        </w:rPr>
        <w:t xml:space="preserve">בע"כ </w:t>
      </w:r>
      <w:r>
        <w:rPr>
          <w:rFonts w:hint="cs"/>
          <w:rtl/>
        </w:rPr>
        <w:t>יהא הבן צריך</w:t>
      </w:r>
      <w:r>
        <w:rPr>
          <w:rFonts w:hint="cs"/>
          <w:rtl/>
        </w:rPr>
        <w:t xml:space="preserve"> מילה </w:t>
      </w:r>
      <w:r>
        <w:rPr>
          <w:rFonts w:hint="cs"/>
          <w:rtl/>
        </w:rPr>
        <w:t>ל</w:t>
      </w:r>
      <w:r>
        <w:rPr>
          <w:rFonts w:hint="cs"/>
          <w:rtl/>
        </w:rPr>
        <w:t xml:space="preserve">אחר </w:t>
      </w:r>
      <w:r>
        <w:rPr>
          <w:rFonts w:hint="cs"/>
          <w:rtl/>
        </w:rPr>
        <w:t>שנולד כדי להתגי</w:t>
      </w:r>
      <w:r w:rsidR="00CA50CC">
        <w:rPr>
          <w:rFonts w:hint="cs"/>
          <w:rtl/>
        </w:rPr>
        <w:t>י</w:t>
      </w:r>
      <w:r>
        <w:rPr>
          <w:rFonts w:hint="cs"/>
          <w:rtl/>
        </w:rPr>
        <w:t>ר</w:t>
      </w:r>
      <w:r>
        <w:rPr>
          <w:rFonts w:hint="cs"/>
          <w:rtl/>
        </w:rPr>
        <w:t xml:space="preserve">, </w:t>
      </w:r>
      <w:r>
        <w:rPr>
          <w:rFonts w:hint="cs"/>
          <w:rtl/>
        </w:rPr>
        <w:t xml:space="preserve">ולמד מזה </w:t>
      </w:r>
      <w:r>
        <w:rPr>
          <w:rFonts w:hint="cs"/>
          <w:rtl/>
        </w:rPr>
        <w:t>ד</w:t>
      </w:r>
      <w:r>
        <w:rPr>
          <w:rFonts w:hint="cs"/>
          <w:rtl/>
        </w:rPr>
        <w:t>ה</w:t>
      </w:r>
      <w:r>
        <w:rPr>
          <w:rFonts w:hint="cs"/>
          <w:rtl/>
        </w:rPr>
        <w:t xml:space="preserve">סדר </w:t>
      </w:r>
      <w:r>
        <w:rPr>
          <w:rFonts w:hint="cs"/>
          <w:rtl/>
        </w:rPr>
        <w:t xml:space="preserve">של מילה ואח"כ טבילה </w:t>
      </w:r>
      <w:r>
        <w:rPr>
          <w:rFonts w:hint="cs"/>
          <w:rtl/>
        </w:rPr>
        <w:t>אינו מעכב. אך הרשב"א דחה דאיירי בבת</w:t>
      </w:r>
      <w:r>
        <w:rPr>
          <w:rFonts w:hint="cs"/>
          <w:rtl/>
        </w:rPr>
        <w:t xml:space="preserve"> שא"צ מילה</w:t>
      </w:r>
      <w:r>
        <w:rPr>
          <w:rFonts w:hint="cs"/>
          <w:rtl/>
        </w:rPr>
        <w:t>, ובבן אי</w:t>
      </w:r>
      <w:r>
        <w:rPr>
          <w:rFonts w:hint="cs"/>
          <w:rtl/>
        </w:rPr>
        <w:t>ן טבילת האם</w:t>
      </w:r>
      <w:r>
        <w:rPr>
          <w:rFonts w:hint="cs"/>
          <w:rtl/>
        </w:rPr>
        <w:t xml:space="preserve"> מועל</w:t>
      </w:r>
      <w:r>
        <w:rPr>
          <w:rFonts w:hint="cs"/>
          <w:rtl/>
        </w:rPr>
        <w:t>ת</w:t>
      </w:r>
      <w:r>
        <w:rPr>
          <w:rFonts w:hint="cs"/>
          <w:rtl/>
        </w:rPr>
        <w:t xml:space="preserve"> כלל. והריטב"א </w:t>
      </w:r>
      <w:r>
        <w:rPr>
          <w:rFonts w:hint="cs"/>
          <w:rtl/>
        </w:rPr>
        <w:t>דחה ראיית הרמב"ן,</w:t>
      </w:r>
      <w:r>
        <w:rPr>
          <w:rFonts w:hint="cs"/>
          <w:rtl/>
        </w:rPr>
        <w:t xml:space="preserve"> דכה"ג </w:t>
      </w:r>
      <w:r>
        <w:rPr>
          <w:rFonts w:hint="cs"/>
          <w:rtl/>
        </w:rPr>
        <w:t xml:space="preserve">שאין הבן ראוי למילה בשעת הטבילה, </w:t>
      </w:r>
      <w:r>
        <w:rPr>
          <w:rFonts w:hint="cs"/>
          <w:rtl/>
        </w:rPr>
        <w:t xml:space="preserve">חייל </w:t>
      </w:r>
      <w:r>
        <w:rPr>
          <w:rFonts w:hint="cs"/>
          <w:rtl/>
        </w:rPr>
        <w:t>ה</w:t>
      </w:r>
      <w:r>
        <w:rPr>
          <w:rFonts w:hint="cs"/>
          <w:rtl/>
        </w:rPr>
        <w:t>גירות ע"י טבילה לחוד</w:t>
      </w:r>
      <w:r>
        <w:rPr>
          <w:rFonts w:hint="cs"/>
          <w:rtl/>
        </w:rPr>
        <w:t>, ולעולם בעלמא בעי' דוקא מילה קודם הטבילה</w:t>
      </w:r>
      <w:r>
        <w:rPr>
          <w:rFonts w:hint="cs"/>
          <w:rtl/>
        </w:rPr>
        <w:t xml:space="preserve">. וכעי"ז </w:t>
      </w:r>
      <w:r>
        <w:rPr>
          <w:rFonts w:hint="cs"/>
          <w:rtl/>
        </w:rPr>
        <w:t>כ'</w:t>
      </w:r>
      <w:r>
        <w:rPr>
          <w:rFonts w:hint="cs"/>
          <w:rtl/>
        </w:rPr>
        <w:t xml:space="preserve"> התוס', דשא"ה </w:t>
      </w:r>
      <w:r>
        <w:rPr>
          <w:rFonts w:hint="cs"/>
          <w:rtl/>
        </w:rPr>
        <w:t xml:space="preserve">ההיא דמעוברת </w:t>
      </w:r>
      <w:r>
        <w:rPr>
          <w:rFonts w:hint="cs"/>
          <w:rtl/>
        </w:rPr>
        <w:t>דבאותה שעה אי</w:t>
      </w:r>
      <w:r>
        <w:rPr>
          <w:rFonts w:hint="cs"/>
          <w:rtl/>
        </w:rPr>
        <w:t>ן העובר</w:t>
      </w:r>
      <w:r>
        <w:rPr>
          <w:rFonts w:hint="cs"/>
          <w:rtl/>
        </w:rPr>
        <w:t xml:space="preserve"> ראוי למילה, ונחלקו המפרשים האם כוונתם </w:t>
      </w:r>
      <w:r>
        <w:rPr>
          <w:rFonts w:hint="cs"/>
          <w:rtl/>
        </w:rPr>
        <w:t xml:space="preserve">היא </w:t>
      </w:r>
      <w:r>
        <w:rPr>
          <w:rFonts w:hint="cs"/>
          <w:rtl/>
        </w:rPr>
        <w:t>כ</w:t>
      </w:r>
      <w:r>
        <w:rPr>
          <w:rFonts w:hint="cs"/>
          <w:rtl/>
        </w:rPr>
        <w:t>ה</w:t>
      </w:r>
      <w:r>
        <w:rPr>
          <w:rFonts w:hint="cs"/>
          <w:rtl/>
        </w:rPr>
        <w:t>ריטב"א</w:t>
      </w:r>
      <w:r>
        <w:rPr>
          <w:rFonts w:hint="cs"/>
          <w:rtl/>
        </w:rPr>
        <w:t>, ור"ל דמטעם זה</w:t>
      </w:r>
      <w:r>
        <w:rPr>
          <w:rFonts w:hint="cs"/>
          <w:rtl/>
        </w:rPr>
        <w:t xml:space="preserve"> חייל הגירות בלי מילה כלל, או</w:t>
      </w:r>
      <w:r>
        <w:rPr>
          <w:rFonts w:hint="cs"/>
          <w:rtl/>
        </w:rPr>
        <w:t xml:space="preserve"> דר"ל דלעולם אין הגי</w:t>
      </w:r>
      <w:r w:rsidR="00F86E51">
        <w:rPr>
          <w:rFonts w:hint="cs"/>
          <w:rtl/>
        </w:rPr>
        <w:t>רות נגמר עד שימול אח"כ</w:t>
      </w:r>
      <w:r w:rsidR="00CA50CC">
        <w:rPr>
          <w:rFonts w:hint="cs"/>
          <w:rtl/>
        </w:rPr>
        <w:t>,</w:t>
      </w:r>
      <w:r w:rsidR="00F86E51">
        <w:rPr>
          <w:rFonts w:hint="cs"/>
          <w:rtl/>
        </w:rPr>
        <w:t xml:space="preserve"> אלא</w:t>
      </w:r>
      <w:r>
        <w:rPr>
          <w:rFonts w:hint="cs"/>
          <w:rtl/>
        </w:rPr>
        <w:t xml:space="preserve"> דכה"ג </w:t>
      </w:r>
      <w:r w:rsidR="00F86E51">
        <w:rPr>
          <w:rFonts w:hint="cs"/>
          <w:rtl/>
        </w:rPr>
        <w:t>ד</w:t>
      </w:r>
      <w:r w:rsidR="00CA50CC">
        <w:rPr>
          <w:rFonts w:hint="cs"/>
          <w:rtl/>
        </w:rPr>
        <w:t>לא היה</w:t>
      </w:r>
      <w:r w:rsidR="00F86E51">
        <w:rPr>
          <w:rFonts w:hint="cs"/>
          <w:rtl/>
        </w:rPr>
        <w:t xml:space="preserve"> ראוי למילה ב</w:t>
      </w:r>
      <w:r w:rsidR="00CA50CC">
        <w:rPr>
          <w:rFonts w:hint="cs"/>
          <w:rtl/>
        </w:rPr>
        <w:t>שעת הטבילה</w:t>
      </w:r>
      <w:r w:rsidR="00F86E51">
        <w:rPr>
          <w:rFonts w:hint="cs"/>
          <w:rtl/>
        </w:rPr>
        <w:t xml:space="preserve">, אין </w:t>
      </w:r>
      <w:r>
        <w:rPr>
          <w:rFonts w:hint="cs"/>
          <w:rtl/>
        </w:rPr>
        <w:t xml:space="preserve">הסדר אינו מעכב, אע"ג דבעלמא </w:t>
      </w:r>
      <w:r w:rsidR="008600D7">
        <w:rPr>
          <w:rFonts w:hint="cs"/>
          <w:rtl/>
        </w:rPr>
        <w:t xml:space="preserve">הסדר </w:t>
      </w:r>
      <w:r>
        <w:rPr>
          <w:rFonts w:hint="cs"/>
          <w:rtl/>
        </w:rPr>
        <w:t>מעכב.</w:t>
      </w:r>
    </w:p>
    <w:p w14:paraId="478B9980" w14:textId="5BF795B4" w:rsidR="00F86E51" w:rsidRDefault="00805B15" w:rsidP="00805B15">
      <w:pPr>
        <w:rPr>
          <w:rtl/>
        </w:rPr>
      </w:pPr>
      <w:r>
        <w:rPr>
          <w:rFonts w:hint="cs"/>
          <w:rtl/>
        </w:rPr>
        <w:t xml:space="preserve">ונ' דא"ש היטב מאי דהרמב"ן לא נחת לומר </w:t>
      </w:r>
      <w:r w:rsidR="00F86E51">
        <w:rPr>
          <w:rFonts w:hint="cs"/>
          <w:rtl/>
        </w:rPr>
        <w:t>דבעובר</w:t>
      </w:r>
      <w:r>
        <w:rPr>
          <w:rFonts w:hint="cs"/>
          <w:rtl/>
        </w:rPr>
        <w:t xml:space="preserve"> </w:t>
      </w:r>
      <w:r w:rsidR="00F86E51">
        <w:rPr>
          <w:rFonts w:hint="cs"/>
          <w:rtl/>
        </w:rPr>
        <w:t>נגמר גירותו בטבילה לחוד, ו</w:t>
      </w:r>
      <w:r>
        <w:rPr>
          <w:rFonts w:hint="cs"/>
          <w:rtl/>
        </w:rPr>
        <w:t>א"צ מילה כלל,</w:t>
      </w:r>
      <w:r w:rsidR="00F86E51">
        <w:rPr>
          <w:rFonts w:hint="cs"/>
          <w:rtl/>
        </w:rPr>
        <w:t xml:space="preserve"> וכמ"ש הריטב"א. דמאחר דס"ל דמילה היא חלק מעצם סדר ומעשה הגירות וכמשנ"ת,</w:t>
      </w:r>
      <w:r>
        <w:rPr>
          <w:rFonts w:hint="cs"/>
          <w:rtl/>
        </w:rPr>
        <w:t xml:space="preserve"> </w:t>
      </w:r>
      <w:r w:rsidR="00F86E51">
        <w:rPr>
          <w:rFonts w:hint="cs"/>
          <w:rtl/>
        </w:rPr>
        <w:t>לא</w:t>
      </w:r>
      <w:r>
        <w:rPr>
          <w:rFonts w:hint="cs"/>
          <w:rtl/>
        </w:rPr>
        <w:t xml:space="preserve"> מסתבר דעובר יש לו סדר גירות אחר. ורק הריטב"א</w:t>
      </w:r>
      <w:r w:rsidR="00F86E51">
        <w:rPr>
          <w:rFonts w:hint="cs"/>
          <w:rtl/>
        </w:rPr>
        <w:t xml:space="preserve"> מצי למימר</w:t>
      </w:r>
      <w:r>
        <w:rPr>
          <w:rFonts w:hint="cs"/>
          <w:rtl/>
        </w:rPr>
        <w:t xml:space="preserve"> הכי </w:t>
      </w:r>
      <w:r w:rsidR="00F86E51">
        <w:rPr>
          <w:rFonts w:hint="cs"/>
          <w:rtl/>
        </w:rPr>
        <w:t>[וכן התוס' לחד פי'],</w:t>
      </w:r>
      <w:r>
        <w:rPr>
          <w:rFonts w:hint="cs"/>
          <w:rtl/>
        </w:rPr>
        <w:t xml:space="preserve"> </w:t>
      </w:r>
      <w:r w:rsidR="00F86E51">
        <w:rPr>
          <w:rFonts w:hint="cs"/>
          <w:rtl/>
        </w:rPr>
        <w:t>דאנהו ס"ל דמילה אינה בכלל עצם הגירות וכמנש"ת [</w:t>
      </w:r>
      <w:r>
        <w:rPr>
          <w:rFonts w:hint="cs"/>
          <w:rtl/>
        </w:rPr>
        <w:t>ו</w:t>
      </w:r>
      <w:r w:rsidR="00F86E51">
        <w:rPr>
          <w:rFonts w:hint="cs"/>
          <w:rtl/>
        </w:rPr>
        <w:t>הריטב"א הוא</w:t>
      </w:r>
      <w:r>
        <w:rPr>
          <w:rFonts w:hint="cs"/>
          <w:rtl/>
        </w:rPr>
        <w:t xml:space="preserve"> מרי' דשמעתא ד'טובל ושרץ בידו'</w:t>
      </w:r>
      <w:r w:rsidR="00F86E51">
        <w:rPr>
          <w:rFonts w:hint="cs"/>
          <w:rtl/>
        </w:rPr>
        <w:t>],</w:t>
      </w:r>
      <w:r>
        <w:rPr>
          <w:rFonts w:hint="cs"/>
          <w:rtl/>
        </w:rPr>
        <w:t xml:space="preserve"> וא"כ טבילה</w:t>
      </w:r>
      <w:r w:rsidR="00F86E51">
        <w:rPr>
          <w:rFonts w:hint="cs"/>
          <w:rtl/>
        </w:rPr>
        <w:t xml:space="preserve"> לחודה היא</w:t>
      </w:r>
      <w:r>
        <w:rPr>
          <w:rFonts w:hint="cs"/>
          <w:rtl/>
        </w:rPr>
        <w:t xml:space="preserve"> עיקר הגירות</w:t>
      </w:r>
      <w:r w:rsidR="00F86E51">
        <w:rPr>
          <w:rFonts w:hint="cs"/>
          <w:rtl/>
        </w:rPr>
        <w:t>,</w:t>
      </w:r>
      <w:r>
        <w:rPr>
          <w:rFonts w:hint="cs"/>
          <w:rtl/>
        </w:rPr>
        <w:t xml:space="preserve"> ויש מקום לומר דעובר שאינו ראוי </w:t>
      </w:r>
      <w:r w:rsidR="00F86E51">
        <w:rPr>
          <w:rFonts w:hint="cs"/>
          <w:rtl/>
        </w:rPr>
        <w:t>עדיין</w:t>
      </w:r>
      <w:r>
        <w:rPr>
          <w:rFonts w:hint="cs"/>
          <w:rtl/>
        </w:rPr>
        <w:t xml:space="preserve"> למילה</w:t>
      </w:r>
      <w:r w:rsidR="00F86E51">
        <w:rPr>
          <w:rFonts w:hint="cs"/>
          <w:rtl/>
        </w:rPr>
        <w:t>, נאמר בו הל' מיוחדת</w:t>
      </w:r>
      <w:r>
        <w:rPr>
          <w:rFonts w:hint="cs"/>
          <w:rtl/>
        </w:rPr>
        <w:t xml:space="preserve"> </w:t>
      </w:r>
      <w:r w:rsidR="00F86E51">
        <w:rPr>
          <w:rFonts w:hint="cs"/>
          <w:rtl/>
        </w:rPr>
        <w:t>ד</w:t>
      </w:r>
      <w:r>
        <w:rPr>
          <w:rFonts w:hint="cs"/>
          <w:rtl/>
        </w:rPr>
        <w:t xml:space="preserve">סגי לי' טבילה </w:t>
      </w:r>
      <w:r w:rsidR="00F86E51">
        <w:rPr>
          <w:rFonts w:hint="cs"/>
          <w:rtl/>
        </w:rPr>
        <w:t>ב</w:t>
      </w:r>
      <w:r>
        <w:rPr>
          <w:rFonts w:hint="cs"/>
          <w:rtl/>
        </w:rPr>
        <w:t>לי מילה.</w:t>
      </w:r>
    </w:p>
    <w:p w14:paraId="7DCC4200" w14:textId="4F510618" w:rsidR="00805B15" w:rsidRDefault="00805B15" w:rsidP="004A3250">
      <w:pPr>
        <w:rPr>
          <w:rtl/>
        </w:rPr>
      </w:pPr>
      <w:r>
        <w:rPr>
          <w:rFonts w:hint="cs"/>
          <w:rtl/>
        </w:rPr>
        <w:t>ו</w:t>
      </w:r>
      <w:r w:rsidR="00F86E51">
        <w:rPr>
          <w:rFonts w:hint="cs"/>
          <w:rtl/>
        </w:rPr>
        <w:t>לפי הפי' האחר</w:t>
      </w:r>
      <w:r>
        <w:rPr>
          <w:rFonts w:hint="cs"/>
          <w:rtl/>
        </w:rPr>
        <w:t xml:space="preserve"> </w:t>
      </w:r>
      <w:r w:rsidR="00F86E51">
        <w:rPr>
          <w:rFonts w:hint="cs"/>
          <w:rtl/>
        </w:rPr>
        <w:t>ב</w:t>
      </w:r>
      <w:r>
        <w:rPr>
          <w:rFonts w:hint="cs"/>
          <w:rtl/>
        </w:rPr>
        <w:t>תוס'</w:t>
      </w:r>
      <w:r w:rsidR="00F86E51">
        <w:rPr>
          <w:rFonts w:hint="cs"/>
          <w:rtl/>
        </w:rPr>
        <w:t>,</w:t>
      </w:r>
      <w:r>
        <w:rPr>
          <w:rFonts w:hint="cs"/>
          <w:rtl/>
        </w:rPr>
        <w:t xml:space="preserve"> </w:t>
      </w:r>
      <w:r w:rsidR="00F86E51">
        <w:rPr>
          <w:rFonts w:hint="cs"/>
          <w:rtl/>
        </w:rPr>
        <w:t xml:space="preserve">שהבן </w:t>
      </w:r>
      <w:r>
        <w:rPr>
          <w:rFonts w:hint="cs"/>
          <w:rtl/>
        </w:rPr>
        <w:t>צ</w:t>
      </w:r>
      <w:r w:rsidR="00F86E51">
        <w:rPr>
          <w:rFonts w:hint="cs"/>
          <w:rtl/>
        </w:rPr>
        <w:t>ריך</w:t>
      </w:r>
      <w:r>
        <w:rPr>
          <w:rFonts w:hint="cs"/>
          <w:rtl/>
        </w:rPr>
        <w:t xml:space="preserve"> למול </w:t>
      </w:r>
      <w:r w:rsidR="00F86E51">
        <w:rPr>
          <w:rFonts w:hint="cs"/>
          <w:rtl/>
        </w:rPr>
        <w:t>אח"כ רק כה"ג דוקא אין הסדר מעכב,</w:t>
      </w:r>
      <w:r>
        <w:rPr>
          <w:rFonts w:hint="cs"/>
          <w:rtl/>
        </w:rPr>
        <w:t xml:space="preserve"> צ"ב דממ"נ אם טבילה עיקר הגירות הרי סוכ"ס אין הגירות חלה </w:t>
      </w:r>
      <w:r w:rsidR="00F86E51">
        <w:rPr>
          <w:rFonts w:hint="cs"/>
          <w:rtl/>
        </w:rPr>
        <w:t>בשעת הטבילה,</w:t>
      </w:r>
      <w:r>
        <w:rPr>
          <w:rFonts w:hint="cs"/>
          <w:rtl/>
        </w:rPr>
        <w:t xml:space="preserve"> וא"כ נימא דאינו חייל </w:t>
      </w:r>
      <w:r w:rsidR="00F86E51">
        <w:rPr>
          <w:rFonts w:hint="cs"/>
          <w:rtl/>
        </w:rPr>
        <w:t>אפי' לאח"ז, ו</w:t>
      </w:r>
      <w:r>
        <w:rPr>
          <w:rFonts w:hint="cs"/>
          <w:rtl/>
        </w:rPr>
        <w:t xml:space="preserve">כמו בכל גר דאמרי' דכיון דאינו מוכשר </w:t>
      </w:r>
      <w:r>
        <w:rPr>
          <w:rFonts w:hint="cs"/>
          <w:rtl/>
        </w:rPr>
        <w:lastRenderedPageBreak/>
        <w:t>לחול עליו גירות בשעת</w:t>
      </w:r>
      <w:r w:rsidR="00662F24">
        <w:rPr>
          <w:rFonts w:hint="cs"/>
          <w:rtl/>
        </w:rPr>
        <w:t xml:space="preserve"> הטבילה</w:t>
      </w:r>
      <w:r>
        <w:rPr>
          <w:rFonts w:hint="cs"/>
          <w:rtl/>
        </w:rPr>
        <w:t xml:space="preserve"> א</w:t>
      </w:r>
      <w:r w:rsidR="00662F24">
        <w:rPr>
          <w:rFonts w:hint="cs"/>
          <w:rtl/>
        </w:rPr>
        <w:t>ין הגירות יכולה</w:t>
      </w:r>
      <w:r>
        <w:rPr>
          <w:rFonts w:hint="cs"/>
          <w:rtl/>
        </w:rPr>
        <w:t xml:space="preserve"> לחול אח"כ בשע</w:t>
      </w:r>
      <w:r w:rsidR="00662F24">
        <w:rPr>
          <w:rFonts w:hint="cs"/>
          <w:rtl/>
        </w:rPr>
        <w:t>ת</w:t>
      </w:r>
      <w:r>
        <w:rPr>
          <w:rFonts w:hint="cs"/>
          <w:rtl/>
        </w:rPr>
        <w:t xml:space="preserve"> </w:t>
      </w:r>
      <w:r w:rsidR="00662F24">
        <w:rPr>
          <w:rFonts w:hint="cs"/>
          <w:rtl/>
        </w:rPr>
        <w:t>מילה</w:t>
      </w:r>
      <w:r>
        <w:rPr>
          <w:rFonts w:hint="cs"/>
          <w:rtl/>
        </w:rPr>
        <w:t xml:space="preserve">. ואולי י"ל </w:t>
      </w:r>
      <w:r w:rsidR="00662F24">
        <w:rPr>
          <w:rFonts w:hint="cs"/>
          <w:rtl/>
        </w:rPr>
        <w:t>דס"ל דלעולם לא בעי' שתחול הגירות מיד בשעת הטבילה, אלא יכולה להיות מתלי תלי וקאי עד שיעשה מוכשר להתגייר ע"י מילה, אלא דבעלמא כל שטובל בערלותו אמרי' דהו</w:t>
      </w:r>
      <w:r w:rsidR="008600D7">
        <w:rPr>
          <w:rFonts w:hint="cs"/>
          <w:rtl/>
        </w:rPr>
        <w:t>י</w:t>
      </w:r>
      <w:r w:rsidR="00662F24">
        <w:rPr>
          <w:rFonts w:hint="cs"/>
          <w:rtl/>
        </w:rPr>
        <w:t xml:space="preserve"> '</w:t>
      </w:r>
      <w:r>
        <w:rPr>
          <w:rFonts w:hint="cs"/>
          <w:rtl/>
        </w:rPr>
        <w:t>מפר ברית</w:t>
      </w:r>
      <w:r w:rsidR="00662F24">
        <w:rPr>
          <w:rFonts w:hint="cs"/>
          <w:rtl/>
        </w:rPr>
        <w:t>'</w:t>
      </w:r>
      <w:r>
        <w:rPr>
          <w:rFonts w:hint="cs"/>
          <w:rtl/>
        </w:rPr>
        <w:t xml:space="preserve"> באופן חיובי</w:t>
      </w:r>
      <w:r w:rsidR="008600D7">
        <w:rPr>
          <w:rFonts w:hint="cs"/>
          <w:rtl/>
        </w:rPr>
        <w:t>,</w:t>
      </w:r>
      <w:r>
        <w:rPr>
          <w:rFonts w:hint="cs"/>
          <w:rtl/>
        </w:rPr>
        <w:t xml:space="preserve"> וזה סותר כל הגירות</w:t>
      </w:r>
      <w:r w:rsidR="008600D7">
        <w:rPr>
          <w:rFonts w:hint="cs"/>
          <w:rtl/>
        </w:rPr>
        <w:t>,</w:t>
      </w:r>
      <w:r w:rsidR="00662F24">
        <w:rPr>
          <w:rFonts w:hint="cs"/>
          <w:rtl/>
        </w:rPr>
        <w:t xml:space="preserve"> וממילא בטלה הטבילה ואינה יכולה לחול אח"כ,</w:t>
      </w:r>
      <w:r>
        <w:rPr>
          <w:rFonts w:hint="cs"/>
          <w:rtl/>
        </w:rPr>
        <w:t xml:space="preserve"> </w:t>
      </w:r>
      <w:r w:rsidR="00662F24">
        <w:rPr>
          <w:rFonts w:hint="cs"/>
          <w:rtl/>
        </w:rPr>
        <w:t>אבל בעובר שאינו יכול למול ואין במה שאינו מל סתירה חיובית להגירות, שפיר חלה הגירות אח"כ בשעה שמל</w:t>
      </w:r>
      <w:r w:rsidR="002655C6">
        <w:rPr>
          <w:rStyle w:val="FootnoteReference"/>
          <w:rtl/>
        </w:rPr>
        <w:footnoteReference w:id="10"/>
      </w:r>
      <w:r w:rsidR="00662F24">
        <w:rPr>
          <w:rFonts w:hint="cs"/>
          <w:rtl/>
        </w:rPr>
        <w:t>.</w:t>
      </w:r>
    </w:p>
    <w:p w14:paraId="29E14549" w14:textId="5E744DD4" w:rsidR="000C7956" w:rsidRDefault="004A3250" w:rsidP="004A3250">
      <w:pPr>
        <w:rPr>
          <w:rtl/>
        </w:rPr>
      </w:pPr>
      <w:r>
        <w:rPr>
          <w:rFonts w:hint="cs"/>
          <w:b/>
          <w:bCs/>
          <w:rtl/>
        </w:rPr>
        <w:t>ב.</w:t>
      </w:r>
      <w:r w:rsidR="00E71E10">
        <w:rPr>
          <w:rFonts w:hint="eastAsia"/>
          <w:b/>
          <w:bCs/>
          <w:rtl/>
        </w:rPr>
        <w:t> </w:t>
      </w:r>
      <w:r>
        <w:rPr>
          <w:rFonts w:hint="cs"/>
          <w:b/>
          <w:bCs/>
          <w:rtl/>
        </w:rPr>
        <w:t xml:space="preserve">ביאור פלוגתת הראשונים בדין גוי מהול שבא להתגייר האם טעון הטפת דם ברית - </w:t>
      </w:r>
      <w:r>
        <w:rPr>
          <w:rFonts w:hint="cs"/>
          <w:rtl/>
        </w:rPr>
        <w:t xml:space="preserve">יעו' בתוס' יבמות מ"ו ושבת קל"ה בענין </w:t>
      </w:r>
      <w:r>
        <w:rPr>
          <w:rFonts w:hint="cs"/>
          <w:rtl/>
        </w:rPr>
        <w:t xml:space="preserve">המחלוקת </w:t>
      </w:r>
      <w:r>
        <w:rPr>
          <w:rFonts w:hint="cs"/>
          <w:rtl/>
        </w:rPr>
        <w:t>אי גוי מהול הבא להתגייר צ' הטד"ב, והאם אפשר לדמותו לנולד מהול או לא, ועיקר דברי</w:t>
      </w:r>
      <w:r w:rsidR="000C7956">
        <w:rPr>
          <w:rFonts w:hint="cs"/>
          <w:rtl/>
        </w:rPr>
        <w:t xml:space="preserve"> תוס'</w:t>
      </w:r>
      <w:r>
        <w:rPr>
          <w:rFonts w:hint="cs"/>
          <w:rtl/>
        </w:rPr>
        <w:t xml:space="preserve"> שו"ט </w:t>
      </w:r>
      <w:r w:rsidR="000C7956">
        <w:rPr>
          <w:rFonts w:hint="cs"/>
          <w:rtl/>
        </w:rPr>
        <w:t xml:space="preserve">בענין </w:t>
      </w:r>
      <w:r>
        <w:rPr>
          <w:rFonts w:hint="cs"/>
          <w:rtl/>
        </w:rPr>
        <w:t xml:space="preserve">האם </w:t>
      </w:r>
      <w:r w:rsidR="000C7956">
        <w:rPr>
          <w:rFonts w:hint="cs"/>
          <w:rtl/>
        </w:rPr>
        <w:t xml:space="preserve">הוא </w:t>
      </w:r>
      <w:r>
        <w:rPr>
          <w:rFonts w:hint="cs"/>
          <w:rtl/>
        </w:rPr>
        <w:t>חשיב ערל או לא. ונ' דאנהו סברי כמ"ש הזכר יצחק דעיקר הדין דבעי' מילה וטבילה היינו דבעי' שלא יהא ערל</w:t>
      </w:r>
      <w:r w:rsidR="000C7956">
        <w:rPr>
          <w:rFonts w:hint="cs"/>
          <w:rtl/>
        </w:rPr>
        <w:t>,</w:t>
      </w:r>
      <w:r>
        <w:rPr>
          <w:rFonts w:hint="cs"/>
          <w:rtl/>
        </w:rPr>
        <w:t xml:space="preserve"> דערלות מעכב לגירות. וממילא </w:t>
      </w:r>
      <w:r w:rsidR="000C7956">
        <w:rPr>
          <w:rFonts w:hint="cs"/>
          <w:rtl/>
        </w:rPr>
        <w:t>יסוד הנדון ד</w:t>
      </w:r>
      <w:r>
        <w:rPr>
          <w:rFonts w:hint="cs"/>
          <w:rtl/>
        </w:rPr>
        <w:t xml:space="preserve">עכו"ם מהול </w:t>
      </w:r>
      <w:r w:rsidR="000C7956">
        <w:rPr>
          <w:rFonts w:hint="cs"/>
          <w:rtl/>
        </w:rPr>
        <w:t xml:space="preserve">האם טעון הטד"ב כדי להתגייר, </w:t>
      </w:r>
      <w:r>
        <w:rPr>
          <w:rFonts w:hint="cs"/>
          <w:rtl/>
        </w:rPr>
        <w:t xml:space="preserve">הוא אי נימא </w:t>
      </w:r>
      <w:r w:rsidR="000C7956">
        <w:rPr>
          <w:rFonts w:hint="cs"/>
          <w:rtl/>
        </w:rPr>
        <w:t>ד</w:t>
      </w:r>
      <w:r>
        <w:rPr>
          <w:rFonts w:hint="cs"/>
          <w:rtl/>
        </w:rPr>
        <w:t>מקרי ערל כיון דלית לי' קיום דין מילה</w:t>
      </w:r>
      <w:r w:rsidR="000C7956">
        <w:rPr>
          <w:rFonts w:hint="cs"/>
          <w:rtl/>
        </w:rPr>
        <w:t>,</w:t>
      </w:r>
      <w:r>
        <w:rPr>
          <w:rFonts w:hint="cs"/>
          <w:rtl/>
        </w:rPr>
        <w:t xml:space="preserve"> וא"כ </w:t>
      </w:r>
      <w:r w:rsidR="000C7956">
        <w:rPr>
          <w:rFonts w:hint="cs"/>
          <w:rtl/>
        </w:rPr>
        <w:t>צ'</w:t>
      </w:r>
      <w:r>
        <w:rPr>
          <w:rFonts w:hint="cs"/>
          <w:rtl/>
        </w:rPr>
        <w:t xml:space="preserve"> הטד"ב, או דסוכ"ס לאו ערל הוא [ולצד זה הוי ככל גר שנכנס ע"י מילה וטבילה, דבמאי דלאו ערל הוא מקיים ענין מילה].</w:t>
      </w:r>
    </w:p>
    <w:p w14:paraId="00F392FE" w14:textId="340C170A" w:rsidR="004A3250" w:rsidRDefault="004A3250" w:rsidP="004A3250">
      <w:pPr>
        <w:rPr>
          <w:rtl/>
        </w:rPr>
      </w:pPr>
      <w:r>
        <w:rPr>
          <w:rFonts w:hint="cs"/>
          <w:rtl/>
        </w:rPr>
        <w:t xml:space="preserve">אבל </w:t>
      </w:r>
      <w:r w:rsidR="000C7956">
        <w:rPr>
          <w:rFonts w:hint="cs"/>
          <w:rtl/>
        </w:rPr>
        <w:t xml:space="preserve">בחי' </w:t>
      </w:r>
      <w:r>
        <w:rPr>
          <w:rFonts w:hint="cs"/>
          <w:rtl/>
        </w:rPr>
        <w:t xml:space="preserve">רמב"ן </w:t>
      </w:r>
      <w:r w:rsidR="000C7956">
        <w:rPr>
          <w:rFonts w:hint="cs"/>
          <w:rtl/>
        </w:rPr>
        <w:t xml:space="preserve">שבת </w:t>
      </w:r>
      <w:r>
        <w:rPr>
          <w:rFonts w:hint="cs"/>
          <w:rtl/>
        </w:rPr>
        <w:t>שם ביאר דהנד</w:t>
      </w:r>
      <w:r w:rsidR="000C7956">
        <w:rPr>
          <w:rFonts w:hint="cs"/>
          <w:rtl/>
        </w:rPr>
        <w:t>ו</w:t>
      </w:r>
      <w:r>
        <w:rPr>
          <w:rFonts w:hint="cs"/>
          <w:rtl/>
        </w:rPr>
        <w:t>ן הוא</w:t>
      </w:r>
      <w:r w:rsidR="000C7956">
        <w:rPr>
          <w:rFonts w:hint="cs"/>
          <w:rtl/>
        </w:rPr>
        <w:t>,</w:t>
      </w:r>
      <w:r>
        <w:rPr>
          <w:rFonts w:hint="cs"/>
          <w:rtl/>
        </w:rPr>
        <w:t xml:space="preserve"> האם אמרי' אין דנין אפשר משאי אפשר, דאפ"ל </w:t>
      </w:r>
      <w:r w:rsidR="000C7956">
        <w:rPr>
          <w:rFonts w:hint="cs"/>
          <w:rtl/>
        </w:rPr>
        <w:t xml:space="preserve">דגוי מהול </w:t>
      </w:r>
      <w:r>
        <w:rPr>
          <w:rFonts w:hint="cs"/>
          <w:rtl/>
        </w:rPr>
        <w:t>מקרי א"א</w:t>
      </w:r>
      <w:r w:rsidR="000C7956">
        <w:rPr>
          <w:rFonts w:hint="cs"/>
          <w:rtl/>
        </w:rPr>
        <w:t>,</w:t>
      </w:r>
      <w:r>
        <w:rPr>
          <w:rFonts w:hint="cs"/>
          <w:rtl/>
        </w:rPr>
        <w:t xml:space="preserve"> כיון דל"ש למולו, וא"כ הוי כאשה ונכנס בטבילה לחוד, או י"ל דמקרי אפשר</w:t>
      </w:r>
      <w:r w:rsidR="000C7956">
        <w:rPr>
          <w:rFonts w:hint="cs"/>
          <w:rtl/>
        </w:rPr>
        <w:t>,</w:t>
      </w:r>
      <w:r>
        <w:rPr>
          <w:rFonts w:hint="cs"/>
          <w:rtl/>
        </w:rPr>
        <w:t xml:space="preserve"> </w:t>
      </w:r>
      <w:r w:rsidR="000C7956">
        <w:rPr>
          <w:rFonts w:hint="cs"/>
          <w:rtl/>
        </w:rPr>
        <w:t xml:space="preserve">שהרי </w:t>
      </w:r>
      <w:r>
        <w:rPr>
          <w:rFonts w:hint="cs"/>
          <w:rtl/>
        </w:rPr>
        <w:t xml:space="preserve">אפשר בהטד"ב. וזה </w:t>
      </w:r>
      <w:r w:rsidR="002655C6">
        <w:rPr>
          <w:rFonts w:hint="cs"/>
          <w:rtl/>
        </w:rPr>
        <w:t>מתבאר היטב</w:t>
      </w:r>
      <w:r>
        <w:rPr>
          <w:rFonts w:hint="cs"/>
          <w:rtl/>
        </w:rPr>
        <w:t xml:space="preserve"> </w:t>
      </w:r>
      <w:r w:rsidR="002655C6">
        <w:rPr>
          <w:rFonts w:hint="cs"/>
          <w:rtl/>
        </w:rPr>
        <w:t>לפמ"ש בשיטתו דס"ל</w:t>
      </w:r>
      <w:r>
        <w:rPr>
          <w:rFonts w:hint="cs"/>
          <w:rtl/>
        </w:rPr>
        <w:t xml:space="preserve"> דמילה הוי חלק מגירות, על כן פשוט דלא שייך לומר דסגי במה שלא מקרי ערל</w:t>
      </w:r>
      <w:r w:rsidR="000C7956">
        <w:rPr>
          <w:rFonts w:hint="cs"/>
          <w:rtl/>
        </w:rPr>
        <w:t xml:space="preserve"> וכמו שנקטו התוס'</w:t>
      </w:r>
      <w:r>
        <w:rPr>
          <w:rFonts w:hint="cs"/>
          <w:rtl/>
        </w:rPr>
        <w:t xml:space="preserve">, דסוכ"ס </w:t>
      </w:r>
      <w:r w:rsidR="000C7956">
        <w:rPr>
          <w:rFonts w:hint="cs"/>
          <w:rtl/>
        </w:rPr>
        <w:t xml:space="preserve">כדי </w:t>
      </w:r>
      <w:r>
        <w:rPr>
          <w:rFonts w:hint="cs"/>
          <w:rtl/>
        </w:rPr>
        <w:t xml:space="preserve">לאשוויי גירות </w:t>
      </w:r>
      <w:r w:rsidR="000C7956">
        <w:rPr>
          <w:rFonts w:hint="cs"/>
          <w:rtl/>
        </w:rPr>
        <w:t>בעי'</w:t>
      </w:r>
      <w:r>
        <w:rPr>
          <w:rFonts w:hint="cs"/>
          <w:rtl/>
        </w:rPr>
        <w:t xml:space="preserve"> מילה. וכל הצד לומר דא"צ הטד"ב, הוא דילפי' לי' מנשים דנכנס ב</w:t>
      </w:r>
      <w:r w:rsidR="000C7956">
        <w:rPr>
          <w:rFonts w:hint="cs"/>
          <w:rtl/>
        </w:rPr>
        <w:t>ברית ב</w:t>
      </w:r>
      <w:r>
        <w:rPr>
          <w:rFonts w:hint="cs"/>
          <w:rtl/>
        </w:rPr>
        <w:t>טבילה לחוד בלא מילה.</w:t>
      </w:r>
    </w:p>
    <w:p w14:paraId="2AF17219" w14:textId="71CA5B11" w:rsidR="006F1E34" w:rsidRDefault="006F1E34" w:rsidP="006F1E34">
      <w:pPr>
        <w:rPr>
          <w:rtl/>
        </w:rPr>
      </w:pPr>
      <w:r>
        <w:rPr>
          <w:rFonts w:hint="cs"/>
          <w:b/>
          <w:bCs/>
          <w:rtl/>
        </w:rPr>
        <w:t>ג.</w:t>
      </w:r>
      <w:r w:rsidR="00E71E10">
        <w:rPr>
          <w:rFonts w:hint="eastAsia"/>
          <w:b/>
          <w:bCs/>
          <w:rtl/>
        </w:rPr>
        <w:t> </w:t>
      </w:r>
      <w:r>
        <w:rPr>
          <w:rFonts w:hint="cs"/>
          <w:b/>
          <w:bCs/>
          <w:rtl/>
        </w:rPr>
        <w:t xml:space="preserve">נכרת הגיד האם יכול להתגייר בטבילה לחוד - </w:t>
      </w:r>
      <w:r w:rsidR="008074EE">
        <w:rPr>
          <w:rFonts w:hint="cs"/>
          <w:rtl/>
        </w:rPr>
        <w:t>הטור פסק דאם נכרת הגיד יכול להתגייר בטבילה לחוד, ומקורו בתוס' יבמות מ"ו ב' וברא"ש שבת קל"ה. ויעו"ש בבהגר"א, דילפי' לי' מאשה ליכנס בברית בטבילה לחוד, דכה"ג לא שייך אין דנין אפשר משא"א, דאיהו נמי א"א במילה כמו נשים דהא נכנס הגיד [ויעו' בב"ח דהחולקים ס"ל דמקרי אפשר כיון שהיה אפשר למול קודם שנכרת הגיד].</w:t>
      </w:r>
    </w:p>
    <w:p w14:paraId="32CEEF3A" w14:textId="5AA967D1" w:rsidR="008074EE" w:rsidRDefault="00C60630" w:rsidP="006F1E34">
      <w:pPr>
        <w:rPr>
          <w:rtl/>
        </w:rPr>
      </w:pPr>
      <w:r>
        <w:rPr>
          <w:rFonts w:hint="cs"/>
          <w:rtl/>
        </w:rPr>
        <w:t>והנה אין לדמות דין זה למ"ש הרמב"ן דשבט לוי הו"ל כמו נשים ליכנס בברית בטבילה לחוד, דהתם הוא רק משום דלמעשה אית להו מילה</w:t>
      </w:r>
      <w:r w:rsidR="008600D7">
        <w:rPr>
          <w:rFonts w:hint="cs"/>
          <w:rtl/>
        </w:rPr>
        <w:t xml:space="preserve"> [ולשון הרמב"ן 'עם המילה שלהם'</w:t>
      </w:r>
      <w:r>
        <w:rPr>
          <w:rFonts w:hint="cs"/>
          <w:rtl/>
        </w:rPr>
        <w:t>, ואילו בנכרת הגיד אין לו מילה כלל. אך יש לדמות דין זה, למ"ש הרמב"ן דמ"ד גוי נמול מתגייר בטבילה לחוד, משום דילפי' לי' מאשה כיון דא"א לו במילה [ואפי' החולקים הוא משום דמקרי אפשר כיון דאפשר בהטד"ב, אבל בנכרת הגיד דלא אפשר אפי' בהטד"ב, לכו"ע מקרי א"א].</w:t>
      </w:r>
    </w:p>
    <w:p w14:paraId="5C8ED093" w14:textId="460DAB5A" w:rsidR="00C60630" w:rsidRPr="008074EE" w:rsidRDefault="00C60630" w:rsidP="006F1E34">
      <w:pPr>
        <w:rPr>
          <w:rFonts w:hint="cs"/>
          <w:rtl/>
        </w:rPr>
      </w:pPr>
      <w:r>
        <w:rPr>
          <w:rFonts w:hint="cs"/>
          <w:rtl/>
        </w:rPr>
        <w:t>ובדעת התוס', לפמשנ"ת לעיל לצדד בדעתם דיסוד דין מילת גירות היינו רק דערלות מעכב הגירות, היה מקום לומר דנכרת הגיד אין לו ערלות לעכב הגירות וא"כ פשוט דנכנס בברית בטבילה לחוד וא"צ ללימוד מאשה, ויל"ע בזה.</w:t>
      </w:r>
    </w:p>
    <w:p w14:paraId="27B3BE82" w14:textId="5D6D3540" w:rsidR="003E0E63" w:rsidRDefault="006F1E34" w:rsidP="003E0E63">
      <w:pPr>
        <w:rPr>
          <w:rtl/>
        </w:rPr>
      </w:pPr>
      <w:r>
        <w:rPr>
          <w:rFonts w:hint="cs"/>
          <w:b/>
          <w:bCs/>
          <w:rtl/>
        </w:rPr>
        <w:t>ד.</w:t>
      </w:r>
      <w:r w:rsidR="00E71E10">
        <w:rPr>
          <w:rFonts w:hint="eastAsia"/>
          <w:b/>
          <w:bCs/>
          <w:rtl/>
        </w:rPr>
        <w:t> </w:t>
      </w:r>
      <w:r>
        <w:rPr>
          <w:rFonts w:hint="cs"/>
          <w:b/>
          <w:bCs/>
          <w:rtl/>
        </w:rPr>
        <w:t xml:space="preserve">מתו אחיו מחמת מילה האם יכול להתגייר בלי מילה - </w:t>
      </w:r>
      <w:r w:rsidR="00C60630">
        <w:rPr>
          <w:rFonts w:hint="cs"/>
          <w:rtl/>
        </w:rPr>
        <w:t>הפוסקים דנו בגוי שמתו אחיו מחמת מילה, האם יכול להתגייר בטבילה לחוד</w:t>
      </w:r>
      <w:r w:rsidR="003E0E63">
        <w:rPr>
          <w:rFonts w:hint="cs"/>
          <w:rtl/>
        </w:rPr>
        <w:t xml:space="preserve">ה בלא מילה. </w:t>
      </w:r>
      <w:r w:rsidR="003E0E63">
        <w:rPr>
          <w:rFonts w:hint="cs"/>
          <w:rtl/>
        </w:rPr>
        <w:t>ולכא' צדדי הנדון הם, חדא דיש לדון האם מקרי א"א כמו נכרת הגיד, או דילמא דוקא בנכרת הגיד דלית לי' אבר של ערלות כלל והוא מופקע ממילה בעצם, מקרי א"א, אבל מתו אחיו מחמת מילה דאפשר לעשות מילה במציאות רק הוי סכנה [ועוד דיתכן שיהא אפשר למולו לאח"ז], מקרי אפשר.</w:t>
      </w:r>
    </w:p>
    <w:p w14:paraId="489DFE81" w14:textId="7EE3EBA0" w:rsidR="003E0E63" w:rsidRDefault="003E0E63" w:rsidP="003E0E63">
      <w:pPr>
        <w:rPr>
          <w:rtl/>
        </w:rPr>
      </w:pPr>
      <w:r>
        <w:rPr>
          <w:rFonts w:hint="cs"/>
          <w:rtl/>
        </w:rPr>
        <w:t xml:space="preserve">ועוד יש לדון </w:t>
      </w:r>
      <w:r>
        <w:rPr>
          <w:rFonts w:hint="cs"/>
          <w:rtl/>
        </w:rPr>
        <w:t>ד</w:t>
      </w:r>
      <w:r>
        <w:rPr>
          <w:rFonts w:hint="cs"/>
          <w:rtl/>
        </w:rPr>
        <w:t xml:space="preserve">אי </w:t>
      </w:r>
      <w:r>
        <w:rPr>
          <w:rFonts w:hint="cs"/>
          <w:rtl/>
        </w:rPr>
        <w:t xml:space="preserve">נימא </w:t>
      </w:r>
      <w:r>
        <w:rPr>
          <w:rFonts w:hint="cs"/>
          <w:rtl/>
        </w:rPr>
        <w:t>ערלות מעכבת הגירות</w:t>
      </w:r>
      <w:r>
        <w:rPr>
          <w:rFonts w:hint="cs"/>
          <w:rtl/>
        </w:rPr>
        <w:t xml:space="preserve"> א"כ י"ל דאף דהוי א"א סוכ"ס לא שייך להתגייר כל שהוא ערל.</w:t>
      </w:r>
      <w:r>
        <w:rPr>
          <w:rFonts w:hint="cs"/>
          <w:rtl/>
        </w:rPr>
        <w:t xml:space="preserve"> אכן י"ל דכיון דמתו אחיו מחמת מילה לא מקרי ערלות</w:t>
      </w:r>
      <w:r>
        <w:rPr>
          <w:rFonts w:hint="cs"/>
          <w:rtl/>
        </w:rPr>
        <w:t>,</w:t>
      </w:r>
      <w:r>
        <w:rPr>
          <w:rFonts w:hint="cs"/>
          <w:rtl/>
        </w:rPr>
        <w:t xml:space="preserve"> ושייכא לפלוגתת הראשונים ר"פ הערל בענין מתו אחיו מחמת מילה אי הוי כערל לענין ק"פ ואכילת תרומה ושאר ד"ת.</w:t>
      </w:r>
    </w:p>
    <w:p w14:paraId="48CB7177" w14:textId="77777777" w:rsidR="00E71E10" w:rsidRDefault="00E71E10" w:rsidP="00A80862">
      <w:pPr>
        <w:rPr>
          <w:rtl/>
        </w:rPr>
      </w:pPr>
    </w:p>
    <w:p w14:paraId="2105B207" w14:textId="41014ECD" w:rsidR="00E71E10" w:rsidRPr="00E71E10" w:rsidRDefault="00E71E10" w:rsidP="00A80862">
      <w:pPr>
        <w:rPr>
          <w:b/>
          <w:bCs/>
          <w:i/>
          <w:iCs/>
          <w:rtl/>
        </w:rPr>
      </w:pPr>
      <w:r>
        <w:rPr>
          <w:rFonts w:hint="cs"/>
          <w:b/>
          <w:bCs/>
          <w:i/>
          <w:iCs/>
          <w:rtl/>
        </w:rPr>
        <w:t>כתבים - מהדו"ק</w:t>
      </w:r>
    </w:p>
    <w:p w14:paraId="1B4C418C" w14:textId="194256B9" w:rsidR="00A80862" w:rsidRPr="00A80862" w:rsidRDefault="00A80862" w:rsidP="00A80862">
      <w:pPr>
        <w:rPr>
          <w:i/>
          <w:iCs/>
          <w:sz w:val="20"/>
          <w:szCs w:val="20"/>
          <w:rtl/>
        </w:rPr>
      </w:pPr>
      <w:r w:rsidRPr="00A80862">
        <w:rPr>
          <w:rFonts w:hint="cs"/>
          <w:i/>
          <w:iCs/>
          <w:sz w:val="20"/>
          <w:szCs w:val="20"/>
          <w:rtl/>
        </w:rPr>
        <w:t>פלוגתא אי אנשים כנשים דסגי בטבילה כמו נשים, או לא, וקיי"ל אין דנין אפשר כו'.</w:t>
      </w:r>
    </w:p>
    <w:p w14:paraId="577B6329" w14:textId="77777777" w:rsidR="00A80862" w:rsidRPr="00A80862" w:rsidRDefault="00A80862" w:rsidP="00A80862">
      <w:pPr>
        <w:rPr>
          <w:i/>
          <w:iCs/>
          <w:sz w:val="20"/>
          <w:szCs w:val="20"/>
          <w:rtl/>
        </w:rPr>
      </w:pPr>
      <w:r w:rsidRPr="00A80862">
        <w:rPr>
          <w:rFonts w:hint="cs"/>
          <w:i/>
          <w:iCs/>
          <w:sz w:val="20"/>
          <w:szCs w:val="20"/>
          <w:rtl/>
        </w:rPr>
        <w:t>יש לדון האם ב' שלבים מיוחדים או רק צירוף א' [נפ"מ לענין אי ניתן ליאמר דמל ולא טבל נכנס קצת כו'].</w:t>
      </w:r>
    </w:p>
    <w:p w14:paraId="33980ACA" w14:textId="77777777" w:rsidR="00A80862" w:rsidRPr="00A80862" w:rsidRDefault="00A80862" w:rsidP="00A80862">
      <w:pPr>
        <w:rPr>
          <w:i/>
          <w:iCs/>
          <w:sz w:val="20"/>
          <w:szCs w:val="20"/>
          <w:rtl/>
        </w:rPr>
      </w:pPr>
      <w:r w:rsidRPr="00A80862">
        <w:rPr>
          <w:rFonts w:hint="cs"/>
          <w:i/>
          <w:iCs/>
          <w:sz w:val="20"/>
          <w:szCs w:val="20"/>
          <w:rtl/>
        </w:rPr>
        <w:t>פלוגתת הראשונים האם סדר מעכב, י"ל דפליגי בהנ"ל [ע' רשב"א דטבילה עיקר הגירות, ועי' ריבט"א טובל ושרץ בידו הרי דמילה הוי מילתא בפנ"ע דסילוק שרץ. עי' זכר יצחק דרק מסלק עיכוב ערלה, מיהו בפשטות בעי' מילה חיובית].</w:t>
      </w:r>
    </w:p>
    <w:p w14:paraId="6AE2BAA0" w14:textId="77777777" w:rsidR="00A80862" w:rsidRPr="00A80862" w:rsidRDefault="00A80862" w:rsidP="00A80862">
      <w:pPr>
        <w:rPr>
          <w:i/>
          <w:iCs/>
          <w:sz w:val="20"/>
          <w:szCs w:val="20"/>
        </w:rPr>
      </w:pPr>
      <w:r w:rsidRPr="00A80862">
        <w:rPr>
          <w:rFonts w:hint="cs"/>
          <w:i/>
          <w:iCs/>
          <w:sz w:val="20"/>
          <w:szCs w:val="20"/>
          <w:rtl/>
        </w:rPr>
        <w:lastRenderedPageBreak/>
        <w:t>[בתוס' מז: בפשוטו ר"ל דסדר מעכב אך במעוברת א"צ מילה כלל. ואפי' אם לא נפרש כן מ"מ מבואר דבעלמא סדר מעכבר ודוקא במעוברת אין הסדר מעכב].</w:t>
      </w:r>
    </w:p>
    <w:p w14:paraId="171E84C3" w14:textId="77777777" w:rsidR="00A80862" w:rsidRPr="00A80862" w:rsidRDefault="00A80862" w:rsidP="00A80862">
      <w:pPr>
        <w:rPr>
          <w:i/>
          <w:iCs/>
          <w:sz w:val="20"/>
          <w:szCs w:val="20"/>
          <w:rtl/>
        </w:rPr>
      </w:pPr>
      <w:r w:rsidRPr="00A80862">
        <w:rPr>
          <w:rFonts w:hint="cs"/>
          <w:i/>
          <w:iCs/>
          <w:sz w:val="20"/>
          <w:szCs w:val="20"/>
          <w:rtl/>
        </w:rPr>
        <w:t>י"ל עפ"ז פלוגתת הראשונים בענין גוי שמל בגיותו, שה' הראשונים דהיאך נכנס שבט לוי בברית [למאי דקיי"ל ערבי מהול כו' צ' הרטפת דם ברית], ויש מתרצים דצ' הטד"ב, מיהו בתוס' כריתות דף ט' תי' דכיון דמלו במצרים א"צ מילה בשעת גירות, ויעו"ש שביארו דגם מילה זו היתה ליכנס בברית וליבד משאר אומות. ומשמע דר"ל דעי"ז אית להו קיום של מילה וטבילה. [וע"ע ריטב"א].</w:t>
      </w:r>
    </w:p>
    <w:p w14:paraId="08D7F167" w14:textId="77777777" w:rsidR="00A80862" w:rsidRPr="00A80862" w:rsidRDefault="00A80862" w:rsidP="00A80862">
      <w:pPr>
        <w:rPr>
          <w:i/>
          <w:iCs/>
          <w:sz w:val="20"/>
          <w:szCs w:val="20"/>
          <w:rtl/>
        </w:rPr>
      </w:pPr>
      <w:r w:rsidRPr="00A80862">
        <w:rPr>
          <w:rFonts w:hint="cs"/>
          <w:i/>
          <w:iCs/>
          <w:sz w:val="20"/>
          <w:szCs w:val="20"/>
          <w:rtl/>
        </w:rPr>
        <w:t>אולם יעו' ברמב"ן שתי' כעין הנ"ל ובאו"א, שכ' דכיון דכבר מלו הו"ל כנשים דסגי בטבילה. הרי דלא הוי כמו גירות דמילה וטבילה כ"א דין חדש דכה"ג סגי בגירות ע"י מילה. ועוד מבו' דבאמת אינו מילת גירות רק כיון דזרע אברהם מצווים במילה אית לה שם מילה וסגי בהכי לקבוע שבשעת גירות סגי בטבילה. ונקט דאי נימא דבני קטורה חייבין במילה גם בבנ"ק הוה סגי גירות ע"י טבילה, אך כ' דבנ"ק אין חייבין במילה. ואילו לתוס' כריתות ל"ק כלל מבנ"ק דמילה דידהו איננה ליכנס בברית וליבדל משאר אומות.</w:t>
      </w:r>
    </w:p>
    <w:p w14:paraId="2C923A24" w14:textId="24D84647" w:rsidR="00A80862" w:rsidRDefault="00A80862" w:rsidP="005342E8">
      <w:pPr>
        <w:rPr>
          <w:i/>
          <w:iCs/>
          <w:sz w:val="20"/>
          <w:szCs w:val="20"/>
          <w:rtl/>
        </w:rPr>
      </w:pPr>
      <w:r w:rsidRPr="00A80862">
        <w:rPr>
          <w:rFonts w:hint="cs"/>
          <w:i/>
          <w:iCs/>
          <w:sz w:val="20"/>
          <w:szCs w:val="20"/>
          <w:rtl/>
        </w:rPr>
        <w:t>ונשנית הך פלוגתא בענין מילת עבדות, שהרמב"ן מז: הק' מדוע עבד ששחררו א"צ מילה [הטד"ב] וסגי בטבילה, ותי' ע"פ שיטתו דכיון דכבר נימול כשנעשה עבד הוי כאשה דסגי גירות ע"י טבילה. אך בתוס' הרא"ש [קידושין סב] הוכיח מדא"צ מילה, דמה"ת גם טבילה א"צ, וטבילה רק מדרבנן. ולא ס"ל דאהני מה שכבר מל, דמילת עבדות היא ולא מילת גירות.</w:t>
      </w:r>
    </w:p>
    <w:p w14:paraId="180CCCEA" w14:textId="34C637A2" w:rsidR="005342E8" w:rsidRDefault="005342E8" w:rsidP="005342E8">
      <w:pPr>
        <w:rPr>
          <w:i/>
          <w:iCs/>
          <w:sz w:val="20"/>
          <w:szCs w:val="20"/>
          <w:rtl/>
        </w:rPr>
      </w:pPr>
      <w:r w:rsidRPr="005342E8">
        <w:rPr>
          <w:rFonts w:hint="cs"/>
          <w:i/>
          <w:iCs/>
          <w:sz w:val="20"/>
          <w:szCs w:val="20"/>
          <w:rtl/>
        </w:rPr>
        <w:t>וי"ל דאזלי לשיטתייהו, דהרמב"ן לא מצי לפרש דמילת שבט לוי במצרים הוי קיום של גירות ע"י מילה וטבילה, דלזה בעי' שהמילה והטבילה ליהוו מעשה גירות, ומילה במצרים ודאי לא הוה מעשה גירות דאכתי לא היו עומדים להתגייר באותו שעה [משא"כ מילת כלל ישראל היתה מילה לצורך קבלת התורה, ע' רש"י יבמות מו וראשונים שם]. ובע"כ הוא דין חדש דכנימול כבר סגי בגירות ע"י טבילה לחוד. [ולא מסתבר לי' למימר דעכ"פ צ' מילה של כניסה לברית קצת וכמ"ש תוס' כריתות, ולא דסגי במילת בני קטורה, או מילת עבדות. דלהרמב"ן ליכא חלות חפצא של מילת כניסה לברית כ"א ע"י שהוא חלק ממעשה גירות. ודוקא לפי תוס' והרא"ש דלעולם הוי מילת גירות דבר נפרד מעצם הגירות, מבו' מזה דשייך חפצא של כניסה לברית קודם גירות, וי"ל דאפי' מילת מצרים הוי סוג מילה זו, כמשי"ת]. אבל לתוס' והרא"ש דלעולם הוי מילת גירות הקדמה לגירות ולא חלק מעצם הגירות, י"ל דאפי' במילת מצירם נפעל הך הקדמה. דעצם ההקדמה וההכשר הנצרכת הוא שיכנסו לברית קצת ע"י מילה וזה שייך אפי' שלא בתורת חלק מסדר הגירות. [ויעו' בנין ציון סי' צ"א ? כאשר ייסד דגר שמל ולא טבל נכנס לברית קצת ואינו בכלל איסור עכו"ם ששבת, שציין לד' תוס' אלו ששבט לוי נכנסו לברית קצת ע"י מילה. הרי דהבין בד' תוס' אלו שיסוד דבריהם הוא דאיכא איזה חלות כניסה לברית מצד עצם המילה בלי החלות גירות].</w:t>
      </w:r>
    </w:p>
    <w:p w14:paraId="3351049D" w14:textId="349B370B" w:rsidR="00F30176" w:rsidRDefault="00F30176" w:rsidP="00F30176">
      <w:pPr>
        <w:rPr>
          <w:i/>
          <w:iCs/>
          <w:sz w:val="20"/>
          <w:szCs w:val="20"/>
          <w:rtl/>
        </w:rPr>
      </w:pPr>
      <w:r w:rsidRPr="00F30176">
        <w:rPr>
          <w:rFonts w:hint="cs"/>
          <w:i/>
          <w:iCs/>
          <w:sz w:val="20"/>
          <w:szCs w:val="20"/>
          <w:rtl/>
        </w:rPr>
        <w:t>[ויש להביא ראיה לעיקר מ"ש דלדעת הרמב"ן בעי' שתהא על המילה תורת 'מעשה גירות' [וביארו דהוא ע"פ שיטתו דאין הסדר של מילה וטבילה מעכב דבכל חלות גירות הגדר הוא דהוי מעשה גירות א' של מילה וטבילה ביחד], דבעיקר מ"ש דמאחר שב"ל במצרים הו"ל כנשים להכנס בברית בטבילה לחודה צ"ע דממ"נ אם הם כנשים מדוע צריך כלל למילה, ועוד דהלא בעלמא לא ילפי' מנשים ומאי שנא אלו [ואין לומר דכיון דכבר נמולו מקרו א"א, דהרמב"ן אזיל דגוי נמול שבא להתגייר צ' הטד"ב, וטעם שיטה זו ביאר הרמב"ן בשבת דלא אמרי' דמקרי א"א וילפי' מאשה, דאפשר בהטד"ב [ואה"נ מ"ד א"צ הטד"ב הוא משום דס"ל דמקרי א"א], וא"כ בשב"ל נמי הול"ל דאפשר בהטד"ב]. ונ' דס"ל להרמב"ן דעיקר הא דהצריכה תורה גיורת ע"י מילה וטבילה, אי"ז רק דבעי' מילה שתהא מעשה גירות, אלא פשוט הוא דבעי' ענין המילה, ועי"ז שהוא נמול הוא דנהיה גר. ואפי' בשב"ל נמי פשוט דל"ש שיתגיירו כ"א ע" שהם נמולים, וחידש הרמב"ן דסגי לזה המילה שנמולו בתורת מצות זרע אברהם שיעשה גרים אח"כ ע"י מילה זו, ולא בעי' דוקא מילה של גירות. אולם סוכ"ס דבכל גירות דעלמא הרי המילה הוי מעשה גירות ג"כ, והמעשה שפועל הגירות הוא מעשה מילה וטבילה, וא"כ תינח דבשב"ל נתקיים הא דצ' ענין מילה כדי להתגייר אבל מ"מ חסר כאן מעשה גירות. ולזה כ' הרמב"ן דלענין מעשה גירות פשיטא דמצי' למילף מנשים דטבילה לחודה הוי מעשה גירות מעליא. ואה"נ דאהני אין דנין אפשר כו' לענין דצ' ענין מילה ובלי זה ל"ש להתגייר [ומש"ה גוי נמול הבא להתגייר צ' הטד"ב], אבל לענין מעשה גירות מסתבר דאית לן למילף דמאחר דטבילה הוי מעשה גירות אצל נשים, ה"ה אצל אנשים, היכא דלא חסר ענין המילה. ועכ"פ מבו' מזה דבעיקר דין מילה וטבילה הוי המילה חלק ממעשה גירות ולא רק דצ' ענין מילה כדי להתגייר].</w:t>
      </w:r>
    </w:p>
    <w:p w14:paraId="419B77D7" w14:textId="06BC0A2A" w:rsidR="007469BF" w:rsidRDefault="007469BF" w:rsidP="007469BF">
      <w:pPr>
        <w:rPr>
          <w:i/>
          <w:iCs/>
          <w:sz w:val="20"/>
          <w:szCs w:val="20"/>
          <w:rtl/>
        </w:rPr>
      </w:pPr>
      <w:r>
        <w:rPr>
          <w:rFonts w:hint="cs"/>
          <w:i/>
          <w:iCs/>
          <w:sz w:val="20"/>
          <w:szCs w:val="20"/>
          <w:rtl/>
        </w:rPr>
        <w:t>[</w:t>
      </w:r>
      <w:r w:rsidRPr="007469BF">
        <w:rPr>
          <w:rFonts w:hint="cs"/>
          <w:i/>
          <w:iCs/>
          <w:sz w:val="20"/>
          <w:szCs w:val="20"/>
          <w:rtl/>
        </w:rPr>
        <w:t>הרשב"א הבי</w:t>
      </w:r>
      <w:r>
        <w:rPr>
          <w:rFonts w:hint="cs"/>
          <w:i/>
          <w:iCs/>
          <w:sz w:val="20"/>
          <w:szCs w:val="20"/>
          <w:rtl/>
        </w:rPr>
        <w:t>א</w:t>
      </w:r>
      <w:r w:rsidRPr="007469BF">
        <w:rPr>
          <w:rFonts w:hint="cs"/>
          <w:i/>
          <w:iCs/>
          <w:sz w:val="20"/>
          <w:szCs w:val="20"/>
          <w:rtl/>
        </w:rPr>
        <w:t>ן ד' הרמב"ן בענין שבט לוי, וגם כן הביא הצד דסדר מעכב, וזה דלא כתלייה הנ"ל. אולם יעו' היטב בדבריו כשהביא הרמב"ן בענין שב"ל דאינו מוכח דס"ל הכי לידי', עי"</w:t>
      </w:r>
      <w:r>
        <w:rPr>
          <w:rFonts w:hint="cs"/>
          <w:i/>
          <w:iCs/>
          <w:sz w:val="20"/>
          <w:szCs w:val="20"/>
          <w:rtl/>
        </w:rPr>
        <w:t>ש].</w:t>
      </w:r>
    </w:p>
    <w:p w14:paraId="746AC6D0" w14:textId="7149C779" w:rsidR="005858A2" w:rsidRDefault="005858A2" w:rsidP="005858A2">
      <w:pPr>
        <w:rPr>
          <w:i/>
          <w:iCs/>
          <w:sz w:val="20"/>
          <w:szCs w:val="20"/>
          <w:rtl/>
        </w:rPr>
      </w:pPr>
      <w:r w:rsidRPr="005858A2">
        <w:rPr>
          <w:rFonts w:hint="cs"/>
          <w:i/>
          <w:iCs/>
          <w:sz w:val="20"/>
          <w:szCs w:val="20"/>
          <w:rtl/>
        </w:rPr>
        <w:t>והנה קיי"ל אין מטבילין גר אלא בפני שלשה וביום, משום דמשפט כתיב בי'. והביאו הפוסקים [טור, מ"מ, רשב"א] בשם הרמב"ן דגם מילה צ' בפני שלשה וביום, אך רוב פוסקים לא ס"ל הכי [עכ"פ לא מה"ת]. וי"ל דרמב"ן אזיל לטעמי', דמילה הוי בכלל גוף סדר הגירות, ממילא נכלל בדין 'משפט', אבל לדעת תוס' דהוי הקדמה לגירות לא מקרי משפט.</w:t>
      </w:r>
    </w:p>
    <w:p w14:paraId="1C092820" w14:textId="77777777" w:rsidR="003E2563" w:rsidRPr="003E2563" w:rsidRDefault="003E2563" w:rsidP="003E2563">
      <w:pPr>
        <w:rPr>
          <w:i/>
          <w:iCs/>
          <w:sz w:val="20"/>
          <w:szCs w:val="20"/>
          <w:rtl/>
        </w:rPr>
      </w:pPr>
      <w:r w:rsidRPr="003E2563">
        <w:rPr>
          <w:rFonts w:hint="cs"/>
          <w:i/>
          <w:iCs/>
          <w:sz w:val="20"/>
          <w:szCs w:val="20"/>
          <w:rtl/>
        </w:rPr>
        <w:t>[והנה הרמב"ם ס"ל דסדר מעכב, וגם ס"ל דבני קטורה חייבין בזה"ז, וגם ס"ל דא"צ מילה בפני שלשה וביום, והכל א"ש למ"ש ודו"ק. אלא דצ"ע, דבחי' רח"ה דייק מד' הרמב"א דעבד משוחרר צ' טבילה מה"ת, וק' מאי שנא דא"צ מילה, וכסברת הרא"ש הנ"ל אין לחלק ביניהם. ואפ"ל דס"ל דמילה של עבדות הוי מילה של כניסה לברית וכעין מילה דשבט לוי. ובאמת יעו' בחי' רח"ה שם דבאמת גרות דעבדות הוי גרות גמורה [ומה"ט כשמשתחרר א"צ קבלת מצות, ויעו"ש עוד] רק כיון דסוכ"ס לא חלה עליו כל דיני ישראל צריך גרות נוספת כשמשתחרר. וא"כ מסתבר כמ"ש דהמילה הוי מילה מעלייתא של כניסה לברית ישראל ולא סתם מילת מצוה וכמו שנקט הרמב"ן. ובדעת הרא"ש דלא נקט כן, י"ל דמבו' בחי' רח"ה שם דהתוס' ס"ל דלא פקע שום דיני עבדות בשחרור, ודלא כמו שביאר בדעת הר"מ שם, וי"ל דהיינו משום דס"ל דעבד באמת לא הוי גרות של ישראל על כן לא חייל עליו דיני ישראל עד הגירות, וא"כ מסתבר דלא הוי מילה של כניסה בברתי ישראל, ודו"ק].</w:t>
      </w:r>
    </w:p>
    <w:p w14:paraId="3302FEA3" w14:textId="77777777" w:rsidR="002655C6" w:rsidRPr="002655C6" w:rsidRDefault="002655C6" w:rsidP="002655C6">
      <w:pPr>
        <w:rPr>
          <w:i/>
          <w:iCs/>
          <w:sz w:val="20"/>
          <w:szCs w:val="20"/>
          <w:rtl/>
        </w:rPr>
      </w:pPr>
      <w:r w:rsidRPr="002655C6">
        <w:rPr>
          <w:rFonts w:hint="cs"/>
          <w:i/>
          <w:iCs/>
          <w:sz w:val="20"/>
          <w:szCs w:val="20"/>
          <w:rtl/>
        </w:rPr>
        <w:t xml:space="preserve">יעו' בתוס' יבמות מ"ו ושבת קל"ה בענין הפלוגתא אי גוי מהול הבא להתגייר צ' הטד"ב, והאם אפשר לדמותו לנולד מהול או לא, ועיקר דבריו שו"ט האם חשיב ערל או לא. ונ' דאנהו סברי כמ"ש הזכר יצחק דעיקר הדין דבעי' מילה וטבילה היינו דבעי' שלא יהא ערל דערלות מעכב לגירות. וממילא כל הנדון דעכו"ם מהול הוא אי נימא מקרי ערל כיון דלית לי' קיום דין מילה וא"כ יצט' הטד"ב, או דסוכ"ס לאו ערל הוא [ולצד זה הוי ככל גר שנכנס ע"י מילה וטבילה, דבמאי דלאו ערל הוא מקיים ענין מילה]. אבל הרמב"ן שם ביאר דהנדן הוא האם אמרי' אין דנין אפשר משאי אפשר, דאפ"ל דמקרי א"א כיון דל"ש למולו, וא"כ הוי כאשה ונכנס בטבילה לחוד, או י"ל דמקרי אפשר דאפשר בהטד"ב. וזה א"ש לטעמי' </w:t>
      </w:r>
      <w:r w:rsidRPr="002655C6">
        <w:rPr>
          <w:rFonts w:hint="cs"/>
          <w:i/>
          <w:iCs/>
          <w:sz w:val="20"/>
          <w:szCs w:val="20"/>
          <w:rtl/>
        </w:rPr>
        <w:lastRenderedPageBreak/>
        <w:t>דמילה הוי חלק מגירות, על כן פשוט דלא שייך לומר דסגי במה שלא מקרי ערל, דסוכ"ס בעי' לאשוויי גירות ע"י מילה. וכל הצד לומר דא"צ הטד"ב, הוא דילפי' לי' מנשים דנכנס בטבילה לחוד בלא מילה.</w:t>
      </w:r>
    </w:p>
    <w:p w14:paraId="26E62807" w14:textId="77777777" w:rsidR="006F1E34" w:rsidRPr="006F1E34" w:rsidRDefault="006F1E34" w:rsidP="006F1E34">
      <w:pPr>
        <w:rPr>
          <w:i/>
          <w:iCs/>
          <w:sz w:val="20"/>
          <w:szCs w:val="20"/>
          <w:rtl/>
        </w:rPr>
      </w:pPr>
      <w:r w:rsidRPr="006F1E34">
        <w:rPr>
          <w:rFonts w:hint="cs"/>
          <w:i/>
          <w:iCs/>
          <w:sz w:val="20"/>
          <w:szCs w:val="20"/>
          <w:rtl/>
        </w:rPr>
        <w:t>[מעוברת שנתגיירה - הרמב"ן הוכיח מהא דבנה א"צ טבילה, ובע"כ צ' מילה אחר הטבילה, דסדר אינו מעכב. אך הרשב"א דחה דאיירי בבת, ובבן אינו מועיל כלל. והריטב"א דחה, דכה"ג חייל גירות ע"י טבילה לחוד. וכעי"ז דחו התוס', דשא"ה דבאותה שעה אינו ראוי למילה, ונחלקו המפרשים האם כוונתם כריטב"א דמפנ"כ חייל הגירות בלי מילה כלל, או דכה"ג דוקא הסדר אינו מעכב, אע"ג דבעלמא מעכב.</w:t>
      </w:r>
    </w:p>
    <w:p w14:paraId="669A5DBF" w14:textId="77777777" w:rsidR="006F1E34" w:rsidRPr="006F1E34" w:rsidRDefault="006F1E34" w:rsidP="006F1E34">
      <w:pPr>
        <w:rPr>
          <w:i/>
          <w:iCs/>
          <w:sz w:val="20"/>
          <w:szCs w:val="20"/>
          <w:rtl/>
        </w:rPr>
      </w:pPr>
      <w:r w:rsidRPr="006F1E34">
        <w:rPr>
          <w:rFonts w:hint="cs"/>
          <w:i/>
          <w:iCs/>
          <w:sz w:val="20"/>
          <w:szCs w:val="20"/>
          <w:rtl/>
        </w:rPr>
        <w:t>[ולדעת הרמב"ן, והרשב"א [ואולי תוס'] דלא חיילה הגירות מיד, ק' מכמה דוכתי דחזי' לכא' דהוי ישראל מיד עם לידתו, כגון דחייב בפה"ג, ובענין תאומים. ויש דחו דהנך אזלי כמ"ד עובר ירך אמו וחייל גירות אגב אמו. ויש רצו לומר דחייל איזה התחלת גירות, כעין ב' דברים המתירים, ועי' בקהלות יעקב יבמות סי' לו בזה. ועע"ש עוד שצידד דמלבד גירות דידי', חייל עלי' איזה צד גירות מכח אמו, עי"ש].</w:t>
      </w:r>
    </w:p>
    <w:p w14:paraId="4B0B53FC" w14:textId="77777777" w:rsidR="006F1E34" w:rsidRPr="006F1E34" w:rsidRDefault="006F1E34" w:rsidP="006F1E34">
      <w:pPr>
        <w:rPr>
          <w:i/>
          <w:iCs/>
          <w:sz w:val="20"/>
          <w:szCs w:val="20"/>
          <w:rtl/>
        </w:rPr>
      </w:pPr>
      <w:r w:rsidRPr="006F1E34">
        <w:rPr>
          <w:rFonts w:hint="cs"/>
          <w:i/>
          <w:iCs/>
          <w:sz w:val="20"/>
          <w:szCs w:val="20"/>
          <w:rtl/>
        </w:rPr>
        <w:t>ונ' דא"ש היטב מאי דהרמב"ן לא נחת לומר דהכא א"צ מילה כלל, דלא מסתבר דעובר יש לו סדר גירות אחר. ורק הריטב"א מצי לומר הכי דאיהו ס"ל כשיט' תוס' הנ"ל ואיהו מרי' דשמעתא ד'טובל ושרץ בידו' וא"כ טבילה עיקר הגירות ויש מקום לומר דעובר שאינו ראוי כבר למילה סגי לי' בעיקר הגירות דהיינו טבילה אף בלי מילה. ובשי' תוס' אי נימא דצ' למול לאח"ז צ"ב דממ"נ אם טבילה עיקר הגירות והרי סוכ"ס אין הגירות חלה עד שימול לאח"ז וא"כ נימא דאינו חייל כלל כמו בכל גירות דאמרי' דכיון דאינו מוכשר לחול עליו גירות בשעתו א"י לחול אח"כ בשעה שמל. ואולי י"ל דלעולם יכול לחול לאח"ז כשמל, רק בערל גמור הוי כמפר ברית באופן חיובי וזה סותר כל הגירות, משא"כ בשאינו ראוי למול, ודו"ק].</w:t>
      </w:r>
    </w:p>
    <w:p w14:paraId="2A798DDD" w14:textId="77777777" w:rsidR="00E71E10" w:rsidRPr="00E71E10" w:rsidRDefault="00E71E10" w:rsidP="00E71E10">
      <w:pPr>
        <w:rPr>
          <w:i/>
          <w:iCs/>
          <w:sz w:val="20"/>
          <w:szCs w:val="20"/>
          <w:rtl/>
        </w:rPr>
      </w:pPr>
      <w:r w:rsidRPr="00E71E10">
        <w:rPr>
          <w:rFonts w:hint="cs"/>
          <w:i/>
          <w:iCs/>
          <w:sz w:val="20"/>
          <w:szCs w:val="20"/>
          <w:rtl/>
        </w:rPr>
        <w:t>הטור פסק דנכרת הגיד מתגייר בטבילה לחוד וכ"ה בתוס' יבמות ורא"ש שבת. וביאר הגר"א דמקרי א"א וילפי' לי' מאשה. ולכא' זה א"ש לכל הצדדין שביארנו. דהיכי דמשכח"ל איש שא"א למול מצי' למילף לי' מנשים. ואפי' למ"ש הרמב"ן בטעמא דמ"ד ערבי מהול הבא להתגייר צ' הטד"ב, דכיון דאפשר בהטד"ב מקרי אפשר ואין דנין אפשר כו', אבל נכרת הגיד דל"ש אפי' הטד"ב מקרי א"א. [אך כמדומני יש צדדו דשייך הטד"ב אפי' בנכרת הגיד].</w:t>
      </w:r>
    </w:p>
    <w:p w14:paraId="36766C90" w14:textId="5D9074D4" w:rsidR="003E2563" w:rsidRPr="005342E8" w:rsidRDefault="00E71E10" w:rsidP="00E71E10">
      <w:pPr>
        <w:rPr>
          <w:i/>
          <w:iCs/>
          <w:sz w:val="20"/>
          <w:szCs w:val="20"/>
        </w:rPr>
      </w:pPr>
      <w:r w:rsidRPr="00E71E10">
        <w:rPr>
          <w:rFonts w:hint="cs"/>
          <w:i/>
          <w:iCs/>
          <w:sz w:val="20"/>
          <w:szCs w:val="20"/>
          <w:rtl/>
        </w:rPr>
        <w:t>עוד דנו הפוסקים במתו אחיו מחמת מילה האם יכול להתגייר בטבילה. ולכא' צדדי הנדון הם, חדא דיש לדון האם מקרי א"א כמו נכרת הגיד, או דילמא דוקא בנכרת הגיד דלית לי' אבר של ערלות כלל והוא מופקע ממילה בעצם, מקרי א"א, אבל מתו אחיו מחמת מילה דאפשר לעשות מילה במציאות רק הוי סכנה [ועוד דיתכן שיהא אפשר למולו לאח"ז], מקרי אפשר. ועוד יש לדון אי אמרי' דערלות מעכבת הגירות. אכן י"ל דכיון דמתו אחיו מחמת מילה לא מקרי ערלות. ושייכא לפלוגתת הראשונים ר"פ הערל בענין מתו אחיו מחמת מילה אי הוי כערל לענין ק"פ ואכילת תרומה ושאר ד"ת.</w:t>
      </w:r>
    </w:p>
    <w:sectPr w:rsidR="003E2563" w:rsidRPr="005342E8" w:rsidSect="00E12C15">
      <w:headerReference w:type="default" r:id="rId8"/>
      <w:footerReference w:type="default" r:id="rId9"/>
      <w:footerReference w:type="first" r:id="rId10"/>
      <w:footnotePr>
        <w:numFmt w:val="hebrew1"/>
      </w:footnotePr>
      <w:endnotePr>
        <w:numFmt w:val="decimal"/>
      </w:endnotePr>
      <w:pgSz w:w="12240" w:h="15840" w:code="1"/>
      <w:pgMar w:top="1440" w:right="1080" w:bottom="1440" w:left="1080" w:header="720" w:footer="720"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86639" w14:textId="77777777" w:rsidR="00094928" w:rsidRDefault="00094928" w:rsidP="00476FB5">
      <w:pPr>
        <w:spacing w:line="240" w:lineRule="auto"/>
      </w:pPr>
      <w:r>
        <w:separator/>
      </w:r>
    </w:p>
  </w:endnote>
  <w:endnote w:type="continuationSeparator" w:id="0">
    <w:p w14:paraId="1C0976BC" w14:textId="77777777" w:rsidR="00094928" w:rsidRDefault="00094928" w:rsidP="00476F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00"/>
    <w:family w:val="roman"/>
    <w:pitch w:val="variable"/>
    <w:sig w:usb0="00000007" w:usb1="00000000" w:usb2="00000000" w:usb3="00000000" w:csb0="00000003" w:csb1="00000000"/>
  </w:font>
  <w:font w:name="David">
    <w:altName w:val="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7C69" w14:textId="77777777" w:rsidR="000842C9" w:rsidRDefault="000842C9" w:rsidP="00E12C15">
    <w:pPr>
      <w:pStyle w:val="Footer"/>
      <w:tabs>
        <w:tab w:val="clear" w:pos="4680"/>
        <w:tab w:val="clear" w:pos="9360"/>
      </w:tabs>
      <w:jc w:val="center"/>
    </w:pPr>
    <w:r>
      <w:rPr>
        <w:rtl/>
      </w:rPr>
      <w:fldChar w:fldCharType="begin"/>
    </w:r>
    <w:r>
      <w:rPr>
        <w:rtl/>
      </w:rPr>
      <w:instrText xml:space="preserve"> </w:instrText>
    </w:r>
    <w:r>
      <w:rPr>
        <w:rFonts w:hint="cs"/>
      </w:rPr>
      <w:instrText>PAGE  \* hebrew1  \* MERGEFORMAT</w:instrText>
    </w:r>
    <w:r>
      <w:rPr>
        <w:rtl/>
      </w:rPr>
      <w:instrText xml:space="preserve"> </w:instrText>
    </w:r>
    <w:r>
      <w:rPr>
        <w:rtl/>
      </w:rPr>
      <w:fldChar w:fldCharType="separate"/>
    </w:r>
    <w:r>
      <w:rPr>
        <w:noProof/>
        <w:rtl/>
      </w:rPr>
      <w:t>מד</w:t>
    </w:r>
    <w:r>
      <w:rPr>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4344E" w14:textId="77777777" w:rsidR="000842C9" w:rsidRDefault="000842C9" w:rsidP="00E12C15">
    <w:pPr>
      <w:pStyle w:val="Footer"/>
      <w:tabs>
        <w:tab w:val="clear" w:pos="4680"/>
        <w:tab w:val="clear" w:pos="9360"/>
      </w:tabs>
      <w:jc w:val="center"/>
    </w:pPr>
    <w:r>
      <w:rPr>
        <w:rtl/>
      </w:rPr>
      <w:fldChar w:fldCharType="begin"/>
    </w:r>
    <w:r>
      <w:rPr>
        <w:rtl/>
      </w:rPr>
      <w:instrText xml:space="preserve"> </w:instrText>
    </w:r>
    <w:r>
      <w:rPr>
        <w:rFonts w:hint="cs"/>
      </w:rPr>
      <w:instrText>PAGE  \* hebrew1  \* MERGEFORMAT</w:instrText>
    </w:r>
    <w:r>
      <w:rPr>
        <w:rtl/>
      </w:rPr>
      <w:instrText xml:space="preserve"> </w:instrText>
    </w:r>
    <w:r>
      <w:rPr>
        <w:rtl/>
      </w:rPr>
      <w:fldChar w:fldCharType="separate"/>
    </w:r>
    <w:r>
      <w:rPr>
        <w:noProof/>
        <w:rtl/>
      </w:rPr>
      <w:t>א</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F3ABB" w14:textId="77777777" w:rsidR="00094928" w:rsidRDefault="00094928" w:rsidP="00531716">
      <w:pPr>
        <w:spacing w:before="0" w:after="20" w:line="240" w:lineRule="auto"/>
        <w:rPr>
          <w:rtl/>
        </w:rPr>
      </w:pPr>
      <w:r>
        <w:rPr>
          <w:rFonts w:hint="cs"/>
          <w:rtl/>
        </w:rPr>
        <w:t>_________________________</w:t>
      </w:r>
    </w:p>
  </w:footnote>
  <w:footnote w:type="continuationSeparator" w:id="0">
    <w:p w14:paraId="6B37F3C8" w14:textId="77777777" w:rsidR="00094928" w:rsidRDefault="00094928" w:rsidP="00476FB5">
      <w:pPr>
        <w:spacing w:line="240" w:lineRule="auto"/>
      </w:pPr>
      <w:r>
        <w:continuationSeparator/>
      </w:r>
    </w:p>
  </w:footnote>
  <w:footnote w:id="1">
    <w:p w14:paraId="5ED5A067" w14:textId="29666FEB" w:rsidR="004F1C23" w:rsidRPr="004F1C23" w:rsidRDefault="004F1C23">
      <w:pPr>
        <w:pStyle w:val="FootnoteText"/>
        <w:rPr>
          <w:rFonts w:hint="cs"/>
          <w:b/>
          <w:bCs/>
        </w:rPr>
      </w:pPr>
      <w:r w:rsidRPr="004F1C23">
        <w:rPr>
          <w:rStyle w:val="FootnoteReference"/>
          <w:bCs/>
          <w:vertAlign w:val="baseline"/>
        </w:rPr>
        <w:footnoteRef/>
      </w:r>
      <w:r>
        <w:rPr>
          <w:bCs/>
          <w:rtl/>
        </w:rPr>
        <w:t>.</w:t>
      </w:r>
      <w:r>
        <w:rPr>
          <w:rtl/>
        </w:rPr>
        <w:tab/>
      </w:r>
      <w:r>
        <w:rPr>
          <w:rFonts w:hint="cs"/>
          <w:b/>
          <w:bCs/>
          <w:rtl/>
        </w:rPr>
        <w:t xml:space="preserve">עיקרי הדברים נאמרו בסעודת ברית מילה של בני היקר </w:t>
      </w:r>
      <w:r w:rsidRPr="00877730">
        <w:rPr>
          <w:rFonts w:hint="cs"/>
          <w:b/>
          <w:bCs/>
          <w:sz w:val="22"/>
          <w:szCs w:val="22"/>
          <w:rtl/>
        </w:rPr>
        <w:t>אליעזר זאב</w:t>
      </w:r>
      <w:r>
        <w:rPr>
          <w:rFonts w:hint="cs"/>
          <w:b/>
          <w:bCs/>
          <w:rtl/>
        </w:rPr>
        <w:t xml:space="preserve"> נ"י,</w:t>
      </w:r>
      <w:r w:rsidR="00877730">
        <w:rPr>
          <w:rFonts w:hint="cs"/>
          <w:b/>
          <w:bCs/>
          <w:rtl/>
        </w:rPr>
        <w:t xml:space="preserve"> יום ראשון לשלשת ימי הגבלה [ג' סיון] שנת תשפ"ה. </w:t>
      </w:r>
    </w:p>
  </w:footnote>
  <w:footnote w:id="2">
    <w:p w14:paraId="0B97A375" w14:textId="429BAB12" w:rsidR="00E0359F" w:rsidRPr="00E0359F" w:rsidRDefault="00E0359F">
      <w:pPr>
        <w:pStyle w:val="FootnoteText"/>
        <w:rPr>
          <w:rFonts w:hint="cs"/>
        </w:rPr>
      </w:pPr>
      <w:r w:rsidRPr="00E0359F">
        <w:rPr>
          <w:rStyle w:val="FootnoteReference"/>
          <w:bCs/>
          <w:vertAlign w:val="baseline"/>
        </w:rPr>
        <w:footnoteRef/>
      </w:r>
      <w:r>
        <w:rPr>
          <w:bCs/>
          <w:rtl/>
        </w:rPr>
        <w:t>.</w:t>
      </w:r>
      <w:r>
        <w:rPr>
          <w:rtl/>
        </w:rPr>
        <w:tab/>
      </w:r>
      <w:r>
        <w:rPr>
          <w:rFonts w:hint="cs"/>
          <w:rtl/>
        </w:rPr>
        <w:t>ואף דטעון גם הרצאת דמים, אי"ז מעכב הגירות אלא חייב להביא קרבן כשיבנה בהמ"ק.</w:t>
      </w:r>
    </w:p>
  </w:footnote>
  <w:footnote w:id="3">
    <w:p w14:paraId="2D6CD369" w14:textId="4E77C9A6" w:rsidR="009B442B" w:rsidRDefault="009B442B">
      <w:pPr>
        <w:pStyle w:val="FootnoteText"/>
        <w:rPr>
          <w:rtl/>
        </w:rPr>
      </w:pPr>
      <w:r w:rsidRPr="009B442B">
        <w:rPr>
          <w:rStyle w:val="FootnoteReference"/>
          <w:bCs/>
          <w:vertAlign w:val="baseline"/>
        </w:rPr>
        <w:footnoteRef/>
      </w:r>
      <w:r>
        <w:rPr>
          <w:bCs/>
          <w:rtl/>
        </w:rPr>
        <w:t>.</w:t>
      </w:r>
      <w:r>
        <w:rPr>
          <w:rtl/>
        </w:rPr>
        <w:tab/>
      </w:r>
      <w:r>
        <w:rPr>
          <w:rFonts w:hint="cs"/>
          <w:rtl/>
        </w:rPr>
        <w:t>הרשב"א כ' שאפשר לדחות דאיירי בבת שא"צ מילה. והריטב"א כ' דעובר כיון שאינו ראוי למילה הו"ל כנקבה שמ</w:t>
      </w:r>
      <w:r w:rsidR="007514D9">
        <w:rPr>
          <w:rFonts w:hint="cs"/>
          <w:rtl/>
        </w:rPr>
        <w:t>ת</w:t>
      </w:r>
      <w:r>
        <w:rPr>
          <w:rFonts w:hint="cs"/>
          <w:rtl/>
        </w:rPr>
        <w:t>גייר</w:t>
      </w:r>
      <w:r w:rsidR="007514D9">
        <w:rPr>
          <w:rFonts w:hint="cs"/>
          <w:rtl/>
        </w:rPr>
        <w:t>ת</w:t>
      </w:r>
      <w:r>
        <w:rPr>
          <w:rFonts w:hint="cs"/>
          <w:rtl/>
        </w:rPr>
        <w:t xml:space="preserve"> בטבילה לחוד. ובתוס' ג"כ כתבו דשאני עובר שאינו ראוי למילה, ונחלקו המפרשים בכוונתם, יש שפי' דר"ל כהרטיב"א דכיון דאינו ראוי למילה באותה שעה א"צ מילת גירות כלל אלא סגי לי' בטבילה, ויש שפי' דר"ל דכיון דאינו ראוי למילה באותה שעה אין הסדר של מילה ואח"כ טבילה מעכב אע"ג דבעלמא מעכב. ו</w:t>
      </w:r>
      <w:r w:rsidR="007514D9">
        <w:rPr>
          <w:rFonts w:hint="cs"/>
          <w:rtl/>
        </w:rPr>
        <w:t>יעו' מה שביארנו בזה להלן ב'הוספות'</w:t>
      </w:r>
      <w:r w:rsidR="007342DE">
        <w:rPr>
          <w:rFonts w:hint="cs"/>
          <w:rtl/>
        </w:rPr>
        <w:t>.</w:t>
      </w:r>
    </w:p>
    <w:p w14:paraId="27469F0D" w14:textId="5178D938" w:rsidR="007342DE" w:rsidRPr="007342DE" w:rsidRDefault="007342DE" w:rsidP="007342DE">
      <w:pPr>
        <w:pStyle w:val="FootnoteSecondLine"/>
      </w:pPr>
      <w:r>
        <w:rPr>
          <w:rFonts w:hint="cs"/>
          <w:rtl/>
        </w:rPr>
        <w:t>הרמב"ם כ' דאחר שמל טובלין אותו, ולא הזכיר שבדיעבד אם טבל קודם יכול למול אחר הטבילה, ודקדקו מזה דס"ל כדעת הראשונים הנ"ל החולקים על הרמב"ן וס"ל דהסדר מעכב.</w:t>
      </w:r>
    </w:p>
  </w:footnote>
  <w:footnote w:id="4">
    <w:p w14:paraId="2F181E8F" w14:textId="43C90D05" w:rsidR="00D71E12" w:rsidRDefault="00D71E12">
      <w:pPr>
        <w:pStyle w:val="FootnoteText"/>
        <w:rPr>
          <w:rtl/>
        </w:rPr>
      </w:pPr>
      <w:r w:rsidRPr="00D71E12">
        <w:rPr>
          <w:rStyle w:val="FootnoteReference"/>
          <w:bCs/>
          <w:vertAlign w:val="baseline"/>
        </w:rPr>
        <w:footnoteRef/>
      </w:r>
      <w:r>
        <w:rPr>
          <w:bCs/>
          <w:rtl/>
        </w:rPr>
        <w:t>.</w:t>
      </w:r>
      <w:r>
        <w:rPr>
          <w:rtl/>
        </w:rPr>
        <w:tab/>
      </w:r>
      <w:r>
        <w:rPr>
          <w:rFonts w:hint="cs"/>
          <w:rtl/>
        </w:rPr>
        <w:t>יסוד מהלך זה בביאור פלוגתת הראשונים אי' בס' זכר יצחק סי' ג', יעו"ש שכ' דלדעת הרמב"ן מילה הוא מטהר כמו שטבילה היא מטהרת, ובדעת שא"ר עיקר המטהר היא טבילה, והא דצ' מילה הוא משום דהערלות מעכב הגירות. ויעו"ש שהביא ע"ז לשון הריטב"א שכ' דלעולם בעי' מילה קודם לטביה דאל"כ הו"ל טובל ושרץ בידו.</w:t>
      </w:r>
    </w:p>
    <w:p w14:paraId="13055AAD" w14:textId="2C735204" w:rsidR="00D71E12" w:rsidRDefault="00D71E12" w:rsidP="00D71E12">
      <w:pPr>
        <w:pStyle w:val="FootnoteSecondLine"/>
        <w:rPr>
          <w:rtl/>
        </w:rPr>
      </w:pPr>
      <w:r>
        <w:rPr>
          <w:rFonts w:hint="cs"/>
          <w:rtl/>
        </w:rPr>
        <w:t>אכן לע"</w:t>
      </w:r>
      <w:r w:rsidR="007C514E">
        <w:rPr>
          <w:rFonts w:hint="cs"/>
          <w:rtl/>
        </w:rPr>
        <w:t xml:space="preserve">ד אינו מוכרח מלשון הריטב"א הנ"ל דהענין דצ' מילה הוא דערלות מעכבת הגירות, אלא לעולם י"ל דבעי' ענין חיובי של מילה, וכפשטות המשמעות של הא דאמרי' דבעי' מילה וטבילה </w:t>
      </w:r>
      <w:r w:rsidR="004312BA">
        <w:rPr>
          <w:rFonts w:hint="cs"/>
          <w:rtl/>
        </w:rPr>
        <w:t>דמשמע דר"ל דבעי' מילה חיובית</w:t>
      </w:r>
      <w:r w:rsidR="007C514E">
        <w:rPr>
          <w:rFonts w:hint="cs"/>
          <w:rtl/>
        </w:rPr>
        <w:t>[והרי איכא מ"ד מהני מילה לחוד וזה ודאי הוא מכח מילה חיובית ולא מה שאינו ערל לחוד], וכוונת הריטב"א שכ' דבלא מילה הו"ל טובל ושרץ בידו הי</w:t>
      </w:r>
      <w:r w:rsidR="004312BA">
        <w:rPr>
          <w:rFonts w:hint="cs"/>
          <w:rtl/>
        </w:rPr>
        <w:t>א,</w:t>
      </w:r>
      <w:r w:rsidR="007C514E">
        <w:rPr>
          <w:rFonts w:hint="cs"/>
          <w:rtl/>
        </w:rPr>
        <w:t xml:space="preserve"> דאף דעיקר המטהר של גירות הוי </w:t>
      </w:r>
      <w:r w:rsidR="004312BA">
        <w:rPr>
          <w:rFonts w:hint="cs"/>
          <w:rtl/>
        </w:rPr>
        <w:t>טבילה,</w:t>
      </w:r>
      <w:r w:rsidR="007C514E">
        <w:rPr>
          <w:rFonts w:hint="cs"/>
          <w:rtl/>
        </w:rPr>
        <w:t xml:space="preserve"> מ"מ יש תנאי שרק מי שיש לו מילה יכול להתגייר ע"י טבילה</w:t>
      </w:r>
      <w:r w:rsidR="004312BA">
        <w:rPr>
          <w:rFonts w:hint="cs"/>
          <w:rtl/>
        </w:rPr>
        <w:t>,</w:t>
      </w:r>
      <w:r w:rsidR="007C514E">
        <w:rPr>
          <w:rFonts w:hint="cs"/>
          <w:rtl/>
        </w:rPr>
        <w:t xml:space="preserve"> וכל שחסר לו ענין זה אין לו כח להתגייר, וממילא אם לא מל קודם ה</w:t>
      </w:r>
      <w:r w:rsidR="004312BA">
        <w:rPr>
          <w:rFonts w:hint="cs"/>
          <w:rtl/>
        </w:rPr>
        <w:t>טבי</w:t>
      </w:r>
      <w:r w:rsidR="007C514E">
        <w:rPr>
          <w:rFonts w:hint="cs"/>
          <w:rtl/>
        </w:rPr>
        <w:t>לה</w:t>
      </w:r>
      <w:r w:rsidR="004312BA">
        <w:rPr>
          <w:rFonts w:hint="cs"/>
          <w:rtl/>
        </w:rPr>
        <w:t>,</w:t>
      </w:r>
      <w:r w:rsidR="007C514E">
        <w:rPr>
          <w:rFonts w:hint="cs"/>
          <w:rtl/>
        </w:rPr>
        <w:t xml:space="preserve"> מקרי טובל ושרץ בידו</w:t>
      </w:r>
      <w:r w:rsidR="004312BA">
        <w:rPr>
          <w:rFonts w:hint="cs"/>
          <w:rtl/>
        </w:rPr>
        <w:t>, מאחר ש</w:t>
      </w:r>
      <w:r w:rsidR="004312BA">
        <w:rPr>
          <w:rFonts w:hint="cs"/>
          <w:rtl/>
        </w:rPr>
        <w:t>הוא מעוכב מלהתגייר משום דחסר לו המילה</w:t>
      </w:r>
      <w:r w:rsidR="007C514E">
        <w:rPr>
          <w:rFonts w:hint="cs"/>
          <w:rtl/>
        </w:rPr>
        <w:t>.</w:t>
      </w:r>
    </w:p>
    <w:p w14:paraId="2A1DBE45" w14:textId="331CBB71" w:rsidR="007C514E" w:rsidRPr="00D71E12" w:rsidRDefault="007C514E" w:rsidP="00D71E12">
      <w:pPr>
        <w:pStyle w:val="FootnoteSecondLine"/>
      </w:pPr>
      <w:r>
        <w:rPr>
          <w:rFonts w:hint="cs"/>
          <w:rtl/>
        </w:rPr>
        <w:t>ועכ"פ מבואר להדיא מתוך ד' הריטב"א דמילה פועלת ענין נפרד מעצם הגירות.</w:t>
      </w:r>
    </w:p>
  </w:footnote>
  <w:footnote w:id="5">
    <w:p w14:paraId="4BFD544B" w14:textId="3144E538" w:rsidR="002A3E51" w:rsidRPr="002A3E51" w:rsidRDefault="002A3E51">
      <w:pPr>
        <w:pStyle w:val="FootnoteText"/>
        <w:rPr>
          <w:rFonts w:hint="cs"/>
        </w:rPr>
      </w:pPr>
      <w:r w:rsidRPr="002A3E51">
        <w:rPr>
          <w:rStyle w:val="FootnoteReference"/>
          <w:bCs/>
          <w:vertAlign w:val="baseline"/>
        </w:rPr>
        <w:footnoteRef/>
      </w:r>
      <w:r>
        <w:rPr>
          <w:bCs/>
          <w:rtl/>
        </w:rPr>
        <w:t>.</w:t>
      </w:r>
      <w:r>
        <w:rPr>
          <w:rtl/>
        </w:rPr>
        <w:tab/>
      </w:r>
      <w:r>
        <w:rPr>
          <w:rFonts w:hint="cs"/>
          <w:rtl/>
        </w:rPr>
        <w:t xml:space="preserve">והא דנקט הרמב"ן הך חידוש, דכל </w:t>
      </w:r>
      <w:r w:rsidR="001D3853">
        <w:rPr>
          <w:rFonts w:hint="cs"/>
          <w:rtl/>
        </w:rPr>
        <w:t xml:space="preserve">סוג </w:t>
      </w:r>
      <w:r>
        <w:rPr>
          <w:rFonts w:hint="cs"/>
          <w:rtl/>
        </w:rPr>
        <w:t xml:space="preserve">מילה </w:t>
      </w:r>
      <w:r w:rsidR="001D3853">
        <w:rPr>
          <w:rFonts w:hint="cs"/>
          <w:rtl/>
        </w:rPr>
        <w:t xml:space="preserve">שתהא, </w:t>
      </w:r>
      <w:r>
        <w:rPr>
          <w:rFonts w:hint="cs"/>
          <w:rtl/>
        </w:rPr>
        <w:t>מועלת לענין שאח"כ יכול להתגייר בטבילה לחודה, ולא נחת למ"ש תוס' והרא"ש דמה שמלו בתחילה היתה כדי ליכנס בברית המקום</w:t>
      </w:r>
      <w:r w:rsidR="00F77D6A">
        <w:rPr>
          <w:rFonts w:hint="cs"/>
          <w:rtl/>
        </w:rPr>
        <w:t>,</w:t>
      </w:r>
      <w:r>
        <w:rPr>
          <w:rFonts w:hint="cs"/>
          <w:rtl/>
        </w:rPr>
        <w:t xml:space="preserve"> וא"כ י"ל דדוקא </w:t>
      </w:r>
      <w:r w:rsidR="00F77D6A">
        <w:rPr>
          <w:rFonts w:hint="cs"/>
          <w:rtl/>
        </w:rPr>
        <w:t xml:space="preserve">ע"י מילה כזו הוא דנעשה </w:t>
      </w:r>
      <w:r w:rsidR="000035B3">
        <w:rPr>
          <w:rFonts w:hint="cs"/>
          <w:rtl/>
        </w:rPr>
        <w:t>כנשים להתגייר אח"כ בטבילה לחודה, אבל לא ע"י מילה של מצוה בעלמא</w:t>
      </w:r>
      <w:r>
        <w:rPr>
          <w:rFonts w:hint="cs"/>
          <w:rtl/>
        </w:rPr>
        <w:t xml:space="preserve">. נראה בזה, </w:t>
      </w:r>
      <w:r w:rsidR="00F77D6A">
        <w:rPr>
          <w:rFonts w:hint="cs"/>
          <w:rtl/>
        </w:rPr>
        <w:t>עפמשי"ת בהמשך דברנו</w:t>
      </w:r>
      <w:r w:rsidR="001D3853">
        <w:rPr>
          <w:rFonts w:hint="cs"/>
          <w:rtl/>
        </w:rPr>
        <w:t>,</w:t>
      </w:r>
      <w:r w:rsidR="00F77D6A">
        <w:rPr>
          <w:rFonts w:hint="cs"/>
          <w:rtl/>
        </w:rPr>
        <w:t xml:space="preserve"> דהמילה שמלו </w:t>
      </w:r>
      <w:r w:rsidR="001D3853">
        <w:rPr>
          <w:rFonts w:hint="cs"/>
          <w:rtl/>
        </w:rPr>
        <w:t>שבט לוי במצרים</w:t>
      </w:r>
      <w:r w:rsidR="00F77D6A">
        <w:rPr>
          <w:rFonts w:hint="cs"/>
          <w:rtl/>
        </w:rPr>
        <w:t xml:space="preserve"> ודאי לא היתה </w:t>
      </w:r>
      <w:r w:rsidR="001D3853">
        <w:rPr>
          <w:rFonts w:hint="cs"/>
          <w:rtl/>
        </w:rPr>
        <w:t>'</w:t>
      </w:r>
      <w:r w:rsidR="00F77D6A">
        <w:rPr>
          <w:rFonts w:hint="cs"/>
          <w:rtl/>
        </w:rPr>
        <w:t>מעשה גירות</w:t>
      </w:r>
      <w:r w:rsidR="001D3853">
        <w:rPr>
          <w:rFonts w:hint="cs"/>
          <w:rtl/>
        </w:rPr>
        <w:t>',</w:t>
      </w:r>
      <w:r w:rsidR="00F77D6A">
        <w:rPr>
          <w:rFonts w:hint="cs"/>
          <w:rtl/>
        </w:rPr>
        <w:t xml:space="preserve"> ולא היתה בכלל סדר גירות, א"כ י"ל דרק לשי' תוס' והרא"ש דבכל דוכתי לא הוי מילה בכלל עצם הגירות, א"כ הרי נאמר בזה דאיכא חלות מילה של כניסה בברית שהוא דבר נפרד מעצם הגירות, ונקטו דגם מילת שבט לוי במצרים היתה סוג מילה כזה. אבל לדעת הרמב"ן דבכל גירות ע"י מילה וטבילה הוי המילה חלק מעצם הגירות, א"כ אינו מבואר כלל שיש חלות כזה בפנ"ע של כניסה בברית ע"י מילה, דבכל גירות ליכא שום חלות נפרדת כזה כ"א דע"י מילה וטבילה ביחד חייל חלות גירות גמורה, ואין לנו לחדש דאיכא חלות כניסה בברית בפנ"ע ע"י מילה, על כן נקט הרמב"ן דאין במילת שבט לוי במצרים שום חלות כניסה בברית רק הוי סתם מילה של מצוה, ואפ"ה מועלת שא"צ מילה אח"כ בשעת הגירות.</w:t>
      </w:r>
    </w:p>
  </w:footnote>
  <w:footnote w:id="6">
    <w:p w14:paraId="3BD8F890" w14:textId="43AF3CED" w:rsidR="00C50C4E" w:rsidRDefault="00014FBE" w:rsidP="00C50C4E">
      <w:pPr>
        <w:pStyle w:val="FootnoteText"/>
        <w:rPr>
          <w:rtl/>
        </w:rPr>
      </w:pPr>
      <w:r w:rsidRPr="00014FBE">
        <w:rPr>
          <w:rStyle w:val="FootnoteReference"/>
          <w:bCs/>
          <w:vertAlign w:val="baseline"/>
        </w:rPr>
        <w:footnoteRef/>
      </w:r>
      <w:r>
        <w:rPr>
          <w:bCs/>
          <w:rtl/>
        </w:rPr>
        <w:t>.</w:t>
      </w:r>
      <w:r>
        <w:rPr>
          <w:rtl/>
        </w:rPr>
        <w:tab/>
      </w:r>
      <w:r>
        <w:rPr>
          <w:rFonts w:hint="cs"/>
          <w:rtl/>
        </w:rPr>
        <w:t xml:space="preserve">ויש להביא סמך לדבר זה שכתבנו בדעת הרמב"ן, דבדין גירות ע"י מילה וטבילה המילה הוי 'מעשה גירות', </w:t>
      </w:r>
      <w:r w:rsidR="005A28FA">
        <w:rPr>
          <w:rFonts w:hint="cs"/>
          <w:rtl/>
        </w:rPr>
        <w:t>מתוך מה שיש לעיין בעיקר מ"ש הרמב"ן דע"י שמלו שבט לוי בתחילה נעשו כנשים להכנס בברית ע"י טבילה לחודה, דצ"ע ד</w:t>
      </w:r>
      <w:r w:rsidR="008600D7">
        <w:rPr>
          <w:rFonts w:hint="cs"/>
          <w:rtl/>
        </w:rPr>
        <w:t xml:space="preserve">הלא </w:t>
      </w:r>
      <w:r w:rsidR="005A28FA">
        <w:rPr>
          <w:rFonts w:hint="cs"/>
          <w:rtl/>
        </w:rPr>
        <w:t>ב</w:t>
      </w:r>
      <w:r w:rsidR="008600D7">
        <w:rPr>
          <w:rFonts w:hint="cs"/>
          <w:rtl/>
        </w:rPr>
        <w:t>כל גר ד</w:t>
      </w:r>
      <w:r w:rsidR="005A28FA">
        <w:rPr>
          <w:rFonts w:hint="cs"/>
          <w:rtl/>
        </w:rPr>
        <w:t>עלמא לא ילפי' אנשים מנשים משום דאין דנין אפשר משאי אפשר, ומאי שנא דבהני שכבר מלו מצי' למידן להו מנשים</w:t>
      </w:r>
      <w:r w:rsidR="008600D7">
        <w:rPr>
          <w:rFonts w:hint="cs"/>
          <w:rtl/>
        </w:rPr>
        <w:t>.</w:t>
      </w:r>
      <w:r w:rsidR="005A28FA">
        <w:rPr>
          <w:rFonts w:hint="cs"/>
          <w:rtl/>
        </w:rPr>
        <w:t xml:space="preserve"> ואין לומר דכיון ד</w:t>
      </w:r>
      <w:r w:rsidR="008600D7">
        <w:rPr>
          <w:rFonts w:hint="cs"/>
          <w:rtl/>
        </w:rPr>
        <w:t xml:space="preserve">כבר </w:t>
      </w:r>
      <w:r w:rsidR="005A28FA">
        <w:rPr>
          <w:rFonts w:hint="cs"/>
          <w:rtl/>
        </w:rPr>
        <w:t xml:space="preserve">מלו מקרו א"א במילה, דהלא אפשר בהטפת דם ברית [ויעו' ברמב"ן שבת </w:t>
      </w:r>
      <w:r w:rsidR="008600D7">
        <w:rPr>
          <w:rFonts w:hint="cs"/>
          <w:rtl/>
        </w:rPr>
        <w:t>קל"ה</w:t>
      </w:r>
      <w:r w:rsidR="005A28FA">
        <w:rPr>
          <w:rFonts w:hint="cs"/>
          <w:rtl/>
        </w:rPr>
        <w:t xml:space="preserve"> שביאר הפלוגתא אי גוי נמול הבא להתגייר צ' הטד"ב או לא, דנחלקו האם מקרי א"א במילה וילפי' לי' מנשים, או דמקרי אפשר כיון דאפשר בהטד"ב, וכאן הרי אזיל הרמב"ן דבכל גוי נמול צ' הטד"ב וזהו דקשיא לי' מאי שנא שבט לוי שנמולו כבר במצרים, וע"ז תי' דשאני הך מילה דהיו מצווים בה, </w:t>
      </w:r>
      <w:r w:rsidR="00D76DA8">
        <w:rPr>
          <w:rFonts w:hint="cs"/>
          <w:rtl/>
        </w:rPr>
        <w:t>והרי להך מ"ד כל דאפשר בהטד"ב לא מקרי א"א במילה].</w:t>
      </w:r>
    </w:p>
    <w:p w14:paraId="7FE853BF" w14:textId="2E7AC9D2" w:rsidR="00014FBE" w:rsidRDefault="00C50C4E" w:rsidP="00C50C4E">
      <w:pPr>
        <w:pStyle w:val="FootnoteSecondLine"/>
        <w:rPr>
          <w:rtl/>
        </w:rPr>
      </w:pPr>
      <w:r>
        <w:rPr>
          <w:rFonts w:hint="cs"/>
          <w:rtl/>
        </w:rPr>
        <w:t xml:space="preserve">ונראה בזה, דהרמב"ן נקט דהא דנעשית גירות </w:t>
      </w:r>
      <w:r w:rsidR="00C566E0">
        <w:rPr>
          <w:rFonts w:hint="cs"/>
          <w:rtl/>
        </w:rPr>
        <w:t xml:space="preserve">בעלמא </w:t>
      </w:r>
      <w:r>
        <w:rPr>
          <w:rFonts w:hint="cs"/>
          <w:rtl/>
        </w:rPr>
        <w:t xml:space="preserve">ע"י מילה, ודאי יסוד הדברים אינו דמעשה מילה הוי </w:t>
      </w:r>
      <w:r w:rsidR="00C566E0">
        <w:rPr>
          <w:rFonts w:hint="cs"/>
          <w:rtl/>
        </w:rPr>
        <w:t xml:space="preserve">סתם </w:t>
      </w:r>
      <w:r>
        <w:rPr>
          <w:rFonts w:hint="cs"/>
          <w:rtl/>
        </w:rPr>
        <w:t xml:space="preserve">מעשה הפועלת גירות, כ"א דבעי' עצם הענין של מילה, דע"י שיש לו מילה נעשה בן ברית ומתגייר. ומש"ה יש מקום לומר דאפי' אם מל קודם הגירות, אף שלא נעשה אותה מילה לצורך גירות, מ"מ אם היא אך חשיבא מילה יכולה הגירות לחול אח"כ </w:t>
      </w:r>
      <w:r w:rsidR="00C566E0">
        <w:rPr>
          <w:rFonts w:hint="cs"/>
          <w:rtl/>
        </w:rPr>
        <w:t>מכח</w:t>
      </w:r>
      <w:r>
        <w:rPr>
          <w:rFonts w:hint="cs"/>
          <w:rtl/>
        </w:rPr>
        <w:t xml:space="preserve"> הך מילה, דמהלך הגירות גופה פועלת שתועיל המילה שיש לו להכניסו בברית. ולפ"ז ניחא הא דשבט לוי לא הוצרכו למול בשעת הגירות אפי' בלי לומר שהם כמו נשים. אלא דאכתי הוה ק' לי' להרמב"ן, דסוכ"ס מאחר שנאמר דסדר גירות דעלמא הוא ע"י מילה וטבילה, הרי נאמר בזה דהמילה משמש גם בתורת </w:t>
      </w:r>
      <w:r w:rsidRPr="00C566E0">
        <w:rPr>
          <w:rFonts w:hint="cs"/>
          <w:b/>
          <w:bCs/>
          <w:rtl/>
        </w:rPr>
        <w:t>מעשה גירות</w:t>
      </w:r>
      <w:r w:rsidR="00C566E0">
        <w:rPr>
          <w:rFonts w:hint="cs"/>
          <w:rtl/>
        </w:rPr>
        <w:t xml:space="preserve"> [מלבד מה שצריך ענין המילה לפעול הגירות]</w:t>
      </w:r>
      <w:r>
        <w:rPr>
          <w:rFonts w:hint="cs"/>
          <w:rtl/>
        </w:rPr>
        <w:t>, דסדר מילה וטבילה היא העמשה הפועלת גירות, וממילא אכתי תקשי דאפי' אי נימא דבשבט לוי נתקיימה מה שצריכים ענין המילה בהמילה שמלו כבר</w:t>
      </w:r>
      <w:r w:rsidR="00C566E0">
        <w:rPr>
          <w:rFonts w:hint="cs"/>
          <w:rtl/>
        </w:rPr>
        <w:t>,</w:t>
      </w:r>
      <w:r>
        <w:rPr>
          <w:rFonts w:hint="cs"/>
          <w:rtl/>
        </w:rPr>
        <w:t xml:space="preserve"> אכתי ק' דסוכ"ס חסר להו מעשה גירות, דבסדר גירות של מילה וטבילה לא נאמרה דטבילה לחודה חשיבא מעשה גירות. וע"ז תי' דילפי' להו מנשים שנכנסים בברית בטבילה לחודה, ור"ל דשפיר מצי' למילף מנשים פרט זה דטבילה לחודה הו"ל מעשה גירות בעלמא, וע"ז לא מסתבר למימר אין דנין אפשר משאי אפשר, וכל מאי דאמרי' אין דנין כו' הוא רק לענין דלא ילפי' מנייהו דשייך גירות בלי ענין מילה כל עיקר, ודו"ק.</w:t>
      </w:r>
    </w:p>
    <w:p w14:paraId="60433533" w14:textId="2DA87510" w:rsidR="00C50C4E" w:rsidRPr="00014FBE" w:rsidRDefault="00C50C4E" w:rsidP="00C50C4E">
      <w:pPr>
        <w:pStyle w:val="FootnoteSecondLine"/>
        <w:rPr>
          <w:rFonts w:hint="cs"/>
        </w:rPr>
      </w:pPr>
      <w:r>
        <w:rPr>
          <w:rFonts w:hint="cs"/>
          <w:rtl/>
        </w:rPr>
        <w:t xml:space="preserve">ועכ"פ </w:t>
      </w:r>
      <w:r>
        <w:rPr>
          <w:rFonts w:hint="cs"/>
          <w:rtl/>
        </w:rPr>
        <w:t>נמצינו למידים</w:t>
      </w:r>
      <w:r>
        <w:rPr>
          <w:rFonts w:hint="cs"/>
          <w:rtl/>
        </w:rPr>
        <w:t xml:space="preserve"> מזה</w:t>
      </w:r>
      <w:r>
        <w:rPr>
          <w:rFonts w:hint="cs"/>
          <w:rtl/>
        </w:rPr>
        <w:t>,</w:t>
      </w:r>
      <w:r>
        <w:rPr>
          <w:rFonts w:hint="cs"/>
          <w:rtl/>
        </w:rPr>
        <w:t xml:space="preserve"> דבעיקר דין</w:t>
      </w:r>
      <w:r>
        <w:rPr>
          <w:rFonts w:hint="cs"/>
          <w:rtl/>
        </w:rPr>
        <w:t xml:space="preserve"> גירות ע"י</w:t>
      </w:r>
      <w:r>
        <w:rPr>
          <w:rFonts w:hint="cs"/>
          <w:rtl/>
        </w:rPr>
        <w:t xml:space="preserve"> מילה וטבילה הוי המילה חלק ממעשה גירות</w:t>
      </w:r>
      <w:r>
        <w:rPr>
          <w:rFonts w:hint="cs"/>
          <w:rtl/>
        </w:rPr>
        <w:t>,</w:t>
      </w:r>
      <w:r>
        <w:rPr>
          <w:rFonts w:hint="cs"/>
          <w:rtl/>
        </w:rPr>
        <w:t xml:space="preserve"> ולא רק </w:t>
      </w:r>
      <w:r>
        <w:rPr>
          <w:rFonts w:hint="cs"/>
          <w:rtl/>
        </w:rPr>
        <w:t>שצריך</w:t>
      </w:r>
      <w:r>
        <w:rPr>
          <w:rFonts w:hint="cs"/>
          <w:rtl/>
        </w:rPr>
        <w:t xml:space="preserve"> ענין מילה כדי להתגייר</w:t>
      </w:r>
      <w:r>
        <w:rPr>
          <w:rFonts w:hint="cs"/>
          <w:rtl/>
        </w:rPr>
        <w:t>.</w:t>
      </w:r>
    </w:p>
  </w:footnote>
  <w:footnote w:id="7">
    <w:p w14:paraId="7B966759" w14:textId="782FD924" w:rsidR="002A5019" w:rsidRPr="002A5019" w:rsidRDefault="0099370D" w:rsidP="002A5019">
      <w:pPr>
        <w:pStyle w:val="FootnoteText"/>
        <w:rPr>
          <w:rFonts w:hint="cs"/>
          <w:rtl/>
        </w:rPr>
      </w:pPr>
      <w:r w:rsidRPr="0099370D">
        <w:rPr>
          <w:rStyle w:val="FootnoteReference"/>
          <w:bCs/>
          <w:vertAlign w:val="baseline"/>
        </w:rPr>
        <w:footnoteRef/>
      </w:r>
      <w:r>
        <w:rPr>
          <w:bCs/>
          <w:rtl/>
        </w:rPr>
        <w:t>.</w:t>
      </w:r>
      <w:r>
        <w:rPr>
          <w:rtl/>
        </w:rPr>
        <w:tab/>
      </w:r>
      <w:r>
        <w:rPr>
          <w:rFonts w:hint="cs"/>
          <w:rtl/>
        </w:rPr>
        <w:t>ויעו' בשו"ת בנין ציון סי' צ"א שכ' דגר שמל ולא טבל חייל עליו דיני ישראל במקצת ואינו בכלל איסור עכו"ם ששבת.</w:t>
      </w:r>
      <w:r w:rsidR="002A5019">
        <w:rPr>
          <w:rFonts w:hint="cs"/>
          <w:rtl/>
        </w:rPr>
        <w:t xml:space="preserve"> ויעו"ש שכ' וז"ל: ולכן נלענ"ד דאף </w:t>
      </w:r>
      <w:r w:rsidR="00127127">
        <w:rPr>
          <w:rFonts w:hint="cs"/>
          <w:rtl/>
        </w:rPr>
        <w:t>ד</w:t>
      </w:r>
      <w:r w:rsidR="002A5019">
        <w:rPr>
          <w:rFonts w:hint="cs"/>
          <w:rtl/>
        </w:rPr>
        <w:t>עד</w:t>
      </w:r>
      <w:r w:rsidR="00127127">
        <w:rPr>
          <w:rFonts w:hint="cs"/>
          <w:rtl/>
        </w:rPr>
        <w:t>י</w:t>
      </w:r>
      <w:r w:rsidR="002A5019">
        <w:rPr>
          <w:rFonts w:hint="cs"/>
          <w:rtl/>
        </w:rPr>
        <w:t>ין לא נכנס לכלל ישראל גמור עד שטבל מ"מ משעה שנכנס לברית מילה כבר נבדל מכלל ב"נ</w:t>
      </w:r>
      <w:r w:rsidR="00127127">
        <w:rPr>
          <w:rFonts w:hint="cs"/>
          <w:rtl/>
        </w:rPr>
        <w:t>,</w:t>
      </w:r>
      <w:r w:rsidR="002A5019">
        <w:rPr>
          <w:rFonts w:hint="cs"/>
          <w:rtl/>
        </w:rPr>
        <w:t xml:space="preserve"> </w:t>
      </w:r>
      <w:r w:rsidR="002A5019">
        <w:rPr>
          <w:rFonts w:hint="cs"/>
          <w:b/>
          <w:bCs/>
          <w:rtl/>
        </w:rPr>
        <w:t>וכעי"ז כתבו התוס' בכריתו</w:t>
      </w:r>
      <w:r w:rsidR="00014FBE">
        <w:rPr>
          <w:rFonts w:hint="cs"/>
          <w:b/>
          <w:bCs/>
          <w:rtl/>
        </w:rPr>
        <w:t>ת</w:t>
      </w:r>
      <w:r w:rsidR="002A5019">
        <w:rPr>
          <w:rFonts w:hint="cs"/>
          <w:b/>
          <w:bCs/>
          <w:rtl/>
        </w:rPr>
        <w:t xml:space="preserve"> (דף ט) אמה דאמרינן שם דאבותינו נכנסו לברית במילה וטבילה כו'</w:t>
      </w:r>
      <w:r w:rsidR="00127127">
        <w:rPr>
          <w:rFonts w:hint="cs"/>
          <w:b/>
          <w:bCs/>
          <w:rtl/>
        </w:rPr>
        <w:t>,</w:t>
      </w:r>
      <w:r w:rsidR="002A5019">
        <w:rPr>
          <w:rFonts w:hint="cs"/>
          <w:b/>
          <w:bCs/>
          <w:rtl/>
        </w:rPr>
        <w:t xml:space="preserve"> וכתבו התוס' ואע"פ ש</w:t>
      </w:r>
      <w:r w:rsidR="00127127">
        <w:rPr>
          <w:rFonts w:hint="cs"/>
          <w:b/>
          <w:bCs/>
          <w:rtl/>
        </w:rPr>
        <w:t>א</w:t>
      </w:r>
      <w:r w:rsidR="002A5019">
        <w:rPr>
          <w:rFonts w:hint="cs"/>
          <w:b/>
          <w:bCs/>
          <w:rtl/>
        </w:rPr>
        <w:t>ותן שהיו נמולים בימי אברהם לא מלו אותם ביצי"מ מכ"מ מעיקרא כשמל</w:t>
      </w:r>
      <w:r w:rsidR="00127127">
        <w:rPr>
          <w:rFonts w:hint="cs"/>
          <w:b/>
          <w:bCs/>
          <w:rtl/>
        </w:rPr>
        <w:t>ו</w:t>
      </w:r>
      <w:r w:rsidR="002A5019">
        <w:rPr>
          <w:rFonts w:hint="cs"/>
          <w:b/>
          <w:bCs/>
          <w:rtl/>
        </w:rPr>
        <w:t xml:space="preserve"> עצמן מלו לינכס בברית המקום וליבדל משאר אומות וגם כי עתה טבלו עכ"ל, הרי בפי' שכבר קודם טבילה ע"י מילה לבד נכנסו לברית ועי"ז נבדלו משאר האומות וא"כ גם גר זה שמל ולא טבל דמי לזה שנכנס לברית ועי"ז נבדל משאר האומות וע"כ אין עליו עו</w:t>
      </w:r>
      <w:r w:rsidR="00127127">
        <w:rPr>
          <w:rFonts w:hint="cs"/>
          <w:b/>
          <w:bCs/>
          <w:rtl/>
        </w:rPr>
        <w:t>ד</w:t>
      </w:r>
      <w:r w:rsidR="002A5019">
        <w:rPr>
          <w:rFonts w:hint="cs"/>
          <w:b/>
          <w:bCs/>
          <w:rtl/>
        </w:rPr>
        <w:t xml:space="preserve"> מצות יום ולילה לא ישבותו של ב"נ וכו' </w:t>
      </w:r>
      <w:r w:rsidR="002A5019">
        <w:rPr>
          <w:rFonts w:hint="cs"/>
          <w:rtl/>
        </w:rPr>
        <w:t>עכ"ל,</w:t>
      </w:r>
      <w:r w:rsidR="005342E8">
        <w:rPr>
          <w:rFonts w:hint="cs"/>
          <w:rtl/>
        </w:rPr>
        <w:t xml:space="preserve"> הרי שהבין הבנין ציון דבמ"ש התוס' דמעיקרא מלו עצמם ליכנס בברית המקום, </w:t>
      </w:r>
      <w:r w:rsidR="00D76DA8">
        <w:rPr>
          <w:rFonts w:hint="cs"/>
          <w:rtl/>
        </w:rPr>
        <w:t xml:space="preserve">אין כוונתם </w:t>
      </w:r>
      <w:r w:rsidR="005342E8">
        <w:rPr>
          <w:rFonts w:hint="cs"/>
          <w:rtl/>
        </w:rPr>
        <w:t>רק דממילא המילה הי</w:t>
      </w:r>
      <w:r w:rsidR="00127127">
        <w:rPr>
          <w:rFonts w:hint="cs"/>
          <w:rtl/>
        </w:rPr>
        <w:t>תה</w:t>
      </w:r>
      <w:r w:rsidR="005342E8">
        <w:rPr>
          <w:rFonts w:hint="cs"/>
          <w:rtl/>
        </w:rPr>
        <w:t xml:space="preserve"> אותה סוג מילה שיכולה להועיל אח"כ בשעת הגירות, אלא ר"ל דמיד בשעת המילה חל בהם שינוי דין</w:t>
      </w:r>
      <w:r w:rsidR="00127127">
        <w:rPr>
          <w:rFonts w:hint="cs"/>
          <w:rtl/>
        </w:rPr>
        <w:t>,</w:t>
      </w:r>
      <w:r w:rsidR="005342E8">
        <w:rPr>
          <w:rFonts w:hint="cs"/>
          <w:rtl/>
        </w:rPr>
        <w:t xml:space="preserve"> שיצאו מכלל עכו"ם וחשיבי 'בני ברית קצת'</w:t>
      </w:r>
      <w:r w:rsidR="00127127">
        <w:rPr>
          <w:rFonts w:hint="cs"/>
          <w:rtl/>
        </w:rPr>
        <w:t>.</w:t>
      </w:r>
      <w:r w:rsidR="005342E8">
        <w:rPr>
          <w:rFonts w:hint="cs"/>
          <w:rtl/>
        </w:rPr>
        <w:t xml:space="preserve"> וזה א"ש ע"פ דרכנו דכוונת התוס' </w:t>
      </w:r>
      <w:r w:rsidR="00127127">
        <w:rPr>
          <w:rFonts w:hint="cs"/>
          <w:rtl/>
        </w:rPr>
        <w:t xml:space="preserve">היא </w:t>
      </w:r>
      <w:r w:rsidR="005342E8">
        <w:rPr>
          <w:rFonts w:hint="cs"/>
          <w:rtl/>
        </w:rPr>
        <w:t>דע"י המילה חייל שינוי דין שאינ</w:t>
      </w:r>
      <w:r w:rsidR="00127127">
        <w:rPr>
          <w:rFonts w:hint="cs"/>
          <w:rtl/>
        </w:rPr>
        <w:t>ו</w:t>
      </w:r>
      <w:r w:rsidR="005342E8">
        <w:rPr>
          <w:rFonts w:hint="cs"/>
          <w:rtl/>
        </w:rPr>
        <w:t xml:space="preserve"> ככל עו"כ דעלמא אלא ה</w:t>
      </w:r>
      <w:r w:rsidR="00127127">
        <w:rPr>
          <w:rFonts w:hint="cs"/>
          <w:rtl/>
        </w:rPr>
        <w:t>וי</w:t>
      </w:r>
      <w:r w:rsidR="005342E8">
        <w:rPr>
          <w:rFonts w:hint="cs"/>
          <w:rtl/>
        </w:rPr>
        <w:t xml:space="preserve"> סוג</w:t>
      </w:r>
      <w:r w:rsidR="00127127">
        <w:rPr>
          <w:rFonts w:hint="cs"/>
          <w:rtl/>
        </w:rPr>
        <w:t xml:space="preserve"> אחר שהוא</w:t>
      </w:r>
      <w:r w:rsidR="005342E8">
        <w:rPr>
          <w:rFonts w:hint="cs"/>
          <w:rtl/>
        </w:rPr>
        <w:t xml:space="preserve"> מוכשר להתגייר אח"כ.</w:t>
      </w:r>
    </w:p>
  </w:footnote>
  <w:footnote w:id="8">
    <w:p w14:paraId="718A8CD8" w14:textId="678D24F8" w:rsidR="00D0447E" w:rsidRPr="00D0447E" w:rsidRDefault="00D0447E">
      <w:pPr>
        <w:pStyle w:val="FootnoteText"/>
        <w:rPr>
          <w:rFonts w:hint="cs"/>
        </w:rPr>
      </w:pPr>
      <w:r w:rsidRPr="00D0447E">
        <w:rPr>
          <w:rStyle w:val="FootnoteReference"/>
          <w:bCs/>
          <w:vertAlign w:val="baseline"/>
        </w:rPr>
        <w:footnoteRef/>
      </w:r>
      <w:r>
        <w:rPr>
          <w:bCs/>
          <w:rtl/>
        </w:rPr>
        <w:t>.</w:t>
      </w:r>
      <w:r>
        <w:rPr>
          <w:rtl/>
        </w:rPr>
        <w:tab/>
      </w:r>
      <w:r w:rsidR="00127127">
        <w:rPr>
          <w:rFonts w:hint="cs"/>
          <w:rtl/>
        </w:rPr>
        <w:t xml:space="preserve">הנה </w:t>
      </w:r>
      <w:r>
        <w:rPr>
          <w:rFonts w:hint="cs"/>
          <w:rtl/>
        </w:rPr>
        <w:t>הרשב"א הבי</w:t>
      </w:r>
      <w:r>
        <w:rPr>
          <w:rFonts w:hint="cs"/>
          <w:rtl/>
        </w:rPr>
        <w:t>א</w:t>
      </w:r>
      <w:r>
        <w:rPr>
          <w:rFonts w:hint="cs"/>
          <w:rtl/>
        </w:rPr>
        <w:t xml:space="preserve"> ד' הרמב"ן ב</w:t>
      </w:r>
      <w:r>
        <w:rPr>
          <w:rFonts w:hint="cs"/>
          <w:rtl/>
        </w:rPr>
        <w:t>ענין הא ד</w:t>
      </w:r>
      <w:r>
        <w:rPr>
          <w:rFonts w:hint="cs"/>
          <w:rtl/>
        </w:rPr>
        <w:t>שבט לוי</w:t>
      </w:r>
      <w:r>
        <w:rPr>
          <w:rFonts w:hint="cs"/>
          <w:rtl/>
        </w:rPr>
        <w:t xml:space="preserve"> לא הוצרכו למול פעם שנית לקראת מת"ת</w:t>
      </w:r>
      <w:r>
        <w:rPr>
          <w:rFonts w:hint="cs"/>
          <w:rtl/>
        </w:rPr>
        <w:t>, ו</w:t>
      </w:r>
      <w:r w:rsidR="00127127">
        <w:rPr>
          <w:rFonts w:hint="cs"/>
          <w:rtl/>
        </w:rPr>
        <w:t xml:space="preserve">הוא </w:t>
      </w:r>
      <w:r>
        <w:rPr>
          <w:rFonts w:hint="cs"/>
          <w:rtl/>
        </w:rPr>
        <w:t>גם כן הביא הצד דסדר</w:t>
      </w:r>
      <w:r>
        <w:rPr>
          <w:rFonts w:hint="cs"/>
          <w:rtl/>
        </w:rPr>
        <w:t xml:space="preserve"> דמילה ואח"כ</w:t>
      </w:r>
      <w:r w:rsidR="00127127">
        <w:rPr>
          <w:rFonts w:hint="cs"/>
          <w:rtl/>
        </w:rPr>
        <w:t xml:space="preserve"> טבילה</w:t>
      </w:r>
      <w:r>
        <w:rPr>
          <w:rFonts w:hint="cs"/>
          <w:rtl/>
        </w:rPr>
        <w:t xml:space="preserve"> מעכב, ו</w:t>
      </w:r>
      <w:r>
        <w:rPr>
          <w:rFonts w:hint="cs"/>
          <w:rtl/>
        </w:rPr>
        <w:t>לכא' מבואר מ</w:t>
      </w:r>
      <w:r>
        <w:rPr>
          <w:rFonts w:hint="cs"/>
          <w:rtl/>
        </w:rPr>
        <w:t>זה דלא כתלייה הנ"ל. אולם יעו' היטב בדבריו כשהביא הרמב"ן בענין שב"ל</w:t>
      </w:r>
      <w:r>
        <w:rPr>
          <w:rFonts w:hint="cs"/>
          <w:rtl/>
        </w:rPr>
        <w:t>,</w:t>
      </w:r>
      <w:r>
        <w:rPr>
          <w:rFonts w:hint="cs"/>
          <w:rtl/>
        </w:rPr>
        <w:t xml:space="preserve"> </w:t>
      </w:r>
      <w:r>
        <w:rPr>
          <w:rFonts w:hint="cs"/>
          <w:rtl/>
        </w:rPr>
        <w:t>דמשמע שרק הביא דברי הרמב"ן אבל לא דאיהו גופי' ס"ל הכי.</w:t>
      </w:r>
    </w:p>
  </w:footnote>
  <w:footnote w:id="9">
    <w:p w14:paraId="2525DC29" w14:textId="65C4D205" w:rsidR="0077709C" w:rsidRPr="0077709C" w:rsidRDefault="0077709C">
      <w:pPr>
        <w:pStyle w:val="FootnoteText"/>
        <w:rPr>
          <w:rFonts w:hint="cs"/>
        </w:rPr>
      </w:pPr>
      <w:r w:rsidRPr="0077709C">
        <w:rPr>
          <w:rStyle w:val="FootnoteReference"/>
          <w:bCs/>
          <w:vertAlign w:val="baseline"/>
        </w:rPr>
        <w:footnoteRef/>
      </w:r>
      <w:r>
        <w:rPr>
          <w:bCs/>
          <w:rtl/>
        </w:rPr>
        <w:t>.</w:t>
      </w:r>
      <w:r>
        <w:rPr>
          <w:rtl/>
        </w:rPr>
        <w:tab/>
      </w:r>
      <w:r>
        <w:rPr>
          <w:rFonts w:hint="cs"/>
          <w:rtl/>
        </w:rPr>
        <w:t>איברא דבד' הגר"ח גופי' אינו משמע דר"ל שהתוס' חולקים על כל היסוד שכ' בדעת הרמב"ם שנכלל בעיקר הגירות שמתחילה להיות כישראל גמור, כ"א שהתוס' חולקים על הרמב"ם בענין החלות שחרור האם מועלת להפקיע מיני' דיני עבד או לא, יעוש"ה ואכ"מ.</w:t>
      </w:r>
    </w:p>
  </w:footnote>
  <w:footnote w:id="10">
    <w:p w14:paraId="02A96758" w14:textId="2BE2AC09" w:rsidR="002655C6" w:rsidRPr="002655C6" w:rsidRDefault="002655C6">
      <w:pPr>
        <w:pStyle w:val="FootnoteText"/>
        <w:rPr>
          <w:rFonts w:hint="cs"/>
        </w:rPr>
      </w:pPr>
      <w:r w:rsidRPr="002655C6">
        <w:rPr>
          <w:rStyle w:val="FootnoteReference"/>
          <w:bCs/>
          <w:vertAlign w:val="baseline"/>
        </w:rPr>
        <w:footnoteRef/>
      </w:r>
      <w:r>
        <w:rPr>
          <w:bCs/>
          <w:rtl/>
        </w:rPr>
        <w:t>.</w:t>
      </w:r>
      <w:r>
        <w:rPr>
          <w:rtl/>
        </w:rPr>
        <w:tab/>
      </w:r>
      <w:r>
        <w:rPr>
          <w:rFonts w:hint="cs"/>
          <w:rtl/>
        </w:rPr>
        <w:t xml:space="preserve">בעיקר מאי דנקט הרמב"ן, דהעובר אינו נעשה גר עד שמל לאחר שנולד, הקשו האחרונים דבכמה סוגיות הש"ס מבואר דשייך ענין 'הורתו שלא בקדושה ולידתו בקדושה' </w:t>
      </w:r>
      <w:r w:rsidR="006F1E34">
        <w:rPr>
          <w:rFonts w:hint="cs"/>
          <w:rtl/>
        </w:rPr>
        <w:t>אפי' בולד זכר, ולדעת הרמב"ן הלא יוצא דאין לידתו בקדושה, דאינו נעשה גר עד לאח"ז בשעה שמל. יעו' קה"י יבמות סי' ל"ו שהאריך בזה.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6DA65" w14:textId="1A6ECE78" w:rsidR="000842C9" w:rsidRPr="00745461" w:rsidRDefault="000842C9" w:rsidP="00E12C15">
    <w:pPr>
      <w:pStyle w:val="Header"/>
      <w:tabs>
        <w:tab w:val="clear" w:pos="4680"/>
        <w:tab w:val="clear" w:pos="9360"/>
      </w:tabs>
      <w:jc w:val="center"/>
      <w:rPr>
        <w:b/>
        <w:bCs/>
      </w:rPr>
    </w:pPr>
    <w:r>
      <w:rPr>
        <w:b/>
        <w:bCs/>
        <w:rtl/>
      </w:rPr>
      <w:fldChar w:fldCharType="begin"/>
    </w:r>
    <w:r>
      <w:rPr>
        <w:b/>
        <w:bCs/>
        <w:rtl/>
      </w:rPr>
      <w:instrText xml:space="preserve"> </w:instrText>
    </w:r>
    <w:r>
      <w:rPr>
        <w:b/>
        <w:bCs/>
      </w:rPr>
      <w:instrText>STYLEREF  "Heading 1"  \* MERGEFORMAT</w:instrText>
    </w:r>
    <w:r>
      <w:rPr>
        <w:b/>
        <w:bCs/>
        <w:rtl/>
      </w:rPr>
      <w:instrText xml:space="preserve"> </w:instrText>
    </w:r>
    <w:r>
      <w:rPr>
        <w:b/>
        <w:bCs/>
        <w:rtl/>
      </w:rPr>
      <w:fldChar w:fldCharType="separate"/>
    </w:r>
    <w:r w:rsidR="00C566E0">
      <w:rPr>
        <w:b/>
        <w:bCs/>
        <w:noProof/>
        <w:rtl/>
      </w:rPr>
      <w:t>בענין מילת גירות</w:t>
    </w:r>
    <w:r>
      <w:rPr>
        <w:b/>
        <w:bCs/>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6637"/>
    <w:multiLevelType w:val="hybridMultilevel"/>
    <w:tmpl w:val="8766D61A"/>
    <w:lvl w:ilvl="0" w:tplc="0F3CF812">
      <w:numFmt w:val="bullet"/>
      <w:lvlText w:val="-"/>
      <w:lvlJc w:val="left"/>
      <w:pPr>
        <w:ind w:left="720" w:hanging="360"/>
      </w:pPr>
      <w:rPr>
        <w:rFonts w:ascii="Lucida Sans Unicode" w:eastAsiaTheme="minorHAnsi" w:hAnsi="Lucida Sans Unicode"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061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095EC7"/>
    <w:multiLevelType w:val="hybridMultilevel"/>
    <w:tmpl w:val="40766BD2"/>
    <w:lvl w:ilvl="0" w:tplc="B8BA4104">
      <w:start w:val="1"/>
      <w:numFmt w:val="hebrew1"/>
      <w:pStyle w:val="Heading4numbered"/>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A2A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A14D13"/>
    <w:multiLevelType w:val="hybridMultilevel"/>
    <w:tmpl w:val="225EC588"/>
    <w:lvl w:ilvl="0" w:tplc="90EAE35E">
      <w:numFmt w:val="bullet"/>
      <w:lvlText w:val=""/>
      <w:lvlJc w:val="left"/>
      <w:pPr>
        <w:ind w:left="720" w:hanging="360"/>
      </w:pPr>
      <w:rPr>
        <w:rFonts w:ascii="Symbol" w:eastAsiaTheme="minorHAns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E4175"/>
    <w:multiLevelType w:val="hybridMultilevel"/>
    <w:tmpl w:val="EDB4A68A"/>
    <w:lvl w:ilvl="0" w:tplc="D692281A">
      <w:start w:val="1"/>
      <w:numFmt w:val="hebrew1"/>
      <w:pStyle w:val="Numbered"/>
      <w:suff w:val="nothing"/>
      <w:lvlText w:val="%1.  "/>
      <w:lvlJc w:val="left"/>
      <w:pPr>
        <w:ind w:left="0" w:firstLine="0"/>
      </w:pPr>
      <w:rPr>
        <w:rFonts w:hint="default"/>
        <w:bCs/>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49743F"/>
    <w:multiLevelType w:val="hybridMultilevel"/>
    <w:tmpl w:val="14FECF3E"/>
    <w:lvl w:ilvl="0" w:tplc="1506C702">
      <w:numFmt w:val="bullet"/>
      <w:lvlText w:val="-"/>
      <w:lvlJc w:val="left"/>
      <w:pPr>
        <w:ind w:left="4950" w:hanging="360"/>
      </w:pPr>
      <w:rPr>
        <w:rFonts w:ascii="Lucida Sans Unicode" w:eastAsiaTheme="minorHAnsi" w:hAnsi="Lucida Sans Unicode" w:cs="David" w:hint="default"/>
      </w:rPr>
    </w:lvl>
    <w:lvl w:ilvl="1" w:tplc="04090003" w:tentative="1">
      <w:start w:val="1"/>
      <w:numFmt w:val="bullet"/>
      <w:lvlText w:val="o"/>
      <w:lvlJc w:val="left"/>
      <w:pPr>
        <w:ind w:left="5670" w:hanging="360"/>
      </w:pPr>
      <w:rPr>
        <w:rFonts w:ascii="Courier New" w:hAnsi="Courier New" w:cs="Courier New" w:hint="default"/>
      </w:rPr>
    </w:lvl>
    <w:lvl w:ilvl="2" w:tplc="04090005" w:tentative="1">
      <w:start w:val="1"/>
      <w:numFmt w:val="bullet"/>
      <w:lvlText w:val=""/>
      <w:lvlJc w:val="left"/>
      <w:pPr>
        <w:ind w:left="6390" w:hanging="360"/>
      </w:pPr>
      <w:rPr>
        <w:rFonts w:ascii="Wingdings" w:hAnsi="Wingdings" w:hint="default"/>
      </w:rPr>
    </w:lvl>
    <w:lvl w:ilvl="3" w:tplc="04090001" w:tentative="1">
      <w:start w:val="1"/>
      <w:numFmt w:val="bullet"/>
      <w:lvlText w:val=""/>
      <w:lvlJc w:val="left"/>
      <w:pPr>
        <w:ind w:left="7110" w:hanging="360"/>
      </w:pPr>
      <w:rPr>
        <w:rFonts w:ascii="Symbol" w:hAnsi="Symbol" w:hint="default"/>
      </w:rPr>
    </w:lvl>
    <w:lvl w:ilvl="4" w:tplc="04090003" w:tentative="1">
      <w:start w:val="1"/>
      <w:numFmt w:val="bullet"/>
      <w:lvlText w:val="o"/>
      <w:lvlJc w:val="left"/>
      <w:pPr>
        <w:ind w:left="7830" w:hanging="360"/>
      </w:pPr>
      <w:rPr>
        <w:rFonts w:ascii="Courier New" w:hAnsi="Courier New" w:cs="Courier New" w:hint="default"/>
      </w:rPr>
    </w:lvl>
    <w:lvl w:ilvl="5" w:tplc="04090005" w:tentative="1">
      <w:start w:val="1"/>
      <w:numFmt w:val="bullet"/>
      <w:lvlText w:val=""/>
      <w:lvlJc w:val="left"/>
      <w:pPr>
        <w:ind w:left="8550" w:hanging="360"/>
      </w:pPr>
      <w:rPr>
        <w:rFonts w:ascii="Wingdings" w:hAnsi="Wingdings" w:hint="default"/>
      </w:rPr>
    </w:lvl>
    <w:lvl w:ilvl="6" w:tplc="04090001" w:tentative="1">
      <w:start w:val="1"/>
      <w:numFmt w:val="bullet"/>
      <w:lvlText w:val=""/>
      <w:lvlJc w:val="left"/>
      <w:pPr>
        <w:ind w:left="9270" w:hanging="360"/>
      </w:pPr>
      <w:rPr>
        <w:rFonts w:ascii="Symbol" w:hAnsi="Symbol" w:hint="default"/>
      </w:rPr>
    </w:lvl>
    <w:lvl w:ilvl="7" w:tplc="04090003" w:tentative="1">
      <w:start w:val="1"/>
      <w:numFmt w:val="bullet"/>
      <w:lvlText w:val="o"/>
      <w:lvlJc w:val="left"/>
      <w:pPr>
        <w:ind w:left="9990" w:hanging="360"/>
      </w:pPr>
      <w:rPr>
        <w:rFonts w:ascii="Courier New" w:hAnsi="Courier New" w:cs="Courier New" w:hint="default"/>
      </w:rPr>
    </w:lvl>
    <w:lvl w:ilvl="8" w:tplc="04090005" w:tentative="1">
      <w:start w:val="1"/>
      <w:numFmt w:val="bullet"/>
      <w:lvlText w:val=""/>
      <w:lvlJc w:val="left"/>
      <w:pPr>
        <w:ind w:left="10710" w:hanging="360"/>
      </w:pPr>
      <w:rPr>
        <w:rFonts w:ascii="Wingdings" w:hAnsi="Wingdings" w:hint="default"/>
      </w:rPr>
    </w:lvl>
  </w:abstractNum>
  <w:abstractNum w:abstractNumId="7" w15:restartNumberingAfterBreak="0">
    <w:nsid w:val="30463390"/>
    <w:multiLevelType w:val="hybridMultilevel"/>
    <w:tmpl w:val="6D060024"/>
    <w:lvl w:ilvl="0" w:tplc="BD667CFE">
      <w:start w:val="1"/>
      <w:numFmt w:val="hebrew1"/>
      <w:pStyle w:val="ListParagraph"/>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D3C0F"/>
    <w:multiLevelType w:val="hybridMultilevel"/>
    <w:tmpl w:val="C6B81C74"/>
    <w:lvl w:ilvl="0" w:tplc="7AAED3CC">
      <w:start w:val="1"/>
      <w:numFmt w:val="hebrew1"/>
      <w:suff w:val="nothing"/>
      <w:lvlText w:val="ענף %1 -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FE025C"/>
    <w:multiLevelType w:val="hybridMultilevel"/>
    <w:tmpl w:val="E8BC03C6"/>
    <w:lvl w:ilvl="0" w:tplc="08A2A330">
      <w:start w:val="1"/>
      <w:numFmt w:val="hebrew1"/>
      <w:suff w:val="nothing"/>
      <w:lvlText w:val="סימן %1 -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7E4FA4"/>
    <w:multiLevelType w:val="hybridMultilevel"/>
    <w:tmpl w:val="2708E74E"/>
    <w:lvl w:ilvl="0" w:tplc="A7C82544">
      <w:start w:val="1"/>
      <w:numFmt w:val="hebrew1"/>
      <w:lvlText w:val="%1.  "/>
      <w:lvlJc w:val="left"/>
      <w:pPr>
        <w:ind w:left="360" w:hanging="360"/>
      </w:pPr>
      <w:rPr>
        <w:rFonts w:hint="default"/>
        <w:bCs/>
        <w:iCs w:val="0"/>
        <w:sz w:val="30"/>
        <w:szCs w:val="3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A542AB"/>
    <w:multiLevelType w:val="hybridMultilevel"/>
    <w:tmpl w:val="F0B4E822"/>
    <w:lvl w:ilvl="0" w:tplc="490CAB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A57910"/>
    <w:multiLevelType w:val="hybridMultilevel"/>
    <w:tmpl w:val="820C779E"/>
    <w:lvl w:ilvl="0" w:tplc="687023D8">
      <w:start w:val="1"/>
      <w:numFmt w:val="hebrew1"/>
      <w:lvlText w:val="%1."/>
      <w:lvlJc w:val="left"/>
      <w:pPr>
        <w:ind w:left="720" w:hanging="360"/>
      </w:pPr>
      <w:rPr>
        <w:rFonts w:hint="default"/>
        <w:b/>
        <w:i w:val="0"/>
      </w:rPr>
    </w:lvl>
    <w:lvl w:ilvl="1" w:tplc="6EE84642">
      <w:start w:val="1"/>
      <w:numFmt w:val="hebrew1"/>
      <w:lvlText w:val="%2]"/>
      <w:lvlJc w:val="left"/>
      <w:pPr>
        <w:ind w:left="1440" w:hanging="360"/>
      </w:pPr>
      <w:rPr>
        <w:rFonts w:hint="default"/>
        <w:b/>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4D066F"/>
    <w:multiLevelType w:val="hybridMultilevel"/>
    <w:tmpl w:val="90D23266"/>
    <w:lvl w:ilvl="0" w:tplc="38EC063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C14128"/>
    <w:multiLevelType w:val="hybridMultilevel"/>
    <w:tmpl w:val="1F88249C"/>
    <w:lvl w:ilvl="0" w:tplc="134A47C8">
      <w:numFmt w:val="bullet"/>
      <w:lvlText w:val="-"/>
      <w:lvlJc w:val="left"/>
      <w:pPr>
        <w:ind w:left="720" w:hanging="360"/>
      </w:pPr>
      <w:rPr>
        <w:rFonts w:ascii="Lucida Sans Unicode" w:eastAsiaTheme="minorHAnsi" w:hAnsi="Lucida Sans Unicode"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540E3D"/>
    <w:multiLevelType w:val="hybridMultilevel"/>
    <w:tmpl w:val="C9C069FE"/>
    <w:lvl w:ilvl="0" w:tplc="B15E004E">
      <w:start w:val="1"/>
      <w:numFmt w:val="hebrew1"/>
      <w:pStyle w:val="Heading2"/>
      <w:suff w:val="space"/>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EA4CB6"/>
    <w:multiLevelType w:val="hybridMultilevel"/>
    <w:tmpl w:val="DC683984"/>
    <w:lvl w:ilvl="0" w:tplc="490CABF8">
      <w:start w:val="1"/>
      <w:numFmt w:val="hebrew1"/>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773DD7"/>
    <w:multiLevelType w:val="hybridMultilevel"/>
    <w:tmpl w:val="DC683984"/>
    <w:lvl w:ilvl="0" w:tplc="490CABF8">
      <w:start w:val="1"/>
      <w:numFmt w:val="hebrew1"/>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3A1C91"/>
    <w:multiLevelType w:val="hybridMultilevel"/>
    <w:tmpl w:val="41026248"/>
    <w:lvl w:ilvl="0" w:tplc="FF54EEDE">
      <w:start w:val="1"/>
      <w:numFmt w:val="hebrew1"/>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0"/>
  </w:num>
  <w:num w:numId="3">
    <w:abstractNumId w:val="6"/>
  </w:num>
  <w:num w:numId="4">
    <w:abstractNumId w:val="14"/>
  </w:num>
  <w:num w:numId="5">
    <w:abstractNumId w:val="17"/>
  </w:num>
  <w:num w:numId="6">
    <w:abstractNumId w:val="16"/>
  </w:num>
  <w:num w:numId="7">
    <w:abstractNumId w:val="2"/>
  </w:num>
  <w:num w:numId="8">
    <w:abstractNumId w:val="11"/>
  </w:num>
  <w:num w:numId="9">
    <w:abstractNumId w:val="5"/>
  </w:num>
  <w:num w:numId="10">
    <w:abstractNumId w:val="12"/>
  </w:num>
  <w:num w:numId="11">
    <w:abstractNumId w:val="18"/>
  </w:num>
  <w:num w:numId="12">
    <w:abstractNumId w:val="10"/>
    <w:lvlOverride w:ilvl="0">
      <w:startOverride w:val="1"/>
    </w:lvlOverride>
  </w:num>
  <w:num w:numId="13">
    <w:abstractNumId w:val="8"/>
  </w:num>
  <w:num w:numId="14">
    <w:abstractNumId w:val="9"/>
  </w:num>
  <w:num w:numId="15">
    <w:abstractNumId w:val="8"/>
    <w:lvlOverride w:ilvl="0">
      <w:startOverride w:val="1"/>
    </w:lvlOverride>
  </w:num>
  <w:num w:numId="16">
    <w:abstractNumId w:val="4"/>
  </w:num>
  <w:num w:numId="17">
    <w:abstractNumId w:val="15"/>
  </w:num>
  <w:num w:numId="18">
    <w:abstractNumId w:val="15"/>
    <w:lvlOverride w:ilvl="0">
      <w:startOverride w:val="1"/>
    </w:lvlOverride>
  </w:num>
  <w:num w:numId="19">
    <w:abstractNumId w:val="5"/>
    <w:lvlOverride w:ilvl="0">
      <w:startOverride w:val="1"/>
    </w:lvlOverride>
  </w:num>
  <w:num w:numId="20">
    <w:abstractNumId w:val="15"/>
    <w:lvlOverride w:ilvl="0">
      <w:startOverride w:val="1"/>
    </w:lvlOverride>
  </w:num>
  <w:num w:numId="21">
    <w:abstractNumId w:val="13"/>
  </w:num>
  <w:num w:numId="22">
    <w:abstractNumId w:val="3"/>
  </w:num>
  <w:num w:numId="23">
    <w:abstractNumId w:val="1"/>
  </w:num>
  <w:num w:numId="24">
    <w:abstractNumId w:val="15"/>
    <w:lvlOverride w:ilvl="0">
      <w:startOverride w:val="1"/>
    </w:lvlOverride>
  </w:num>
  <w:num w:numId="25">
    <w:abstractNumId w:val="15"/>
    <w:lvlOverride w:ilvl="0">
      <w:startOverride w:val="1"/>
    </w:lvlOverride>
  </w:num>
  <w:num w:numId="26">
    <w:abstractNumId w:val="15"/>
    <w:lvlOverride w:ilvl="0">
      <w:startOverride w:val="1"/>
    </w:lvlOverride>
  </w:num>
  <w:num w:numId="27">
    <w:abstractNumId w:val="15"/>
    <w:lvlOverride w:ilvl="0">
      <w:startOverride w:val="1"/>
    </w:lvlOverride>
  </w:num>
  <w:num w:numId="28">
    <w:abstractNumId w:val="7"/>
  </w:num>
  <w:num w:numId="29">
    <w:abstractNumId w:val="15"/>
    <w:lvlOverride w:ilvl="0">
      <w:startOverride w:val="1"/>
    </w:lvlOverride>
  </w:num>
  <w:num w:numId="30">
    <w:abstractNumId w:val="15"/>
    <w:lvlOverride w:ilvl="0">
      <w:startOverride w:val="1"/>
    </w:lvlOverride>
  </w:num>
  <w:num w:numId="31">
    <w:abstractNumId w:val="15"/>
    <w:lvlOverride w:ilvl="0">
      <w:startOverride w:val="1"/>
    </w:lvlOverride>
  </w:num>
  <w:num w:numId="3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footnotePr>
    <w:numFmt w:val="hebrew1"/>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B5"/>
    <w:rsid w:val="00003468"/>
    <w:rsid w:val="000035B3"/>
    <w:rsid w:val="000118A6"/>
    <w:rsid w:val="00014FBE"/>
    <w:rsid w:val="00015842"/>
    <w:rsid w:val="00024B62"/>
    <w:rsid w:val="00024E5D"/>
    <w:rsid w:val="000259A8"/>
    <w:rsid w:val="00032C44"/>
    <w:rsid w:val="000336E9"/>
    <w:rsid w:val="000376BB"/>
    <w:rsid w:val="000455A1"/>
    <w:rsid w:val="00045846"/>
    <w:rsid w:val="0004621C"/>
    <w:rsid w:val="00047108"/>
    <w:rsid w:val="0005046D"/>
    <w:rsid w:val="0005247A"/>
    <w:rsid w:val="00053F00"/>
    <w:rsid w:val="00054915"/>
    <w:rsid w:val="000555E6"/>
    <w:rsid w:val="00073230"/>
    <w:rsid w:val="00084250"/>
    <w:rsid w:val="000842C9"/>
    <w:rsid w:val="00087715"/>
    <w:rsid w:val="00091872"/>
    <w:rsid w:val="00094928"/>
    <w:rsid w:val="000974B6"/>
    <w:rsid w:val="000A08B0"/>
    <w:rsid w:val="000A0DB4"/>
    <w:rsid w:val="000C490F"/>
    <w:rsid w:val="000C7956"/>
    <w:rsid w:val="000D3758"/>
    <w:rsid w:val="000D5007"/>
    <w:rsid w:val="000E1F4A"/>
    <w:rsid w:val="000E41BC"/>
    <w:rsid w:val="000E4D18"/>
    <w:rsid w:val="000E5B1D"/>
    <w:rsid w:val="000F0B7F"/>
    <w:rsid w:val="000F34AB"/>
    <w:rsid w:val="000F4FFC"/>
    <w:rsid w:val="000F5D4F"/>
    <w:rsid w:val="000F7084"/>
    <w:rsid w:val="00107BD3"/>
    <w:rsid w:val="00122339"/>
    <w:rsid w:val="00123522"/>
    <w:rsid w:val="00123A95"/>
    <w:rsid w:val="00127127"/>
    <w:rsid w:val="00130326"/>
    <w:rsid w:val="0014290A"/>
    <w:rsid w:val="00144CBC"/>
    <w:rsid w:val="00160754"/>
    <w:rsid w:val="00163C25"/>
    <w:rsid w:val="00166C6B"/>
    <w:rsid w:val="0017454F"/>
    <w:rsid w:val="00176AE7"/>
    <w:rsid w:val="00177FD5"/>
    <w:rsid w:val="0018504A"/>
    <w:rsid w:val="0019287C"/>
    <w:rsid w:val="00197C41"/>
    <w:rsid w:val="00197F25"/>
    <w:rsid w:val="001A5216"/>
    <w:rsid w:val="001A54E1"/>
    <w:rsid w:val="001A57C9"/>
    <w:rsid w:val="001A749F"/>
    <w:rsid w:val="001B00B1"/>
    <w:rsid w:val="001B7EED"/>
    <w:rsid w:val="001D3853"/>
    <w:rsid w:val="001F0C4C"/>
    <w:rsid w:val="00203E4D"/>
    <w:rsid w:val="00206736"/>
    <w:rsid w:val="00216DA7"/>
    <w:rsid w:val="00230637"/>
    <w:rsid w:val="00235A79"/>
    <w:rsid w:val="00237533"/>
    <w:rsid w:val="0024135D"/>
    <w:rsid w:val="00241C2D"/>
    <w:rsid w:val="00256F9C"/>
    <w:rsid w:val="0026338A"/>
    <w:rsid w:val="002635BC"/>
    <w:rsid w:val="0026389E"/>
    <w:rsid w:val="002655C6"/>
    <w:rsid w:val="00271411"/>
    <w:rsid w:val="00274571"/>
    <w:rsid w:val="002813EA"/>
    <w:rsid w:val="00284143"/>
    <w:rsid w:val="00284D00"/>
    <w:rsid w:val="00287D46"/>
    <w:rsid w:val="002A2EE0"/>
    <w:rsid w:val="002A3E51"/>
    <w:rsid w:val="002A5019"/>
    <w:rsid w:val="002B091F"/>
    <w:rsid w:val="002B785A"/>
    <w:rsid w:val="002D1000"/>
    <w:rsid w:val="002D14D6"/>
    <w:rsid w:val="002D4E04"/>
    <w:rsid w:val="002D585E"/>
    <w:rsid w:val="002D7ACE"/>
    <w:rsid w:val="002E102C"/>
    <w:rsid w:val="002E33E2"/>
    <w:rsid w:val="002E3DD3"/>
    <w:rsid w:val="002E3F74"/>
    <w:rsid w:val="002F03CC"/>
    <w:rsid w:val="002F12C3"/>
    <w:rsid w:val="002F17B2"/>
    <w:rsid w:val="002F42B7"/>
    <w:rsid w:val="002F6FDE"/>
    <w:rsid w:val="00312372"/>
    <w:rsid w:val="003127B5"/>
    <w:rsid w:val="00314BCB"/>
    <w:rsid w:val="00325D24"/>
    <w:rsid w:val="003278F7"/>
    <w:rsid w:val="0033221B"/>
    <w:rsid w:val="003368FA"/>
    <w:rsid w:val="00340F8B"/>
    <w:rsid w:val="0034133B"/>
    <w:rsid w:val="00341DB1"/>
    <w:rsid w:val="00342BC6"/>
    <w:rsid w:val="00354124"/>
    <w:rsid w:val="0036268B"/>
    <w:rsid w:val="00367644"/>
    <w:rsid w:val="00371C69"/>
    <w:rsid w:val="00372116"/>
    <w:rsid w:val="00372163"/>
    <w:rsid w:val="00375B15"/>
    <w:rsid w:val="003813D1"/>
    <w:rsid w:val="003849E1"/>
    <w:rsid w:val="00393DBB"/>
    <w:rsid w:val="003C3A00"/>
    <w:rsid w:val="003C5A29"/>
    <w:rsid w:val="003D1049"/>
    <w:rsid w:val="003D5100"/>
    <w:rsid w:val="003E0E63"/>
    <w:rsid w:val="003E2563"/>
    <w:rsid w:val="003E3DE4"/>
    <w:rsid w:val="003F2B82"/>
    <w:rsid w:val="003F2EFB"/>
    <w:rsid w:val="003F767A"/>
    <w:rsid w:val="00420D86"/>
    <w:rsid w:val="00421AE2"/>
    <w:rsid w:val="0042233E"/>
    <w:rsid w:val="004312BA"/>
    <w:rsid w:val="00443892"/>
    <w:rsid w:val="00447FB6"/>
    <w:rsid w:val="00456581"/>
    <w:rsid w:val="00460BD9"/>
    <w:rsid w:val="004642B1"/>
    <w:rsid w:val="0046499B"/>
    <w:rsid w:val="0047485F"/>
    <w:rsid w:val="00476FB5"/>
    <w:rsid w:val="004926D0"/>
    <w:rsid w:val="00493A04"/>
    <w:rsid w:val="00496DD9"/>
    <w:rsid w:val="004A3250"/>
    <w:rsid w:val="004A423F"/>
    <w:rsid w:val="004A69DD"/>
    <w:rsid w:val="004B075E"/>
    <w:rsid w:val="004C3856"/>
    <w:rsid w:val="004C7224"/>
    <w:rsid w:val="004D0397"/>
    <w:rsid w:val="004D18B7"/>
    <w:rsid w:val="004D4472"/>
    <w:rsid w:val="004E2309"/>
    <w:rsid w:val="004E5A96"/>
    <w:rsid w:val="004E6935"/>
    <w:rsid w:val="004E6D6C"/>
    <w:rsid w:val="004E729E"/>
    <w:rsid w:val="004F081F"/>
    <w:rsid w:val="004F1C23"/>
    <w:rsid w:val="004F55EE"/>
    <w:rsid w:val="0050475F"/>
    <w:rsid w:val="00507423"/>
    <w:rsid w:val="005115D7"/>
    <w:rsid w:val="00511BC7"/>
    <w:rsid w:val="00513FF5"/>
    <w:rsid w:val="00515526"/>
    <w:rsid w:val="00521C64"/>
    <w:rsid w:val="005257DC"/>
    <w:rsid w:val="00526A01"/>
    <w:rsid w:val="00526A79"/>
    <w:rsid w:val="005273C2"/>
    <w:rsid w:val="00531716"/>
    <w:rsid w:val="0053260A"/>
    <w:rsid w:val="005342E8"/>
    <w:rsid w:val="005438F7"/>
    <w:rsid w:val="0054476D"/>
    <w:rsid w:val="005518F1"/>
    <w:rsid w:val="00551D7B"/>
    <w:rsid w:val="00555B7D"/>
    <w:rsid w:val="00556E24"/>
    <w:rsid w:val="00561878"/>
    <w:rsid w:val="00575D8D"/>
    <w:rsid w:val="00581590"/>
    <w:rsid w:val="005851F1"/>
    <w:rsid w:val="005858A2"/>
    <w:rsid w:val="0058795D"/>
    <w:rsid w:val="00591265"/>
    <w:rsid w:val="00591DA2"/>
    <w:rsid w:val="0059542F"/>
    <w:rsid w:val="005A1AEE"/>
    <w:rsid w:val="005A28FA"/>
    <w:rsid w:val="005B107D"/>
    <w:rsid w:val="005C08FF"/>
    <w:rsid w:val="005C0FE5"/>
    <w:rsid w:val="005C1F24"/>
    <w:rsid w:val="005C748C"/>
    <w:rsid w:val="005C7915"/>
    <w:rsid w:val="005C7BCB"/>
    <w:rsid w:val="005D0ED1"/>
    <w:rsid w:val="005E1492"/>
    <w:rsid w:val="005E6B62"/>
    <w:rsid w:val="005F04B7"/>
    <w:rsid w:val="005F42BA"/>
    <w:rsid w:val="00603C4C"/>
    <w:rsid w:val="00605D8F"/>
    <w:rsid w:val="00613CDA"/>
    <w:rsid w:val="006140DE"/>
    <w:rsid w:val="00620C37"/>
    <w:rsid w:val="00641EAF"/>
    <w:rsid w:val="00642467"/>
    <w:rsid w:val="00644A83"/>
    <w:rsid w:val="0064700E"/>
    <w:rsid w:val="00650B7E"/>
    <w:rsid w:val="00654C57"/>
    <w:rsid w:val="00662F24"/>
    <w:rsid w:val="006650D9"/>
    <w:rsid w:val="00665194"/>
    <w:rsid w:val="006703CC"/>
    <w:rsid w:val="00675054"/>
    <w:rsid w:val="00675159"/>
    <w:rsid w:val="0067664D"/>
    <w:rsid w:val="006820EF"/>
    <w:rsid w:val="00687A3F"/>
    <w:rsid w:val="00687F43"/>
    <w:rsid w:val="006924B9"/>
    <w:rsid w:val="006A4D16"/>
    <w:rsid w:val="006B2C3E"/>
    <w:rsid w:val="006C042F"/>
    <w:rsid w:val="006C0A74"/>
    <w:rsid w:val="006C28A9"/>
    <w:rsid w:val="006C78CB"/>
    <w:rsid w:val="006D649C"/>
    <w:rsid w:val="006D77E8"/>
    <w:rsid w:val="006D7BEF"/>
    <w:rsid w:val="006E19FA"/>
    <w:rsid w:val="006E1F77"/>
    <w:rsid w:val="006E37E9"/>
    <w:rsid w:val="006E4696"/>
    <w:rsid w:val="006F1E34"/>
    <w:rsid w:val="007132F1"/>
    <w:rsid w:val="007215EB"/>
    <w:rsid w:val="007252CA"/>
    <w:rsid w:val="00726833"/>
    <w:rsid w:val="007320F2"/>
    <w:rsid w:val="007342DE"/>
    <w:rsid w:val="007357F8"/>
    <w:rsid w:val="00743D00"/>
    <w:rsid w:val="007469BF"/>
    <w:rsid w:val="007514D9"/>
    <w:rsid w:val="007517C9"/>
    <w:rsid w:val="0075284F"/>
    <w:rsid w:val="0075483B"/>
    <w:rsid w:val="00762D84"/>
    <w:rsid w:val="0076673B"/>
    <w:rsid w:val="00772D05"/>
    <w:rsid w:val="00773C58"/>
    <w:rsid w:val="00773E97"/>
    <w:rsid w:val="00776CEB"/>
    <w:rsid w:val="0077709C"/>
    <w:rsid w:val="00777806"/>
    <w:rsid w:val="007830D5"/>
    <w:rsid w:val="00784F14"/>
    <w:rsid w:val="00787F1E"/>
    <w:rsid w:val="007928FC"/>
    <w:rsid w:val="007939AD"/>
    <w:rsid w:val="00795456"/>
    <w:rsid w:val="00796647"/>
    <w:rsid w:val="007A1AA6"/>
    <w:rsid w:val="007A2DE9"/>
    <w:rsid w:val="007A3C9B"/>
    <w:rsid w:val="007A4443"/>
    <w:rsid w:val="007A5665"/>
    <w:rsid w:val="007B25FB"/>
    <w:rsid w:val="007C0B9E"/>
    <w:rsid w:val="007C3171"/>
    <w:rsid w:val="007C514E"/>
    <w:rsid w:val="007C5430"/>
    <w:rsid w:val="007C7040"/>
    <w:rsid w:val="007C7DC3"/>
    <w:rsid w:val="007D062D"/>
    <w:rsid w:val="007D1066"/>
    <w:rsid w:val="007D545B"/>
    <w:rsid w:val="007E5D50"/>
    <w:rsid w:val="007F0EBE"/>
    <w:rsid w:val="007F2A95"/>
    <w:rsid w:val="007F7B10"/>
    <w:rsid w:val="007F7D33"/>
    <w:rsid w:val="0080328D"/>
    <w:rsid w:val="00805B15"/>
    <w:rsid w:val="008074EE"/>
    <w:rsid w:val="0081603F"/>
    <w:rsid w:val="00822079"/>
    <w:rsid w:val="00827EEB"/>
    <w:rsid w:val="008327CA"/>
    <w:rsid w:val="0083568D"/>
    <w:rsid w:val="00841877"/>
    <w:rsid w:val="00842CCD"/>
    <w:rsid w:val="00846895"/>
    <w:rsid w:val="008508C9"/>
    <w:rsid w:val="00857AF4"/>
    <w:rsid w:val="008600D7"/>
    <w:rsid w:val="00864BDA"/>
    <w:rsid w:val="00865FC2"/>
    <w:rsid w:val="008748D0"/>
    <w:rsid w:val="00877730"/>
    <w:rsid w:val="008833BB"/>
    <w:rsid w:val="008A1723"/>
    <w:rsid w:val="008A6EAB"/>
    <w:rsid w:val="008B1503"/>
    <w:rsid w:val="008B24DD"/>
    <w:rsid w:val="008B28CD"/>
    <w:rsid w:val="008B2FE0"/>
    <w:rsid w:val="008C15FB"/>
    <w:rsid w:val="008C2FB7"/>
    <w:rsid w:val="008C37F0"/>
    <w:rsid w:val="008C5C6D"/>
    <w:rsid w:val="008D27EE"/>
    <w:rsid w:val="008D6CEF"/>
    <w:rsid w:val="008E161B"/>
    <w:rsid w:val="008E557C"/>
    <w:rsid w:val="008E5B49"/>
    <w:rsid w:val="008F0400"/>
    <w:rsid w:val="009066D1"/>
    <w:rsid w:val="0090675E"/>
    <w:rsid w:val="0091525C"/>
    <w:rsid w:val="0091546E"/>
    <w:rsid w:val="009168BA"/>
    <w:rsid w:val="009321CF"/>
    <w:rsid w:val="009505F4"/>
    <w:rsid w:val="0095137C"/>
    <w:rsid w:val="00953336"/>
    <w:rsid w:val="00955630"/>
    <w:rsid w:val="00962ED2"/>
    <w:rsid w:val="009653B5"/>
    <w:rsid w:val="00975476"/>
    <w:rsid w:val="00984662"/>
    <w:rsid w:val="0098762A"/>
    <w:rsid w:val="00991713"/>
    <w:rsid w:val="00992047"/>
    <w:rsid w:val="0099370D"/>
    <w:rsid w:val="00994D54"/>
    <w:rsid w:val="009964DE"/>
    <w:rsid w:val="009A00A8"/>
    <w:rsid w:val="009A0F3A"/>
    <w:rsid w:val="009A6B2F"/>
    <w:rsid w:val="009B2A4E"/>
    <w:rsid w:val="009B3C8A"/>
    <w:rsid w:val="009B442B"/>
    <w:rsid w:val="009D069A"/>
    <w:rsid w:val="009D3A38"/>
    <w:rsid w:val="009E3D23"/>
    <w:rsid w:val="009E47D0"/>
    <w:rsid w:val="009E69A5"/>
    <w:rsid w:val="009E7929"/>
    <w:rsid w:val="009F452A"/>
    <w:rsid w:val="00A206D2"/>
    <w:rsid w:val="00A2506E"/>
    <w:rsid w:val="00A31E0E"/>
    <w:rsid w:val="00A409D9"/>
    <w:rsid w:val="00A43428"/>
    <w:rsid w:val="00A43E77"/>
    <w:rsid w:val="00A54849"/>
    <w:rsid w:val="00A54A1E"/>
    <w:rsid w:val="00A61EAA"/>
    <w:rsid w:val="00A631F1"/>
    <w:rsid w:val="00A64E0F"/>
    <w:rsid w:val="00A712D1"/>
    <w:rsid w:val="00A7257E"/>
    <w:rsid w:val="00A744B3"/>
    <w:rsid w:val="00A7697C"/>
    <w:rsid w:val="00A77BEB"/>
    <w:rsid w:val="00A80862"/>
    <w:rsid w:val="00A947FD"/>
    <w:rsid w:val="00A94917"/>
    <w:rsid w:val="00AA2EF9"/>
    <w:rsid w:val="00AB5810"/>
    <w:rsid w:val="00AB638B"/>
    <w:rsid w:val="00AC1C3A"/>
    <w:rsid w:val="00AC3ADF"/>
    <w:rsid w:val="00AD0D9F"/>
    <w:rsid w:val="00AD1B89"/>
    <w:rsid w:val="00AD5172"/>
    <w:rsid w:val="00AE1C66"/>
    <w:rsid w:val="00AE1F6A"/>
    <w:rsid w:val="00AE759F"/>
    <w:rsid w:val="00AF4B39"/>
    <w:rsid w:val="00B00323"/>
    <w:rsid w:val="00B01F7D"/>
    <w:rsid w:val="00B0379A"/>
    <w:rsid w:val="00B03D23"/>
    <w:rsid w:val="00B04B11"/>
    <w:rsid w:val="00B06482"/>
    <w:rsid w:val="00B127E2"/>
    <w:rsid w:val="00B162FB"/>
    <w:rsid w:val="00B21405"/>
    <w:rsid w:val="00B23496"/>
    <w:rsid w:val="00B242EB"/>
    <w:rsid w:val="00B31EED"/>
    <w:rsid w:val="00B433B0"/>
    <w:rsid w:val="00B54249"/>
    <w:rsid w:val="00B55632"/>
    <w:rsid w:val="00B57B25"/>
    <w:rsid w:val="00B6261D"/>
    <w:rsid w:val="00B63BD2"/>
    <w:rsid w:val="00B669FF"/>
    <w:rsid w:val="00B74331"/>
    <w:rsid w:val="00B75917"/>
    <w:rsid w:val="00B91082"/>
    <w:rsid w:val="00B95966"/>
    <w:rsid w:val="00B96BF2"/>
    <w:rsid w:val="00B96C99"/>
    <w:rsid w:val="00BA0746"/>
    <w:rsid w:val="00BA41EF"/>
    <w:rsid w:val="00BA6597"/>
    <w:rsid w:val="00BB044E"/>
    <w:rsid w:val="00BB2C17"/>
    <w:rsid w:val="00BD0BD9"/>
    <w:rsid w:val="00BD27B4"/>
    <w:rsid w:val="00BD4C28"/>
    <w:rsid w:val="00BE097E"/>
    <w:rsid w:val="00BE68E2"/>
    <w:rsid w:val="00BE7785"/>
    <w:rsid w:val="00BF7AD3"/>
    <w:rsid w:val="00C05BEA"/>
    <w:rsid w:val="00C12722"/>
    <w:rsid w:val="00C221AC"/>
    <w:rsid w:val="00C22555"/>
    <w:rsid w:val="00C266BD"/>
    <w:rsid w:val="00C27F94"/>
    <w:rsid w:val="00C3289D"/>
    <w:rsid w:val="00C36875"/>
    <w:rsid w:val="00C40E93"/>
    <w:rsid w:val="00C41962"/>
    <w:rsid w:val="00C47332"/>
    <w:rsid w:val="00C50C4E"/>
    <w:rsid w:val="00C566E0"/>
    <w:rsid w:val="00C56EE0"/>
    <w:rsid w:val="00C60630"/>
    <w:rsid w:val="00C61DB5"/>
    <w:rsid w:val="00C64758"/>
    <w:rsid w:val="00C6772F"/>
    <w:rsid w:val="00C67AEC"/>
    <w:rsid w:val="00C72552"/>
    <w:rsid w:val="00C81364"/>
    <w:rsid w:val="00C828DF"/>
    <w:rsid w:val="00C8729B"/>
    <w:rsid w:val="00C87C6A"/>
    <w:rsid w:val="00C932FA"/>
    <w:rsid w:val="00C93C2A"/>
    <w:rsid w:val="00CA07D2"/>
    <w:rsid w:val="00CA50CC"/>
    <w:rsid w:val="00CC01F7"/>
    <w:rsid w:val="00CC1ED7"/>
    <w:rsid w:val="00CC5FE9"/>
    <w:rsid w:val="00CD0D45"/>
    <w:rsid w:val="00CD4C0E"/>
    <w:rsid w:val="00CD618D"/>
    <w:rsid w:val="00CF0440"/>
    <w:rsid w:val="00CF2DFA"/>
    <w:rsid w:val="00CF2E9A"/>
    <w:rsid w:val="00CF4D7B"/>
    <w:rsid w:val="00CF58AB"/>
    <w:rsid w:val="00CF6A5D"/>
    <w:rsid w:val="00D0447E"/>
    <w:rsid w:val="00D17742"/>
    <w:rsid w:val="00D17932"/>
    <w:rsid w:val="00D3467D"/>
    <w:rsid w:val="00D34CF1"/>
    <w:rsid w:val="00D402BE"/>
    <w:rsid w:val="00D42973"/>
    <w:rsid w:val="00D52CA0"/>
    <w:rsid w:val="00D60E0F"/>
    <w:rsid w:val="00D65E1E"/>
    <w:rsid w:val="00D7038D"/>
    <w:rsid w:val="00D71E12"/>
    <w:rsid w:val="00D75EAC"/>
    <w:rsid w:val="00D76DA8"/>
    <w:rsid w:val="00D8068F"/>
    <w:rsid w:val="00D90B79"/>
    <w:rsid w:val="00D91CA5"/>
    <w:rsid w:val="00D93076"/>
    <w:rsid w:val="00DA3041"/>
    <w:rsid w:val="00DA5D1A"/>
    <w:rsid w:val="00DA60F3"/>
    <w:rsid w:val="00DB13B5"/>
    <w:rsid w:val="00DB1828"/>
    <w:rsid w:val="00DD39A9"/>
    <w:rsid w:val="00DF0AB2"/>
    <w:rsid w:val="00DF1AE7"/>
    <w:rsid w:val="00DF2426"/>
    <w:rsid w:val="00DF32B0"/>
    <w:rsid w:val="00E0359F"/>
    <w:rsid w:val="00E07DC7"/>
    <w:rsid w:val="00E1189F"/>
    <w:rsid w:val="00E12C15"/>
    <w:rsid w:val="00E13F42"/>
    <w:rsid w:val="00E17816"/>
    <w:rsid w:val="00E21E07"/>
    <w:rsid w:val="00E3070A"/>
    <w:rsid w:val="00E32231"/>
    <w:rsid w:val="00E328C2"/>
    <w:rsid w:val="00E359D3"/>
    <w:rsid w:val="00E51602"/>
    <w:rsid w:val="00E5237D"/>
    <w:rsid w:val="00E52751"/>
    <w:rsid w:val="00E661A6"/>
    <w:rsid w:val="00E71E10"/>
    <w:rsid w:val="00E77DB8"/>
    <w:rsid w:val="00E87125"/>
    <w:rsid w:val="00E92215"/>
    <w:rsid w:val="00E95791"/>
    <w:rsid w:val="00EA3A01"/>
    <w:rsid w:val="00EA739F"/>
    <w:rsid w:val="00EB7BA0"/>
    <w:rsid w:val="00EC0F47"/>
    <w:rsid w:val="00ED2250"/>
    <w:rsid w:val="00ED72B7"/>
    <w:rsid w:val="00EE51FB"/>
    <w:rsid w:val="00EE788F"/>
    <w:rsid w:val="00EF1C7B"/>
    <w:rsid w:val="00EF2C6E"/>
    <w:rsid w:val="00EF4321"/>
    <w:rsid w:val="00EF4D1A"/>
    <w:rsid w:val="00EF5564"/>
    <w:rsid w:val="00F02E42"/>
    <w:rsid w:val="00F02EAF"/>
    <w:rsid w:val="00F1336E"/>
    <w:rsid w:val="00F13E8D"/>
    <w:rsid w:val="00F1437F"/>
    <w:rsid w:val="00F15E7F"/>
    <w:rsid w:val="00F20006"/>
    <w:rsid w:val="00F30176"/>
    <w:rsid w:val="00F31DC3"/>
    <w:rsid w:val="00F34D1E"/>
    <w:rsid w:val="00F36FD7"/>
    <w:rsid w:val="00F409B7"/>
    <w:rsid w:val="00F5675D"/>
    <w:rsid w:val="00F60B66"/>
    <w:rsid w:val="00F618F9"/>
    <w:rsid w:val="00F64D4B"/>
    <w:rsid w:val="00F64F5F"/>
    <w:rsid w:val="00F66C00"/>
    <w:rsid w:val="00F77D6A"/>
    <w:rsid w:val="00F81835"/>
    <w:rsid w:val="00F84E88"/>
    <w:rsid w:val="00F86E51"/>
    <w:rsid w:val="00F905E4"/>
    <w:rsid w:val="00F95A8C"/>
    <w:rsid w:val="00FA364C"/>
    <w:rsid w:val="00FA3F60"/>
    <w:rsid w:val="00FB57F2"/>
    <w:rsid w:val="00FC5CCF"/>
    <w:rsid w:val="00FD5B40"/>
    <w:rsid w:val="00FE2E5F"/>
    <w:rsid w:val="00FF3F0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E4FD"/>
  <w15:docId w15:val="{AC4D2034-5AC6-4666-B1BF-A436F9B30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E63"/>
    <w:pPr>
      <w:bidi/>
      <w:spacing w:before="120" w:after="0"/>
      <w:jc w:val="both"/>
    </w:pPr>
    <w:rPr>
      <w:rFonts w:ascii="Lucida Sans Unicode" w:hAnsi="Lucida Sans Unicode"/>
      <w:sz w:val="24"/>
      <w:szCs w:val="24"/>
      <w:lang w:bidi="he-IL"/>
    </w:rPr>
  </w:style>
  <w:style w:type="paragraph" w:styleId="Heading1">
    <w:name w:val="heading 1"/>
    <w:basedOn w:val="Normal"/>
    <w:next w:val="Normal"/>
    <w:link w:val="Heading1Char"/>
    <w:uiPriority w:val="9"/>
    <w:qFormat/>
    <w:rsid w:val="00F95A8C"/>
    <w:pPr>
      <w:keepNext/>
      <w:spacing w:before="600" w:after="320"/>
      <w:jc w:val="center"/>
      <w:outlineLvl w:val="0"/>
    </w:pPr>
    <w:rPr>
      <w:rFonts w:cstheme="majorBidi"/>
      <w:b/>
      <w:bCs/>
      <w:sz w:val="36"/>
      <w:szCs w:val="36"/>
    </w:rPr>
  </w:style>
  <w:style w:type="paragraph" w:styleId="Heading2">
    <w:name w:val="heading 2"/>
    <w:basedOn w:val="Normal"/>
    <w:next w:val="Normal"/>
    <w:link w:val="Heading2Char"/>
    <w:uiPriority w:val="9"/>
    <w:unhideWhenUsed/>
    <w:qFormat/>
    <w:rsid w:val="00D65E1E"/>
    <w:pPr>
      <w:numPr>
        <w:numId w:val="17"/>
      </w:numPr>
      <w:spacing w:before="200" w:after="200"/>
      <w:outlineLvl w:val="1"/>
    </w:pPr>
    <w:rPr>
      <w:rFonts w:asciiTheme="majorBidi" w:hAnsiTheme="majorBidi" w:cstheme="majorBidi"/>
      <w:b/>
      <w:bCs/>
    </w:rPr>
  </w:style>
  <w:style w:type="paragraph" w:styleId="Heading3">
    <w:name w:val="heading 3"/>
    <w:basedOn w:val="Normal"/>
    <w:next w:val="Normal"/>
    <w:link w:val="Heading3Char"/>
    <w:uiPriority w:val="9"/>
    <w:unhideWhenUsed/>
    <w:qFormat/>
    <w:rsid w:val="007F7D33"/>
    <w:pPr>
      <w:tabs>
        <w:tab w:val="center" w:pos="5040"/>
      </w:tabs>
      <w:spacing w:before="200" w:after="200"/>
      <w:ind w:right="720"/>
      <w:outlineLvl w:val="2"/>
    </w:pPr>
    <w:rPr>
      <w:rFonts w:ascii="David" w:eastAsia="David" w:hAnsi="David"/>
      <w:b/>
      <w:bCs/>
      <w:sz w:val="22"/>
      <w:szCs w:val="22"/>
    </w:rPr>
  </w:style>
  <w:style w:type="paragraph" w:styleId="Heading4">
    <w:name w:val="heading 4"/>
    <w:basedOn w:val="Normal"/>
    <w:next w:val="Normal"/>
    <w:link w:val="Heading4Char"/>
    <w:uiPriority w:val="9"/>
    <w:unhideWhenUsed/>
    <w:qFormat/>
    <w:rsid w:val="007F7D33"/>
    <w:pPr>
      <w:keepNext/>
      <w:spacing w:after="120"/>
      <w:ind w:right="720"/>
      <w:outlineLvl w:val="3"/>
    </w:pPr>
    <w:rPr>
      <w:rFonts w:ascii="David" w:eastAsia="David" w:hAnsi="David"/>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A8C"/>
    <w:rPr>
      <w:rFonts w:ascii="Lucida Sans Unicode" w:hAnsi="Lucida Sans Unicode" w:cstheme="majorBidi"/>
      <w:b/>
      <w:bCs/>
      <w:sz w:val="36"/>
      <w:szCs w:val="36"/>
      <w:lang w:bidi="he-IL"/>
    </w:rPr>
  </w:style>
  <w:style w:type="character" w:customStyle="1" w:styleId="Heading2Char">
    <w:name w:val="Heading 2 Char"/>
    <w:basedOn w:val="DefaultParagraphFont"/>
    <w:link w:val="Heading2"/>
    <w:uiPriority w:val="9"/>
    <w:rsid w:val="00D65E1E"/>
    <w:rPr>
      <w:rFonts w:asciiTheme="majorBidi" w:hAnsiTheme="majorBidi" w:cstheme="majorBidi"/>
      <w:b/>
      <w:bCs/>
      <w:sz w:val="24"/>
      <w:szCs w:val="24"/>
      <w:lang w:bidi="he-IL"/>
    </w:rPr>
  </w:style>
  <w:style w:type="character" w:customStyle="1" w:styleId="Heading3Char">
    <w:name w:val="Heading 3 Char"/>
    <w:basedOn w:val="DefaultParagraphFont"/>
    <w:link w:val="Heading3"/>
    <w:uiPriority w:val="9"/>
    <w:rsid w:val="007F7D33"/>
    <w:rPr>
      <w:rFonts w:ascii="David" w:eastAsia="David" w:hAnsi="David" w:cs="David"/>
      <w:b/>
      <w:bCs/>
      <w:lang w:bidi="he-IL"/>
    </w:rPr>
  </w:style>
  <w:style w:type="character" w:customStyle="1" w:styleId="Heading4Char">
    <w:name w:val="Heading 4 Char"/>
    <w:basedOn w:val="DefaultParagraphFont"/>
    <w:link w:val="Heading4"/>
    <w:uiPriority w:val="9"/>
    <w:rsid w:val="007F7D33"/>
    <w:rPr>
      <w:rFonts w:ascii="David" w:eastAsia="David" w:hAnsi="David" w:cs="David"/>
      <w:b/>
      <w:bCs/>
      <w:lang w:bidi="he-IL"/>
    </w:rPr>
  </w:style>
  <w:style w:type="paragraph" w:styleId="ListParagraph">
    <w:name w:val="List Paragraph"/>
    <w:basedOn w:val="Normal"/>
    <w:next w:val="Normal"/>
    <w:link w:val="ListParagraphChar"/>
    <w:uiPriority w:val="34"/>
    <w:qFormat/>
    <w:rsid w:val="00D65E1E"/>
    <w:pPr>
      <w:numPr>
        <w:numId w:val="28"/>
      </w:numPr>
      <w:contextualSpacing/>
    </w:pPr>
  </w:style>
  <w:style w:type="paragraph" w:styleId="Header">
    <w:name w:val="header"/>
    <w:basedOn w:val="Normal"/>
    <w:link w:val="HeaderChar"/>
    <w:uiPriority w:val="99"/>
    <w:unhideWhenUsed/>
    <w:rsid w:val="00476FB5"/>
    <w:pPr>
      <w:tabs>
        <w:tab w:val="center" w:pos="4680"/>
        <w:tab w:val="right" w:pos="9360"/>
      </w:tabs>
      <w:spacing w:line="240" w:lineRule="auto"/>
    </w:pPr>
  </w:style>
  <w:style w:type="character" w:customStyle="1" w:styleId="HeaderChar">
    <w:name w:val="Header Char"/>
    <w:basedOn w:val="DefaultParagraphFont"/>
    <w:link w:val="Header"/>
    <w:uiPriority w:val="99"/>
    <w:rsid w:val="00476FB5"/>
    <w:rPr>
      <w:rFonts w:ascii="Lucida Sans Unicode" w:hAnsi="Lucida Sans Unicode" w:cs="David"/>
      <w:sz w:val="24"/>
      <w:szCs w:val="24"/>
      <w:lang w:bidi="he-IL"/>
    </w:rPr>
  </w:style>
  <w:style w:type="paragraph" w:styleId="Footer">
    <w:name w:val="footer"/>
    <w:basedOn w:val="Normal"/>
    <w:link w:val="FooterChar"/>
    <w:uiPriority w:val="99"/>
    <w:unhideWhenUsed/>
    <w:rsid w:val="00476FB5"/>
    <w:pPr>
      <w:tabs>
        <w:tab w:val="center" w:pos="4680"/>
        <w:tab w:val="right" w:pos="9360"/>
      </w:tabs>
      <w:spacing w:line="240" w:lineRule="auto"/>
    </w:pPr>
  </w:style>
  <w:style w:type="character" w:customStyle="1" w:styleId="FooterChar">
    <w:name w:val="Footer Char"/>
    <w:basedOn w:val="DefaultParagraphFont"/>
    <w:link w:val="Footer"/>
    <w:uiPriority w:val="99"/>
    <w:rsid w:val="00476FB5"/>
    <w:rPr>
      <w:rFonts w:ascii="Lucida Sans Unicode" w:hAnsi="Lucida Sans Unicode" w:cs="David"/>
      <w:sz w:val="24"/>
      <w:szCs w:val="24"/>
      <w:lang w:bidi="he-IL"/>
    </w:rPr>
  </w:style>
  <w:style w:type="paragraph" w:styleId="FootnoteText">
    <w:name w:val="footnote text"/>
    <w:basedOn w:val="footnote"/>
    <w:next w:val="FootnoteSecondLine"/>
    <w:link w:val="FootnoteTextChar"/>
    <w:uiPriority w:val="99"/>
    <w:unhideWhenUsed/>
    <w:qFormat/>
    <w:rsid w:val="00AB638B"/>
    <w:pPr>
      <w:spacing w:line="220" w:lineRule="exact"/>
      <w:ind w:left="317" w:hanging="317"/>
      <w:contextualSpacing w:val="0"/>
    </w:pPr>
    <w:rPr>
      <w:sz w:val="20"/>
    </w:rPr>
  </w:style>
  <w:style w:type="character" w:customStyle="1" w:styleId="FootnoteTextChar">
    <w:name w:val="Footnote Text Char"/>
    <w:basedOn w:val="DefaultParagraphFont"/>
    <w:link w:val="FootnoteText"/>
    <w:uiPriority w:val="99"/>
    <w:rsid w:val="00AB638B"/>
    <w:rPr>
      <w:rFonts w:ascii="Lucida Sans Unicode" w:hAnsi="Lucida Sans Unicode"/>
      <w:sz w:val="20"/>
      <w:szCs w:val="20"/>
      <w:lang w:bidi="he-IL"/>
    </w:rPr>
  </w:style>
  <w:style w:type="character" w:styleId="FootnoteReference">
    <w:name w:val="footnote reference"/>
    <w:basedOn w:val="DefaultParagraphFont"/>
    <w:uiPriority w:val="99"/>
    <w:semiHidden/>
    <w:unhideWhenUsed/>
    <w:rsid w:val="00476FB5"/>
    <w:rPr>
      <w:vertAlign w:val="superscript"/>
    </w:rPr>
  </w:style>
  <w:style w:type="paragraph" w:styleId="BalloonText">
    <w:name w:val="Balloon Text"/>
    <w:basedOn w:val="Normal"/>
    <w:link w:val="BalloonTextChar"/>
    <w:uiPriority w:val="99"/>
    <w:semiHidden/>
    <w:unhideWhenUsed/>
    <w:rsid w:val="00476FB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FB5"/>
    <w:rPr>
      <w:rFonts w:ascii="Tahoma" w:hAnsi="Tahoma" w:cs="Tahoma"/>
      <w:sz w:val="16"/>
      <w:szCs w:val="16"/>
      <w:lang w:bidi="he-IL"/>
    </w:rPr>
  </w:style>
  <w:style w:type="paragraph" w:customStyle="1" w:styleId="Heading4numbered">
    <w:name w:val="Heading 4 + numbered"/>
    <w:basedOn w:val="Heading4"/>
    <w:next w:val="Normal"/>
    <w:link w:val="Heading4numberedChar"/>
    <w:qFormat/>
    <w:rsid w:val="00476FB5"/>
    <w:pPr>
      <w:numPr>
        <w:numId w:val="7"/>
      </w:numPr>
    </w:pPr>
  </w:style>
  <w:style w:type="character" w:styleId="CommentReference">
    <w:name w:val="annotation reference"/>
    <w:basedOn w:val="DefaultParagraphFont"/>
    <w:uiPriority w:val="99"/>
    <w:semiHidden/>
    <w:unhideWhenUsed/>
    <w:rsid w:val="00476FB5"/>
    <w:rPr>
      <w:sz w:val="16"/>
      <w:szCs w:val="16"/>
    </w:rPr>
  </w:style>
  <w:style w:type="character" w:customStyle="1" w:styleId="Heading4numberedChar">
    <w:name w:val="Heading 4 + numbered Char"/>
    <w:basedOn w:val="Heading4Char"/>
    <w:link w:val="Heading4numbered"/>
    <w:rsid w:val="00476FB5"/>
    <w:rPr>
      <w:rFonts w:ascii="David" w:eastAsia="David" w:hAnsi="David" w:cs="David"/>
      <w:b/>
      <w:bCs/>
      <w:lang w:bidi="he-IL"/>
    </w:rPr>
  </w:style>
  <w:style w:type="paragraph" w:styleId="CommentText">
    <w:name w:val="annotation text"/>
    <w:basedOn w:val="Normal"/>
    <w:link w:val="CommentTextChar"/>
    <w:uiPriority w:val="99"/>
    <w:semiHidden/>
    <w:unhideWhenUsed/>
    <w:rsid w:val="00476FB5"/>
    <w:pPr>
      <w:spacing w:line="240" w:lineRule="auto"/>
    </w:pPr>
    <w:rPr>
      <w:sz w:val="20"/>
      <w:szCs w:val="20"/>
    </w:rPr>
  </w:style>
  <w:style w:type="character" w:customStyle="1" w:styleId="CommentTextChar">
    <w:name w:val="Comment Text Char"/>
    <w:basedOn w:val="DefaultParagraphFont"/>
    <w:link w:val="CommentText"/>
    <w:uiPriority w:val="99"/>
    <w:semiHidden/>
    <w:rsid w:val="00476FB5"/>
    <w:rPr>
      <w:rFonts w:ascii="Lucida Sans Unicode" w:hAnsi="Lucida Sans Unicode" w:cs="David"/>
      <w:sz w:val="20"/>
      <w:szCs w:val="20"/>
      <w:lang w:bidi="he-IL"/>
    </w:rPr>
  </w:style>
  <w:style w:type="paragraph" w:styleId="CommentSubject">
    <w:name w:val="annotation subject"/>
    <w:basedOn w:val="CommentText"/>
    <w:next w:val="CommentText"/>
    <w:link w:val="CommentSubjectChar"/>
    <w:uiPriority w:val="99"/>
    <w:semiHidden/>
    <w:unhideWhenUsed/>
    <w:rsid w:val="00476FB5"/>
    <w:rPr>
      <w:b/>
      <w:bCs/>
    </w:rPr>
  </w:style>
  <w:style w:type="character" w:customStyle="1" w:styleId="CommentSubjectChar">
    <w:name w:val="Comment Subject Char"/>
    <w:basedOn w:val="CommentTextChar"/>
    <w:link w:val="CommentSubject"/>
    <w:uiPriority w:val="99"/>
    <w:semiHidden/>
    <w:rsid w:val="00476FB5"/>
    <w:rPr>
      <w:rFonts w:ascii="Lucida Sans Unicode" w:hAnsi="Lucida Sans Unicode" w:cs="David"/>
      <w:b/>
      <w:bCs/>
      <w:sz w:val="20"/>
      <w:szCs w:val="20"/>
      <w:lang w:bidi="he-IL"/>
    </w:rPr>
  </w:style>
  <w:style w:type="paragraph" w:customStyle="1" w:styleId="Numbered">
    <w:name w:val="Numbered"/>
    <w:basedOn w:val="ListParagraph"/>
    <w:next w:val="Normal"/>
    <w:link w:val="NumberedChar"/>
    <w:qFormat/>
    <w:rsid w:val="00476FB5"/>
    <w:pPr>
      <w:numPr>
        <w:numId w:val="9"/>
      </w:numPr>
      <w:contextualSpacing w:val="0"/>
    </w:pPr>
  </w:style>
  <w:style w:type="character" w:customStyle="1" w:styleId="ListParagraphChar">
    <w:name w:val="List Paragraph Char"/>
    <w:basedOn w:val="DefaultParagraphFont"/>
    <w:link w:val="ListParagraph"/>
    <w:uiPriority w:val="34"/>
    <w:rsid w:val="00D65E1E"/>
    <w:rPr>
      <w:rFonts w:ascii="Lucida Sans Unicode" w:hAnsi="Lucida Sans Unicode"/>
      <w:sz w:val="24"/>
      <w:szCs w:val="24"/>
      <w:lang w:bidi="he-IL"/>
    </w:rPr>
  </w:style>
  <w:style w:type="character" w:customStyle="1" w:styleId="NumberedChar">
    <w:name w:val="Numbered Char"/>
    <w:basedOn w:val="ListParagraphChar"/>
    <w:link w:val="Numbered"/>
    <w:rsid w:val="00476FB5"/>
    <w:rPr>
      <w:rFonts w:ascii="Lucida Sans Unicode" w:hAnsi="Lucida Sans Unicode" w:cs="David"/>
      <w:sz w:val="24"/>
      <w:szCs w:val="24"/>
      <w:lang w:bidi="he-IL"/>
    </w:rPr>
  </w:style>
  <w:style w:type="paragraph" w:styleId="Title">
    <w:name w:val="Title"/>
    <w:basedOn w:val="Normal"/>
    <w:next w:val="Normal"/>
    <w:link w:val="TitleChar"/>
    <w:uiPriority w:val="10"/>
    <w:qFormat/>
    <w:rsid w:val="00476FB5"/>
    <w:pPr>
      <w:spacing w:before="200" w:after="400" w:line="240" w:lineRule="auto"/>
      <w:contextualSpacing/>
      <w:jc w:val="center"/>
    </w:pPr>
    <w:rPr>
      <w:rFonts w:asciiTheme="majorHAnsi" w:eastAsiaTheme="majorEastAsia" w:hAnsiTheme="majorHAnsi"/>
      <w:b/>
      <w:bCs/>
      <w:spacing w:val="5"/>
      <w:kern w:val="28"/>
      <w:sz w:val="58"/>
      <w:szCs w:val="58"/>
    </w:rPr>
  </w:style>
  <w:style w:type="character" w:customStyle="1" w:styleId="TitleChar">
    <w:name w:val="Title Char"/>
    <w:basedOn w:val="DefaultParagraphFont"/>
    <w:link w:val="Title"/>
    <w:uiPriority w:val="10"/>
    <w:rsid w:val="00476FB5"/>
    <w:rPr>
      <w:rFonts w:asciiTheme="majorHAnsi" w:eastAsiaTheme="majorEastAsia" w:hAnsiTheme="majorHAnsi" w:cs="David"/>
      <w:b/>
      <w:bCs/>
      <w:spacing w:val="5"/>
      <w:kern w:val="28"/>
      <w:sz w:val="58"/>
      <w:szCs w:val="58"/>
      <w:lang w:bidi="he-IL"/>
    </w:rPr>
  </w:style>
  <w:style w:type="paragraph" w:customStyle="1" w:styleId="sub">
    <w:name w:val="sub"/>
    <w:basedOn w:val="Normal"/>
    <w:next w:val="Normal"/>
    <w:link w:val="subChar"/>
    <w:qFormat/>
    <w:rsid w:val="00476FB5"/>
    <w:pPr>
      <w:ind w:left="720"/>
    </w:pPr>
    <w:rPr>
      <w:sz w:val="22"/>
      <w:szCs w:val="22"/>
    </w:rPr>
  </w:style>
  <w:style w:type="character" w:customStyle="1" w:styleId="subChar">
    <w:name w:val="sub Char"/>
    <w:basedOn w:val="DefaultParagraphFont"/>
    <w:link w:val="sub"/>
    <w:rsid w:val="00476FB5"/>
    <w:rPr>
      <w:rFonts w:ascii="Lucida Sans Unicode" w:hAnsi="Lucida Sans Unicode" w:cs="David"/>
      <w:lang w:bidi="he-IL"/>
    </w:rPr>
  </w:style>
  <w:style w:type="paragraph" w:styleId="EndnoteText">
    <w:name w:val="endnote text"/>
    <w:basedOn w:val="Normal"/>
    <w:link w:val="EndnoteTextChar"/>
    <w:uiPriority w:val="99"/>
    <w:semiHidden/>
    <w:unhideWhenUsed/>
    <w:rsid w:val="00476FB5"/>
    <w:pPr>
      <w:spacing w:line="240" w:lineRule="auto"/>
    </w:pPr>
    <w:rPr>
      <w:sz w:val="20"/>
      <w:szCs w:val="20"/>
    </w:rPr>
  </w:style>
  <w:style w:type="character" w:customStyle="1" w:styleId="EndnoteTextChar">
    <w:name w:val="Endnote Text Char"/>
    <w:basedOn w:val="DefaultParagraphFont"/>
    <w:link w:val="EndnoteText"/>
    <w:uiPriority w:val="99"/>
    <w:semiHidden/>
    <w:rsid w:val="00476FB5"/>
    <w:rPr>
      <w:rFonts w:ascii="Lucida Sans Unicode" w:hAnsi="Lucida Sans Unicode" w:cs="David"/>
      <w:sz w:val="20"/>
      <w:szCs w:val="20"/>
      <w:lang w:bidi="he-IL"/>
    </w:rPr>
  </w:style>
  <w:style w:type="character" w:styleId="EndnoteReference">
    <w:name w:val="endnote reference"/>
    <w:basedOn w:val="DefaultParagraphFont"/>
    <w:uiPriority w:val="99"/>
    <w:semiHidden/>
    <w:unhideWhenUsed/>
    <w:rsid w:val="00476FB5"/>
    <w:rPr>
      <w:vertAlign w:val="superscript"/>
    </w:rPr>
  </w:style>
  <w:style w:type="paragraph" w:customStyle="1" w:styleId="footnote">
    <w:name w:val="footnote"/>
    <w:basedOn w:val="Normal"/>
    <w:link w:val="footnoteChar"/>
    <w:rsid w:val="00476FB5"/>
    <w:pPr>
      <w:ind w:left="288" w:hanging="288"/>
      <w:contextualSpacing/>
    </w:pPr>
    <w:rPr>
      <w:szCs w:val="20"/>
    </w:rPr>
  </w:style>
  <w:style w:type="character" w:customStyle="1" w:styleId="footnoteChar">
    <w:name w:val="footnote Char"/>
    <w:basedOn w:val="FootnoteTextChar"/>
    <w:link w:val="footnote"/>
    <w:rsid w:val="00476FB5"/>
    <w:rPr>
      <w:rFonts w:ascii="Lucida Sans Unicode" w:hAnsi="Lucida Sans Unicode" w:cs="David"/>
      <w:sz w:val="24"/>
      <w:szCs w:val="20"/>
      <w:lang w:bidi="he-IL"/>
    </w:rPr>
  </w:style>
  <w:style w:type="paragraph" w:customStyle="1" w:styleId="FootnoteSecondLine">
    <w:name w:val="FootnoteSecondLine"/>
    <w:basedOn w:val="FootnoteText"/>
    <w:link w:val="FootnoteSecondLineChar"/>
    <w:qFormat/>
    <w:rsid w:val="00C8729B"/>
    <w:pPr>
      <w:spacing w:before="40"/>
      <w:ind w:firstLine="0"/>
    </w:pPr>
  </w:style>
  <w:style w:type="character" w:customStyle="1" w:styleId="FootnoteSecondLineChar">
    <w:name w:val="FootnoteSecondLine Char"/>
    <w:basedOn w:val="FootnoteTextChar"/>
    <w:link w:val="FootnoteSecondLine"/>
    <w:rsid w:val="00C8729B"/>
    <w:rPr>
      <w:rFonts w:ascii="Lucida Sans Unicode" w:hAnsi="Lucida Sans Unicode"/>
      <w:sz w:val="20"/>
      <w:szCs w:val="20"/>
      <w:lang w:bidi="he-IL"/>
    </w:rPr>
  </w:style>
  <w:style w:type="character" w:customStyle="1" w:styleId="FootnoteLetter">
    <w:name w:val="Footnote Letter"/>
    <w:basedOn w:val="FootnoteReference"/>
    <w:uiPriority w:val="1"/>
    <w:rsid w:val="0004621C"/>
    <w:rPr>
      <w:bCs/>
      <w:vertAlign w:val="superscript"/>
    </w:rPr>
  </w:style>
  <w:style w:type="paragraph" w:styleId="TOC1">
    <w:name w:val="toc 1"/>
    <w:basedOn w:val="Normal"/>
    <w:next w:val="Normal"/>
    <w:autoRedefine/>
    <w:uiPriority w:val="39"/>
    <w:unhideWhenUsed/>
    <w:rsid w:val="00ED2250"/>
    <w:pPr>
      <w:spacing w:after="100"/>
    </w:pPr>
    <w:rPr>
      <w:bCs/>
      <w:szCs w:val="28"/>
    </w:rPr>
  </w:style>
  <w:style w:type="paragraph" w:styleId="TOC2">
    <w:name w:val="toc 2"/>
    <w:basedOn w:val="Normal"/>
    <w:next w:val="Normal"/>
    <w:autoRedefine/>
    <w:uiPriority w:val="39"/>
    <w:unhideWhenUsed/>
    <w:rsid w:val="00ED2250"/>
    <w:pPr>
      <w:spacing w:after="100"/>
      <w:ind w:left="240"/>
    </w:pPr>
  </w:style>
  <w:style w:type="character" w:styleId="Hyperlink">
    <w:name w:val="Hyperlink"/>
    <w:basedOn w:val="DefaultParagraphFont"/>
    <w:uiPriority w:val="99"/>
    <w:unhideWhenUsed/>
    <w:rsid w:val="00ED22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w Cen MT"/>
        <a:ea typeface=""/>
        <a:cs typeface="David"/>
      </a:majorFont>
      <a:minorFont>
        <a:latin typeface="Rockwell"/>
        <a:ea typeface=""/>
        <a:cs typeface="David"/>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120B1-CA1F-4BD7-8E37-2E911CAE8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29737</TotalTime>
  <Pages>8</Pages>
  <Words>3898</Words>
  <Characters>22224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Shimon Lando</dc:creator>
  <cp:keywords/>
  <dc:description/>
  <cp:lastModifiedBy>Shimon</cp:lastModifiedBy>
  <cp:revision>27</cp:revision>
  <dcterms:created xsi:type="dcterms:W3CDTF">2025-06-01T11:19:00Z</dcterms:created>
  <dcterms:modified xsi:type="dcterms:W3CDTF">2025-06-24T12:34:00Z</dcterms:modified>
</cp:coreProperties>
</file>