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637E" w14:textId="77777777" w:rsidR="0018385A" w:rsidRDefault="0018385A"/>
    <w:p w14:paraId="015531E7" w14:textId="4C762BD5" w:rsidR="003D138F" w:rsidRPr="000A5C4F" w:rsidRDefault="0018385A">
      <w:pPr>
        <w:rPr>
          <w:b/>
          <w:bCs/>
        </w:rPr>
      </w:pPr>
      <w:r w:rsidRPr="000A5C4F">
        <w:rPr>
          <w:b/>
          <w:bCs/>
        </w:rPr>
        <w:t>Case Study: Implementing the Capital Asset Pricing Model</w:t>
      </w:r>
    </w:p>
    <w:p w14:paraId="44E07C3F" w14:textId="7627C3D3" w:rsidR="0018385A" w:rsidRPr="000A5C4F" w:rsidRDefault="0018385A">
      <w:pPr>
        <w:rPr>
          <w:b/>
          <w:bCs/>
        </w:rPr>
      </w:pPr>
      <w:r w:rsidRPr="000A5C4F">
        <w:rPr>
          <w:b/>
          <w:bCs/>
        </w:rPr>
        <w:t>Introduction</w:t>
      </w:r>
    </w:p>
    <w:p w14:paraId="6C7C59A7" w14:textId="0D139FA7" w:rsidR="0018385A" w:rsidRDefault="0018385A">
      <w:r>
        <w:t xml:space="preserve">The capital asset pricing model (CAPM) is a widely used model in finance that is used to price an individual stock or portfolio. </w:t>
      </w:r>
    </w:p>
    <w:p w14:paraId="338DEC58" w14:textId="78FBC884" w:rsidR="0018385A" w:rsidRPr="000A5C4F" w:rsidRDefault="0018385A">
      <w:pPr>
        <w:rPr>
          <w:b/>
          <w:bCs/>
        </w:rPr>
      </w:pPr>
      <w:r w:rsidRPr="000A5C4F">
        <w:rPr>
          <w:b/>
          <w:bCs/>
        </w:rPr>
        <w:t>Purpose of Study</w:t>
      </w:r>
    </w:p>
    <w:p w14:paraId="344FDDE4" w14:textId="63721800" w:rsidR="0018385A" w:rsidRDefault="0018385A">
      <w:r>
        <w:t xml:space="preserve">The purpose of this case study is to </w:t>
      </w:r>
      <w:r w:rsidR="00D976F6">
        <w:t xml:space="preserve">illustrate how to </w:t>
      </w:r>
      <w:r>
        <w:t xml:space="preserve">implement the CAPM using a simple linear regression model. </w:t>
      </w:r>
    </w:p>
    <w:p w14:paraId="00FC32B8" w14:textId="44C8EC87" w:rsidR="0018385A" w:rsidRPr="000A5C4F" w:rsidRDefault="0018385A">
      <w:pPr>
        <w:rPr>
          <w:b/>
          <w:bCs/>
        </w:rPr>
      </w:pPr>
      <w:r w:rsidRPr="000A5C4F">
        <w:rPr>
          <w:b/>
          <w:bCs/>
        </w:rPr>
        <w:t>Problem Description</w:t>
      </w:r>
    </w:p>
    <w:p w14:paraId="6B26DA65" w14:textId="5C087E72" w:rsidR="0018385A" w:rsidRDefault="0018385A">
      <w:r>
        <w:t>Sharpe (1964) and Lintner (1965) developed the CAPM, which can be used to price an individual stock or portfolio. Under the CAPM, all investors are assumed to be rational and risk-averse, have homogeneous expectations, be broadly diversified across a range of investments, and be able to borrow and lend money freely at the same risk-free rate.</w:t>
      </w:r>
      <w:r w:rsidR="00D976F6">
        <w:t xml:space="preserve"> In such a market, the expected return of a stock can be written as</w:t>
      </w:r>
    </w:p>
    <w:p w14:paraId="4CE7BA33" w14:textId="09203277" w:rsidR="00D976F6" w:rsidRPr="00D976F6" w:rsidRDefault="00D976F6">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eastAsiaTheme="minorEastAsia" w:hAnsi="Cambria Math"/>
            </w:rPr>
            <m:t>,</m:t>
          </m:r>
        </m:oMath>
      </m:oMathPara>
    </w:p>
    <w:p w14:paraId="333CBF98" w14:textId="71ED1377" w:rsidR="00D976F6" w:rsidRDefault="00D976F6">
      <w:pPr>
        <w:rPr>
          <w:rFonts w:eastAsiaTheme="minorEastAsia"/>
        </w:rPr>
      </w:pPr>
      <w:r>
        <w:rPr>
          <w:rFonts w:eastAsiaTheme="minorEastAsia"/>
        </w:rPr>
        <w:t xml:space="preserve">Where </w:t>
      </w:r>
      <m:oMath>
        <m:r>
          <w:rPr>
            <w:rFonts w:ascii="Cambria Math" w:eastAsiaTheme="minorEastAsia" w:hAnsi="Cambria Math"/>
          </w:rPr>
          <m:t>R</m:t>
        </m:r>
      </m:oMath>
      <w:r>
        <w:rPr>
          <w:rFonts w:eastAsiaTheme="minorEastAsia"/>
        </w:rPr>
        <w:t xml:space="preserve"> is the return on the stock,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 xml:space="preserve"> is the return on the market portfolio,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is the return on the risk-free asset, and </w:t>
      </w:r>
      <m:oMath>
        <m:r>
          <w:rPr>
            <w:rFonts w:ascii="Cambria Math" w:hAnsi="Cambria Math"/>
          </w:rPr>
          <m:t>β</m:t>
        </m:r>
      </m:oMath>
      <w:r>
        <w:rPr>
          <w:rFonts w:eastAsiaTheme="minorEastAsia"/>
        </w:rPr>
        <w:t xml:space="preserve"> is a parameter that can be interpreted as the measure of the riskiness of the stock. </w:t>
      </w:r>
    </w:p>
    <w:p w14:paraId="2F10BB63" w14:textId="14453E0E" w:rsidR="00D976F6" w:rsidRDefault="00D976F6">
      <w:pPr>
        <w:rPr>
          <w:rFonts w:eastAsiaTheme="minorEastAsia"/>
        </w:rPr>
      </w:pPr>
      <w:r>
        <w:rPr>
          <w:rFonts w:eastAsiaTheme="minorEastAsia"/>
        </w:rPr>
        <w:t xml:space="preserve">In the CAMP, </w:t>
      </w:r>
      <m:oMath>
        <m:r>
          <w:rPr>
            <w:rFonts w:ascii="Cambria Math" w:hAnsi="Cambria Math"/>
          </w:rPr>
          <m:t>β</m:t>
        </m:r>
      </m:oMath>
      <w:r>
        <w:rPr>
          <w:rFonts w:eastAsiaTheme="minorEastAsia"/>
        </w:rPr>
        <w:t xml:space="preserve"> is determined by</w:t>
      </w:r>
    </w:p>
    <w:p w14:paraId="3F6A5A5B" w14:textId="34DA0ED2" w:rsidR="00D976F6" w:rsidRPr="00C16F7B" w:rsidRDefault="00D976F6">
      <w:pPr>
        <w:rPr>
          <w:rFonts w:eastAsiaTheme="minorEastAsia"/>
        </w:rPr>
      </w:pPr>
      <m:oMathPara>
        <m:oMath>
          <m:r>
            <w:rPr>
              <w:rFonts w:ascii="Cambria Math" w:hAnsi="Cambria Math"/>
            </w:rPr>
            <m:t>β</m:t>
          </m:r>
          <m:r>
            <w:rPr>
              <w:rFonts w:ascii="Cambria Math" w:hAnsi="Cambria Math"/>
            </w:rPr>
            <m:t>=</m:t>
          </m:r>
          <m:f>
            <m:fPr>
              <m:ctrlPr>
                <w:rPr>
                  <w:rFonts w:ascii="Cambria Math" w:hAnsi="Cambria Math"/>
                  <w:i/>
                </w:rPr>
              </m:ctrlPr>
            </m:fPr>
            <m:num>
              <m:r>
                <m:rPr>
                  <m:sty m:val="p"/>
                </m:rPr>
                <w:rPr>
                  <w:rFonts w:ascii="Cambria Math" w:hAnsi="Cambria Math"/>
                </w:rPr>
                <m:t>Cov</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den>
          </m:f>
          <m:r>
            <w:rPr>
              <w:rFonts w:ascii="Cambria Math" w:hAnsi="Cambria Math"/>
            </w:rPr>
            <m:t>=ρ</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m:t>
                  </m:r>
                </m:sub>
              </m:sSub>
            </m:e>
          </m:d>
          <m:f>
            <m:fPr>
              <m:ctrlPr>
                <w:rPr>
                  <w:rFonts w:ascii="Cambria Math" w:hAnsi="Cambria Math"/>
                  <w:i/>
                </w:rPr>
              </m:ctrlPr>
            </m:fPr>
            <m:num>
              <m:rad>
                <m:radPr>
                  <m:degHide m:val="1"/>
                  <m:ctrlPr>
                    <w:rPr>
                      <w:rFonts w:ascii="Cambria Math" w:hAnsi="Cambria Math"/>
                      <w:i/>
                    </w:rPr>
                  </m:ctrlPr>
                </m:radPr>
                <m:deg/>
                <m:e>
                  <m:r>
                    <m:rPr>
                      <m:sty m:val="p"/>
                    </m:rPr>
                    <w:rPr>
                      <w:rFonts w:ascii="Cambria Math" w:hAnsi="Cambria Math"/>
                    </w:rPr>
                    <m:t>Var</m:t>
                  </m:r>
                  <m:r>
                    <w:rPr>
                      <w:rFonts w:ascii="Cambria Math" w:hAnsi="Cambria Math"/>
                    </w:rPr>
                    <m:t>(R)</m:t>
                  </m:r>
                </m:e>
              </m:rad>
            </m:num>
            <m:den>
              <m:rad>
                <m:radPr>
                  <m:degHide m:val="1"/>
                  <m:ctrlPr>
                    <w:rPr>
                      <w:rFonts w:ascii="Cambria Math" w:hAnsi="Cambria Math"/>
                      <w:i/>
                    </w:rPr>
                  </m:ctrlPr>
                </m:radPr>
                <m:deg/>
                <m:e>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rad>
            </m:den>
          </m:f>
          <m:r>
            <w:rPr>
              <w:rFonts w:ascii="Cambria Math" w:hAnsi="Cambria Math"/>
            </w:rPr>
            <m:t>,</m:t>
          </m:r>
        </m:oMath>
      </m:oMathPara>
    </w:p>
    <w:p w14:paraId="2C7753C0" w14:textId="47257DE7" w:rsidR="00C16F7B" w:rsidRDefault="00C16F7B">
      <w:pPr>
        <w:rPr>
          <w:rFonts w:eastAsiaTheme="minorEastAsia"/>
        </w:rPr>
      </w:pPr>
      <w:r>
        <w:rPr>
          <w:rFonts w:eastAsiaTheme="minorEastAsia"/>
        </w:rPr>
        <w:t xml:space="preserve">Where </w:t>
      </w:r>
      <m:oMath>
        <m:r>
          <m:rPr>
            <m:sty m:val="p"/>
          </m:rPr>
          <w:rPr>
            <w:rFonts w:ascii="Cambria Math" w:hAnsi="Cambria Math"/>
          </w:rPr>
          <m:t>Cov</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w:r>
        <w:rPr>
          <w:rFonts w:eastAsiaTheme="minorEastAsia"/>
        </w:rPr>
        <w:t xml:space="preserve"> denotes the covariance between </w:t>
      </w:r>
      <m:oMath>
        <m:r>
          <w:rPr>
            <w:rFonts w:ascii="Cambria Math" w:eastAsiaTheme="minorEastAsia" w:hAnsi="Cambria Math"/>
          </w:rPr>
          <m:t>R</m:t>
        </m:r>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 xml:space="preserve">, </w:t>
      </w:r>
      <m:oMath>
        <m:r>
          <w:rPr>
            <w:rFonts w:ascii="Cambria Math" w:hAnsi="Cambria Math"/>
          </w:rPr>
          <m:t>ρ</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m:t>
                </m:r>
              </m:sub>
            </m:sSub>
          </m:e>
        </m:d>
      </m:oMath>
      <w:r>
        <w:rPr>
          <w:rFonts w:eastAsiaTheme="minorEastAsia"/>
        </w:rPr>
        <w:t xml:space="preserve"> denotes the correlation between </w:t>
      </w:r>
      <m:oMath>
        <m:r>
          <w:rPr>
            <w:rFonts w:ascii="Cambria Math" w:eastAsiaTheme="minorEastAsia" w:hAnsi="Cambria Math"/>
          </w:rPr>
          <m:t>R</m:t>
        </m:r>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w:t>
      </w:r>
      <w:r>
        <w:rPr>
          <w:rFonts w:eastAsiaTheme="minorEastAsia"/>
        </w:rPr>
        <w:t xml:space="preserve"> </w:t>
      </w:r>
      <m:oMath>
        <m:r>
          <m:rPr>
            <m:sty m:val="p"/>
          </m:rPr>
          <w:rPr>
            <w:rFonts w:ascii="Cambria Math" w:hAnsi="Cambria Math"/>
          </w:rPr>
          <m:t>Var</m:t>
        </m:r>
        <m:r>
          <w:rPr>
            <w:rFonts w:ascii="Cambria Math" w:hAnsi="Cambria Math"/>
          </w:rPr>
          <m:t>(R</m:t>
        </m:r>
        <m:r>
          <w:rPr>
            <w:rFonts w:ascii="Cambria Math" w:eastAsiaTheme="minorEastAsia" w:hAnsi="Cambria Math"/>
          </w:rPr>
          <m:t>)</m:t>
        </m:r>
      </m:oMath>
      <w:r>
        <w:rPr>
          <w:rFonts w:eastAsiaTheme="minorEastAsia"/>
        </w:rPr>
        <w:t xml:space="preserve"> and </w:t>
      </w:r>
      <m:oMath>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w:r w:rsidR="0083214D">
        <w:rPr>
          <w:rFonts w:eastAsiaTheme="minorEastAsia"/>
        </w:rPr>
        <w:t xml:space="preserve"> denote the variances of </w:t>
      </w:r>
      <m:oMath>
        <m:r>
          <w:rPr>
            <w:rFonts w:ascii="Cambria Math" w:eastAsiaTheme="minorEastAsia" w:hAnsi="Cambria Math"/>
          </w:rPr>
          <m:t>R</m:t>
        </m:r>
      </m:oMath>
      <w:r w:rsidR="0083214D">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83214D">
        <w:rPr>
          <w:rFonts w:eastAsiaTheme="minorEastAsia"/>
        </w:rPr>
        <w:t xml:space="preserve"> respectively.</w:t>
      </w:r>
    </w:p>
    <w:p w14:paraId="09CB74BA" w14:textId="63B2C95D" w:rsidR="0083214D" w:rsidRDefault="0083214D">
      <w:pPr>
        <w:rPr>
          <w:rFonts w:eastAsiaTheme="minorEastAsia"/>
        </w:rPr>
      </w:pPr>
      <w:r>
        <w:rPr>
          <w:rFonts w:eastAsiaTheme="minorEastAsia"/>
        </w:rPr>
        <w:t>To implement the CAPM, we can fit a simple linear regression model of a stock’s excess return on the market-portfolio’s excess return as follows</w:t>
      </w:r>
    </w:p>
    <w:p w14:paraId="5CE3D30B" w14:textId="4352743D" w:rsidR="0083214D" w:rsidRPr="0083214D" w:rsidRDefault="0083214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f,i</m:t>
              </m:r>
            </m:sub>
          </m:sSub>
          <m:r>
            <w:rPr>
              <w:rFonts w:ascii="Cambria Math" w:hAnsi="Cambria Math"/>
            </w:rPr>
            <m:t>=α+β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i=1, 2, ⋯,n,</m:t>
          </m:r>
        </m:oMath>
      </m:oMathPara>
    </w:p>
    <w:p w14:paraId="4D421603" w14:textId="2416EC20" w:rsidR="0083214D" w:rsidRDefault="0083214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is the realized return on the stock in period </w:t>
      </w:r>
      <m:oMath>
        <m:r>
          <w:rPr>
            <w:rFonts w:ascii="Cambria Math" w:eastAsiaTheme="minorEastAsia" w:hAnsi="Cambria Math"/>
          </w:rPr>
          <m:t>i,</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m,i</m:t>
            </m:r>
          </m:sub>
        </m:sSub>
      </m:oMath>
      <w:r>
        <w:rPr>
          <w:rFonts w:eastAsiaTheme="minorEastAsia"/>
        </w:rPr>
        <w:t xml:space="preserve"> is the realized return on the </w:t>
      </w:r>
      <w:r w:rsidR="00687794">
        <w:rPr>
          <w:rFonts w:eastAsiaTheme="minorEastAsia"/>
        </w:rPr>
        <w:t>portfolio</w:t>
      </w:r>
      <w:r>
        <w:rPr>
          <w:rFonts w:eastAsiaTheme="minorEastAsia"/>
        </w:rPr>
        <w:t xml:space="preserve"> in period </w:t>
      </w:r>
      <m:oMath>
        <m:r>
          <w:rPr>
            <w:rFonts w:ascii="Cambria Math" w:hAnsi="Cambria Math"/>
          </w:rPr>
          <m:t>i</m:t>
        </m:r>
      </m:oMath>
      <w:r w:rsidR="00687794">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f,i</m:t>
            </m:r>
          </m:sub>
        </m:sSub>
      </m:oMath>
      <w:r w:rsidR="00687794">
        <w:rPr>
          <w:rFonts w:eastAsiaTheme="minorEastAsia"/>
        </w:rPr>
        <w:t xml:space="preserve"> is the realized return on the risk-free asset in period </w:t>
      </w:r>
      <m:oMath>
        <m:r>
          <w:rPr>
            <w:rFonts w:ascii="Cambria Math" w:hAnsi="Cambria Math"/>
          </w:rPr>
          <m:t>i</m:t>
        </m:r>
      </m:oMath>
      <w:r w:rsidR="00687794">
        <w:rPr>
          <w:rFonts w:eastAsiaTheme="minorEastAsia"/>
        </w:rPr>
        <w:t xml:space="preserve">, </w:t>
      </w:r>
      <m:oMath>
        <m:r>
          <w:rPr>
            <w:rFonts w:ascii="Cambria Math" w:eastAsiaTheme="minorEastAsia" w:hAnsi="Cambria Math"/>
          </w:rPr>
          <m:t>n</m:t>
        </m:r>
      </m:oMath>
      <w:r w:rsidR="00687794">
        <w:rPr>
          <w:rFonts w:eastAsiaTheme="minorEastAsia"/>
        </w:rPr>
        <w:t xml:space="preserve"> is the number of observations, and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687794">
        <w:rPr>
          <w:rFonts w:eastAsiaTheme="minorEastAsia"/>
        </w:rPr>
        <w:t xml:space="preserve"> is random noise. </w:t>
      </w:r>
    </w:p>
    <w:p w14:paraId="1E6D5088" w14:textId="0A030D26" w:rsidR="00687794" w:rsidRDefault="00687794">
      <w:pPr>
        <w:rPr>
          <w:rFonts w:eastAsiaTheme="minorEastAsia"/>
        </w:rPr>
      </w:pPr>
      <w:r>
        <w:rPr>
          <w:rFonts w:eastAsiaTheme="minorEastAsia"/>
        </w:rPr>
        <w:t xml:space="preserve">We illustrate the implementation of the CAPM by estimating the </w:t>
      </w:r>
      <m:oMath>
        <m:r>
          <w:rPr>
            <w:rFonts w:ascii="Cambria Math" w:hAnsi="Cambria Math"/>
          </w:rPr>
          <m:t>β</m:t>
        </m:r>
      </m:oMath>
      <w:r>
        <w:rPr>
          <w:rFonts w:eastAsiaTheme="minorEastAsia"/>
        </w:rPr>
        <w:t xml:space="preserve"> of </w:t>
      </w:r>
      <w:r w:rsidR="008460B0">
        <w:rPr>
          <w:rFonts w:eastAsiaTheme="minorEastAsia"/>
        </w:rPr>
        <w:t xml:space="preserve">MetLife </w:t>
      </w:r>
      <w:r>
        <w:rPr>
          <w:rFonts w:eastAsiaTheme="minorEastAsia"/>
        </w:rPr>
        <w:t xml:space="preserve">stock. </w:t>
      </w:r>
      <w:proofErr w:type="gramStart"/>
      <w:r w:rsidR="008460B0">
        <w:rPr>
          <w:rFonts w:eastAsiaTheme="minorEastAsia"/>
        </w:rPr>
        <w:t>MetLife</w:t>
      </w:r>
      <w:r w:rsidR="00EC756F">
        <w:rPr>
          <w:rFonts w:eastAsiaTheme="minorEastAsia"/>
        </w:rPr>
        <w:t xml:space="preserve"> </w:t>
      </w:r>
      <w:r w:rsidR="000A5C4F">
        <w:rPr>
          <w:rFonts w:ascii="Roboto" w:hAnsi="Roboto"/>
          <w:color w:val="4D5156"/>
          <w:sz w:val="21"/>
          <w:szCs w:val="21"/>
          <w:shd w:val="clear" w:color="auto" w:fill="FFFFFF"/>
        </w:rPr>
        <w:t> </w:t>
      </w:r>
      <w:proofErr w:type="spellStart"/>
      <w:r w:rsidR="000A5C4F">
        <w:rPr>
          <w:rFonts w:ascii="Roboto" w:hAnsi="Roboto"/>
          <w:color w:val="4D5156"/>
          <w:sz w:val="21"/>
          <w:szCs w:val="21"/>
          <w:shd w:val="clear" w:color="auto" w:fill="FFFFFF"/>
        </w:rPr>
        <w:t>MetLife</w:t>
      </w:r>
      <w:proofErr w:type="spellEnd"/>
      <w:proofErr w:type="gramEnd"/>
      <w:r w:rsidR="000A5C4F">
        <w:rPr>
          <w:rFonts w:ascii="Roboto" w:hAnsi="Roboto"/>
          <w:color w:val="4D5156"/>
          <w:sz w:val="21"/>
          <w:szCs w:val="21"/>
          <w:shd w:val="clear" w:color="auto" w:fill="FFFFFF"/>
        </w:rPr>
        <w:t xml:space="preserve"> is among the largest global providers of insurance, annuities, and employee benefit programs, with 90 million customers in over 60 countries.</w:t>
      </w:r>
      <w:r w:rsidR="00EC756F">
        <w:rPr>
          <w:rFonts w:eastAsiaTheme="minorEastAsia"/>
        </w:rPr>
        <w:t xml:space="preserve"> with its corporate headquarters in </w:t>
      </w:r>
      <w:r w:rsidR="000A5C4F">
        <w:rPr>
          <w:rFonts w:eastAsiaTheme="minorEastAsia"/>
        </w:rPr>
        <w:t>New York</w:t>
      </w:r>
      <w:r w:rsidR="00EC756F">
        <w:rPr>
          <w:rFonts w:eastAsiaTheme="minorEastAsia"/>
        </w:rPr>
        <w:t xml:space="preserve">, </w:t>
      </w:r>
      <w:r w:rsidR="000A5C4F">
        <w:rPr>
          <w:rFonts w:eastAsiaTheme="minorEastAsia"/>
        </w:rPr>
        <w:t>USA</w:t>
      </w:r>
      <w:r w:rsidR="00EC756F">
        <w:rPr>
          <w:rFonts w:eastAsiaTheme="minorEastAsia"/>
        </w:rPr>
        <w:t>. In the implementation, we use the S&amp;P 500 index as a proxy for the market-portfolio and the 3-month US treasury rate as the risk-free rate.</w:t>
      </w:r>
    </w:p>
    <w:p w14:paraId="1EA599DD" w14:textId="20660519" w:rsidR="00252068" w:rsidRPr="00A6137A" w:rsidRDefault="00252068">
      <w:pPr>
        <w:rPr>
          <w:rFonts w:eastAsiaTheme="minorEastAsia"/>
          <w:b/>
          <w:bCs/>
        </w:rPr>
      </w:pPr>
      <w:r w:rsidRPr="00A6137A">
        <w:rPr>
          <w:rFonts w:eastAsiaTheme="minorEastAsia"/>
          <w:b/>
          <w:bCs/>
        </w:rPr>
        <w:t>Data Description</w:t>
      </w:r>
    </w:p>
    <w:p w14:paraId="04DE577E" w14:textId="37C0F795" w:rsidR="00252068" w:rsidRDefault="00252068">
      <w:pPr>
        <w:rPr>
          <w:rFonts w:eastAsiaTheme="minorEastAsia"/>
        </w:rPr>
      </w:pPr>
      <w:r>
        <w:rPr>
          <w:rFonts w:eastAsiaTheme="minorEastAsia"/>
        </w:rPr>
        <w:lastRenderedPageBreak/>
        <w:t>Go to Yahoo Finance to download the following data sets</w:t>
      </w:r>
      <w:r w:rsidR="00A6137A">
        <w:rPr>
          <w:rFonts w:eastAsiaTheme="minorEastAsia"/>
        </w:rPr>
        <w:t xml:space="preserve"> from January 1999 to present </w:t>
      </w:r>
    </w:p>
    <w:p w14:paraId="302B7AAA" w14:textId="71D04BB2" w:rsidR="00252068" w:rsidRDefault="00252068" w:rsidP="00252068">
      <w:pPr>
        <w:pStyle w:val="ListParagraph"/>
        <w:numPr>
          <w:ilvl w:val="0"/>
          <w:numId w:val="1"/>
        </w:numPr>
      </w:pPr>
      <w:r>
        <w:t>S&amp;P 500 index</w:t>
      </w:r>
    </w:p>
    <w:p w14:paraId="5EF4D264" w14:textId="768A51B6" w:rsidR="00252068" w:rsidRPr="00A6137A" w:rsidRDefault="00252068" w:rsidP="00252068">
      <w:pPr>
        <w:pStyle w:val="ListParagraph"/>
        <w:numPr>
          <w:ilvl w:val="0"/>
          <w:numId w:val="1"/>
        </w:numPr>
      </w:pPr>
      <w:r>
        <w:rPr>
          <w:rFonts w:eastAsiaTheme="minorEastAsia"/>
        </w:rPr>
        <w:t xml:space="preserve">Manulife </w:t>
      </w:r>
      <w:proofErr w:type="spellStart"/>
      <w:r>
        <w:rPr>
          <w:rFonts w:eastAsiaTheme="minorEastAsia"/>
        </w:rPr>
        <w:t>Financial’s</w:t>
      </w:r>
      <w:proofErr w:type="spellEnd"/>
      <w:r>
        <w:rPr>
          <w:rFonts w:eastAsiaTheme="minorEastAsia"/>
        </w:rPr>
        <w:t xml:space="preserve"> </w:t>
      </w:r>
      <w:r>
        <w:rPr>
          <w:rFonts w:eastAsiaTheme="minorEastAsia"/>
        </w:rPr>
        <w:t>stock</w:t>
      </w:r>
    </w:p>
    <w:p w14:paraId="336DBBA3" w14:textId="00E6E2FA" w:rsidR="00A6137A" w:rsidRPr="00A6137A" w:rsidRDefault="00A6137A" w:rsidP="00252068">
      <w:pPr>
        <w:pStyle w:val="ListParagraph"/>
        <w:numPr>
          <w:ilvl w:val="0"/>
          <w:numId w:val="1"/>
        </w:numPr>
      </w:pPr>
      <w:r>
        <w:rPr>
          <w:rFonts w:eastAsiaTheme="minorEastAsia"/>
        </w:rPr>
        <w:t>3-month US treasury rates</w:t>
      </w:r>
    </w:p>
    <w:p w14:paraId="349E4E1D" w14:textId="06126873" w:rsidR="00A6137A" w:rsidRDefault="00A6137A" w:rsidP="00A6137A">
      <w:r>
        <w:t xml:space="preserve">Provide a brief description of the data sets. </w:t>
      </w:r>
    </w:p>
    <w:p w14:paraId="0B3DC9B0" w14:textId="4C6666C8" w:rsidR="00A6137A" w:rsidRPr="000A5C4F" w:rsidRDefault="00A6137A" w:rsidP="00A6137A">
      <w:pPr>
        <w:rPr>
          <w:b/>
          <w:bCs/>
        </w:rPr>
      </w:pPr>
      <w:r w:rsidRPr="000A5C4F">
        <w:rPr>
          <w:b/>
          <w:bCs/>
        </w:rPr>
        <w:t>Data Visualization and Summaries</w:t>
      </w:r>
    </w:p>
    <w:p w14:paraId="376CC86B" w14:textId="39600E33" w:rsidR="00A6137A" w:rsidRDefault="00A6137A" w:rsidP="00A6137A">
      <w:pPr>
        <w:pStyle w:val="ListParagraph"/>
        <w:numPr>
          <w:ilvl w:val="0"/>
          <w:numId w:val="1"/>
        </w:numPr>
      </w:pPr>
      <w:r>
        <w:t xml:space="preserve">Use histograms to display excess returns on </w:t>
      </w:r>
      <w:r w:rsidR="000A5C4F">
        <w:t>MetLife</w:t>
      </w:r>
      <w:r>
        <w:t xml:space="preserve"> stock and </w:t>
      </w:r>
      <w:r>
        <w:t>S&amp;P 500 index</w:t>
      </w:r>
    </w:p>
    <w:p w14:paraId="0F81D4CF" w14:textId="42280FC9" w:rsidR="00A6137A" w:rsidRDefault="00A35E60" w:rsidP="00A6137A">
      <w:pPr>
        <w:pStyle w:val="ListParagraph"/>
        <w:numPr>
          <w:ilvl w:val="0"/>
          <w:numId w:val="2"/>
        </w:numPr>
      </w:pPr>
      <w:r>
        <w:t xml:space="preserve">Calculate the five-number summary, mean, standard deviation, skewness, and kurtosis of the excess returns on </w:t>
      </w:r>
      <w:r>
        <w:t xml:space="preserve">excess returns on </w:t>
      </w:r>
      <w:r w:rsidR="000A5C4F">
        <w:t>MetLife</w:t>
      </w:r>
      <w:r>
        <w:t xml:space="preserve"> stock and S&amp;P 500 index</w:t>
      </w:r>
      <w:r w:rsidR="000A5C4F">
        <w:t>.</w:t>
      </w:r>
    </w:p>
    <w:p w14:paraId="15F261AC" w14:textId="6198E1B3" w:rsidR="000A5C4F" w:rsidRDefault="00323723" w:rsidP="00A6137A">
      <w:pPr>
        <w:pStyle w:val="ListParagraph"/>
        <w:numPr>
          <w:ilvl w:val="0"/>
          <w:numId w:val="2"/>
        </w:numPr>
      </w:pPr>
      <w:r>
        <w:t>Create a s</w:t>
      </w:r>
      <w:r w:rsidR="000A5C4F">
        <w:t xml:space="preserve">catter plot of </w:t>
      </w:r>
      <w:r w:rsidR="000A5C4F">
        <w:t>excess returns on MetLife stock</w:t>
      </w:r>
      <w:r w:rsidR="000A5C4F">
        <w:t xml:space="preserve"> (y-axis)</w:t>
      </w:r>
      <w:r w:rsidR="000A5C4F">
        <w:t xml:space="preserve"> and S&amp;P 500 index</w:t>
      </w:r>
      <w:r w:rsidR="000A5C4F">
        <w:t xml:space="preserve"> (x-axis).</w:t>
      </w:r>
    </w:p>
    <w:p w14:paraId="40E08F87" w14:textId="1730479B" w:rsidR="000A5C4F" w:rsidRDefault="000A5C4F" w:rsidP="000A5C4F">
      <w:pPr>
        <w:rPr>
          <w:b/>
          <w:bCs/>
        </w:rPr>
      </w:pPr>
      <w:r w:rsidRPr="000A5C4F">
        <w:rPr>
          <w:b/>
          <w:bCs/>
        </w:rPr>
        <w:t>Fitting a Simple Linear Regression Model</w:t>
      </w:r>
    </w:p>
    <w:p w14:paraId="3237BB8F" w14:textId="00FFE6D1" w:rsidR="000A5C4F" w:rsidRPr="000A5C4F" w:rsidRDefault="000A5C4F" w:rsidP="000A5C4F">
      <w:pPr>
        <w:pStyle w:val="ListParagraph"/>
        <w:numPr>
          <w:ilvl w:val="0"/>
          <w:numId w:val="3"/>
        </w:numPr>
        <w:rPr>
          <w:b/>
          <w:bCs/>
        </w:rPr>
      </w:pPr>
      <w:r>
        <w:t>Provide your fitted model results here</w:t>
      </w:r>
    </w:p>
    <w:p w14:paraId="02CA0ACD" w14:textId="3D63D6B0" w:rsidR="00323723" w:rsidRDefault="00323723" w:rsidP="00323723">
      <w:pPr>
        <w:pStyle w:val="ListParagraph"/>
        <w:numPr>
          <w:ilvl w:val="0"/>
          <w:numId w:val="3"/>
        </w:numPr>
      </w:pPr>
      <w:r>
        <w:t>Create a scatter plot of excess returns on MetLife stock (y-axis) and S&amp;P 500 index (x-axis).</w:t>
      </w:r>
      <w:r>
        <w:t xml:space="preserve"> Put the fitted line on the graph.</w:t>
      </w:r>
    </w:p>
    <w:p w14:paraId="74469978" w14:textId="5BB82E3C" w:rsidR="000A5C4F" w:rsidRDefault="00323723" w:rsidP="00323723">
      <w:pPr>
        <w:rPr>
          <w:b/>
          <w:bCs/>
        </w:rPr>
      </w:pPr>
      <w:r>
        <w:rPr>
          <w:b/>
          <w:bCs/>
        </w:rPr>
        <w:t>Model Validation</w:t>
      </w:r>
    </w:p>
    <w:p w14:paraId="43D28E63" w14:textId="6D34F2EE" w:rsidR="00323723" w:rsidRPr="00002D21" w:rsidRDefault="00323723" w:rsidP="00323723">
      <w:pPr>
        <w:pStyle w:val="ListParagraph"/>
        <w:numPr>
          <w:ilvl w:val="0"/>
          <w:numId w:val="4"/>
        </w:numPr>
      </w:pPr>
      <w:r w:rsidRPr="00002D21">
        <w:t>Use R-squared to justify the quality of the fit of the regression model.</w:t>
      </w:r>
    </w:p>
    <w:p w14:paraId="23588A8D" w14:textId="5EF8852E" w:rsidR="00323723" w:rsidRDefault="00323723" w:rsidP="00323723">
      <w:pPr>
        <w:rPr>
          <w:b/>
          <w:bCs/>
        </w:rPr>
      </w:pPr>
      <w:r>
        <w:rPr>
          <w:b/>
          <w:bCs/>
        </w:rPr>
        <w:t>Residual Analysis</w:t>
      </w:r>
    </w:p>
    <w:p w14:paraId="7F1A2DE4" w14:textId="018E5650" w:rsidR="00323723" w:rsidRPr="00002D21" w:rsidRDefault="00323723" w:rsidP="00323723">
      <w:pPr>
        <w:pStyle w:val="ListParagraph"/>
        <w:numPr>
          <w:ilvl w:val="0"/>
          <w:numId w:val="4"/>
        </w:numPr>
      </w:pPr>
      <w:r w:rsidRPr="00002D21">
        <w:t xml:space="preserve">Perform residual analysis i.e., check the residuals to see if there </w:t>
      </w:r>
      <w:proofErr w:type="gramStart"/>
      <w:r w:rsidRPr="00002D21">
        <w:t>is</w:t>
      </w:r>
      <w:proofErr w:type="gramEnd"/>
      <w:r w:rsidRPr="00002D21">
        <w:t xml:space="preserve"> any violations of assumptions.  </w:t>
      </w:r>
    </w:p>
    <w:p w14:paraId="4C91DEBA" w14:textId="56384783" w:rsidR="00002D21" w:rsidRDefault="00002D21" w:rsidP="00002D21">
      <w:pPr>
        <w:rPr>
          <w:b/>
          <w:bCs/>
        </w:rPr>
      </w:pPr>
      <w:r>
        <w:rPr>
          <w:b/>
          <w:bCs/>
        </w:rPr>
        <w:t>Statistical Inference</w:t>
      </w:r>
    </w:p>
    <w:p w14:paraId="481C55CA" w14:textId="40115AF6" w:rsidR="00002D21" w:rsidRPr="00002D21" w:rsidRDefault="00002D21" w:rsidP="00002D21">
      <w:pPr>
        <w:pStyle w:val="ListParagraph"/>
        <w:numPr>
          <w:ilvl w:val="0"/>
          <w:numId w:val="4"/>
        </w:numPr>
      </w:pPr>
      <w:r w:rsidRPr="00002D21">
        <w:t>Perform a hypothesis test to see if the explanatory variable (excess returns on the S&amp;P 500) is significant.</w:t>
      </w:r>
    </w:p>
    <w:p w14:paraId="74DB7498" w14:textId="0969BFDA" w:rsidR="00002D21" w:rsidRDefault="00002D21" w:rsidP="00002D21">
      <w:pPr>
        <w:rPr>
          <w:b/>
          <w:bCs/>
        </w:rPr>
      </w:pPr>
      <w:r>
        <w:rPr>
          <w:b/>
          <w:bCs/>
        </w:rPr>
        <w:t>Summary and Conclusion</w:t>
      </w:r>
    </w:p>
    <w:p w14:paraId="38F1C485" w14:textId="77777777" w:rsidR="00002D21" w:rsidRPr="00002D21" w:rsidRDefault="00002D21" w:rsidP="00002D21">
      <w:pPr>
        <w:rPr>
          <w:b/>
          <w:bCs/>
        </w:rPr>
      </w:pPr>
    </w:p>
    <w:sectPr w:rsidR="00002D21" w:rsidRPr="0000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14D"/>
    <w:multiLevelType w:val="hybridMultilevel"/>
    <w:tmpl w:val="8062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F4BEE"/>
    <w:multiLevelType w:val="hybridMultilevel"/>
    <w:tmpl w:val="C1F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949AF"/>
    <w:multiLevelType w:val="hybridMultilevel"/>
    <w:tmpl w:val="02AA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A7160"/>
    <w:multiLevelType w:val="hybridMultilevel"/>
    <w:tmpl w:val="90E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960058">
    <w:abstractNumId w:val="3"/>
  </w:num>
  <w:num w:numId="2" w16cid:durableId="356857868">
    <w:abstractNumId w:val="2"/>
  </w:num>
  <w:num w:numId="3" w16cid:durableId="1594511315">
    <w:abstractNumId w:val="0"/>
  </w:num>
  <w:num w:numId="4" w16cid:durableId="1595088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5A"/>
    <w:rsid w:val="00002D21"/>
    <w:rsid w:val="000A5C4F"/>
    <w:rsid w:val="0018385A"/>
    <w:rsid w:val="001F61F2"/>
    <w:rsid w:val="00252068"/>
    <w:rsid w:val="00323723"/>
    <w:rsid w:val="00687794"/>
    <w:rsid w:val="0083214D"/>
    <w:rsid w:val="008460B0"/>
    <w:rsid w:val="00A35E60"/>
    <w:rsid w:val="00A6137A"/>
    <w:rsid w:val="00C16F7B"/>
    <w:rsid w:val="00D976F6"/>
    <w:rsid w:val="00DF50E1"/>
    <w:rsid w:val="00EC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C496"/>
  <w15:chartTrackingRefBased/>
  <w15:docId w15:val="{0482CC1E-DDBA-4F7F-BFCF-07A8CD46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6F6"/>
    <w:rPr>
      <w:color w:val="808080"/>
    </w:rPr>
  </w:style>
  <w:style w:type="paragraph" w:styleId="ListParagraph">
    <w:name w:val="List Paragraph"/>
    <w:basedOn w:val="Normal"/>
    <w:uiPriority w:val="34"/>
    <w:qFormat/>
    <w:rsid w:val="0025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Sandra</dc:creator>
  <cp:keywords/>
  <dc:description/>
  <cp:lastModifiedBy>Addison, Sandra</cp:lastModifiedBy>
  <cp:revision>1</cp:revision>
  <dcterms:created xsi:type="dcterms:W3CDTF">2022-09-19T23:26:00Z</dcterms:created>
  <dcterms:modified xsi:type="dcterms:W3CDTF">2022-09-20T01:01:00Z</dcterms:modified>
</cp:coreProperties>
</file>