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899" w:rsidRDefault="00963899" w:rsidP="00963899">
      <w:pPr>
        <w:pStyle w:val="Titre2"/>
      </w:pPr>
      <w:bookmarkStart w:id="0" w:name="_GoBack"/>
      <w:bookmarkEnd w:id="0"/>
      <w:r>
        <w:t xml:space="preserve">Retour sur l'abandon de SHA-1 </w:t>
      </w:r>
    </w:p>
    <w:p w:rsidR="00963899" w:rsidRDefault="00963899" w:rsidP="00963899">
      <w:pPr>
        <w:spacing w:line="300" w:lineRule="atLeast"/>
        <w:rPr>
          <w:rFonts w:ascii="Lato" w:hAnsi="Lato"/>
          <w:color w:val="333333"/>
          <w:sz w:val="21"/>
          <w:szCs w:val="21"/>
        </w:rPr>
      </w:pPr>
      <w:r>
        <w:rPr>
          <w:rFonts w:ascii="Lato" w:hAnsi="Lato"/>
          <w:color w:val="333333"/>
          <w:sz w:val="21"/>
          <w:szCs w:val="21"/>
        </w:rPr>
        <w:t>15.2.16</w:t>
      </w:r>
    </w:p>
    <w:p w:rsidR="00963899" w:rsidRDefault="00963899" w:rsidP="00963899">
      <w:pPr>
        <w:spacing w:line="300" w:lineRule="atLeast"/>
        <w:rPr>
          <w:rFonts w:ascii="Lato" w:hAnsi="Lato"/>
          <w:color w:val="333333"/>
          <w:sz w:val="21"/>
          <w:szCs w:val="21"/>
        </w:rPr>
      </w:pPr>
      <w:hyperlink r:id="rId5" w:history="1">
        <w:r>
          <w:rPr>
            <w:rStyle w:val="Lienhypertexte"/>
            <w:rFonts w:ascii="Lato" w:hAnsi="Lato"/>
            <w:vanish/>
            <w:sz w:val="21"/>
            <w:szCs w:val="21"/>
          </w:rPr>
          <w:t>actu</w:t>
        </w:r>
      </w:hyperlink>
      <w:r>
        <w:rPr>
          <w:rFonts w:ascii="Lato" w:hAnsi="Lato"/>
          <w:vanish/>
          <w:color w:val="333333"/>
          <w:sz w:val="21"/>
          <w:szCs w:val="21"/>
        </w:rPr>
        <w:t xml:space="preserve">, </w:t>
      </w:r>
      <w:hyperlink r:id="rId6" w:history="1">
        <w:r>
          <w:rPr>
            <w:rStyle w:val="Lienhypertexte"/>
            <w:rFonts w:ascii="Lato" w:hAnsi="Lato"/>
            <w:vanish/>
            <w:sz w:val="21"/>
            <w:szCs w:val="21"/>
          </w:rPr>
          <w:t>crypto</w:t>
        </w:r>
      </w:hyperlink>
      <w:r>
        <w:rPr>
          <w:rFonts w:ascii="Lato" w:hAnsi="Lato"/>
          <w:vanish/>
          <w:color w:val="333333"/>
          <w:sz w:val="21"/>
          <w:szCs w:val="21"/>
        </w:rPr>
        <w:t xml:space="preserve">, </w:t>
      </w:r>
      <w:hyperlink r:id="rId7" w:history="1">
        <w:r>
          <w:rPr>
            <w:rStyle w:val="Lienhypertexte"/>
            <w:rFonts w:ascii="Lato" w:hAnsi="Lato"/>
            <w:vanish/>
            <w:sz w:val="21"/>
            <w:szCs w:val="21"/>
          </w:rPr>
          <w:t>deep-dive</w:t>
        </w:r>
      </w:hyperlink>
      <w:r>
        <w:rPr>
          <w:rFonts w:ascii="Lato" w:hAnsi="Lato"/>
          <w:vanish/>
          <w:color w:val="333333"/>
          <w:sz w:val="21"/>
          <w:szCs w:val="21"/>
        </w:rPr>
        <w:t xml:space="preserve">, </w:t>
      </w:r>
      <w:hyperlink r:id="rId8" w:history="1">
        <w:r>
          <w:rPr>
            <w:rStyle w:val="Lienhypertexte"/>
            <w:rFonts w:ascii="Lato" w:hAnsi="Lato"/>
            <w:vanish/>
            <w:sz w:val="21"/>
            <w:szCs w:val="21"/>
          </w:rPr>
          <w:t>sha-1</w:t>
        </w:r>
      </w:hyperlink>
      <w:r>
        <w:rPr>
          <w:rFonts w:ascii="Lato" w:hAnsi="Lato"/>
          <w:vanish/>
          <w:color w:val="333333"/>
          <w:sz w:val="21"/>
          <w:szCs w:val="21"/>
        </w:rPr>
        <w:t xml:space="preserve"> </w:t>
      </w:r>
    </w:p>
    <w:p w:rsidR="00963899" w:rsidRDefault="00963899" w:rsidP="00963899">
      <w:pPr>
        <w:spacing w:before="150" w:after="300" w:line="300" w:lineRule="atLeast"/>
        <w:rPr>
          <w:rFonts w:ascii="Lato" w:hAnsi="Lato"/>
          <w:color w:val="333333"/>
          <w:sz w:val="21"/>
          <w:szCs w:val="21"/>
        </w:rPr>
      </w:pPr>
      <w:r>
        <w:rPr>
          <w:rFonts w:ascii="Lato" w:hAnsi="Lato"/>
          <w:color w:val="333333"/>
          <w:sz w:val="21"/>
          <w:szCs w:val="21"/>
        </w:rPr>
        <w:pict>
          <v:rect id="_x0000_i1025" style="width:0;height:1.5pt" o:hralign="center" o:hrstd="t" o:hr="t" fillcolor="#a0a0a0" stroked="f"/>
        </w:pict>
      </w:r>
    </w:p>
    <w:p w:rsidR="00963899" w:rsidRDefault="00963899" w:rsidP="00963899">
      <w:pPr>
        <w:spacing w:before="150" w:after="300" w:line="300" w:lineRule="atLeast"/>
        <w:jc w:val="center"/>
        <w:rPr>
          <w:rFonts w:ascii="Lato" w:hAnsi="Lato"/>
          <w:color w:val="333333"/>
          <w:sz w:val="21"/>
          <w:szCs w:val="21"/>
        </w:rPr>
      </w:pPr>
      <w:r>
        <w:rPr>
          <w:rFonts w:ascii="Lato" w:hAnsi="Lato"/>
          <w:noProof/>
          <w:color w:val="0000FF"/>
          <w:sz w:val="21"/>
          <w:szCs w:val="21"/>
          <w:lang w:eastAsia="fr-FR"/>
        </w:rPr>
        <w:drawing>
          <wp:inline distT="0" distB="0" distL="0" distR="0" wp14:anchorId="11421A2A" wp14:editId="2FF2759B">
            <wp:extent cx="6096000" cy="2562225"/>
            <wp:effectExtent l="0" t="0" r="0" b="9525"/>
            <wp:docPr id="12" name="Image 12" descr="https://4.bp.blogspot.com/-PcrvUiduO3o/VrxfJCMZ8wI/AAAAAAAAAPE/59DMmlZJcEY/s640/log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PcrvUiduO3o/VrxfJCMZ8wI/AAAAAAAAAPE/59DMmlZJcEY/s640/logo.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562225"/>
                    </a:xfrm>
                    <a:prstGeom prst="rect">
                      <a:avLst/>
                    </a:prstGeom>
                    <a:noFill/>
                    <a:ln>
                      <a:noFill/>
                    </a:ln>
                  </pic:spPr>
                </pic:pic>
              </a:graphicData>
            </a:graphic>
          </wp:inline>
        </w:drawing>
      </w:r>
    </w:p>
    <w:p w:rsidR="00963899" w:rsidRDefault="00963899" w:rsidP="00963899">
      <w:pPr>
        <w:pStyle w:val="Titre3"/>
        <w:rPr>
          <w:rFonts w:ascii="inherit" w:hAnsi="inherit"/>
          <w:color w:val="515E6C"/>
        </w:rPr>
      </w:pPr>
      <w:r>
        <w:t xml:space="preserve">Quelques rappels sur les fonctions de hachage </w:t>
      </w:r>
    </w:p>
    <w:p w:rsidR="00963899" w:rsidRDefault="00963899" w:rsidP="00963899">
      <w:pPr>
        <w:spacing w:after="240" w:line="300" w:lineRule="atLeast"/>
        <w:rPr>
          <w:rFonts w:ascii="Lato" w:hAnsi="Lato"/>
          <w:color w:val="333333"/>
          <w:sz w:val="21"/>
          <w:szCs w:val="21"/>
        </w:rPr>
      </w:pPr>
      <w:r>
        <w:rPr>
          <w:rFonts w:ascii="Lato" w:hAnsi="Lato"/>
          <w:color w:val="333333"/>
          <w:sz w:val="21"/>
          <w:szCs w:val="21"/>
        </w:rPr>
        <w:t xml:space="preserve">Une fonction de hachage permet de calculer le condensant cryptographique (ou hash) </w:t>
      </w:r>
      <w:r>
        <w:rPr>
          <w:rFonts w:ascii="Lato" w:hAnsi="Lato"/>
          <w:i/>
          <w:iCs/>
          <w:color w:val="333333"/>
          <w:sz w:val="21"/>
          <w:szCs w:val="21"/>
        </w:rPr>
        <w:t>H</w:t>
      </w:r>
      <w:r>
        <w:rPr>
          <w:rFonts w:ascii="Lato" w:hAnsi="Lato"/>
          <w:color w:val="333333"/>
          <w:sz w:val="21"/>
          <w:szCs w:val="21"/>
        </w:rPr>
        <w:t xml:space="preserve"> d’un message </w:t>
      </w:r>
      <w:r>
        <w:rPr>
          <w:rFonts w:ascii="Lato" w:hAnsi="Lato"/>
          <w:i/>
          <w:iCs/>
          <w:color w:val="333333"/>
          <w:sz w:val="21"/>
          <w:szCs w:val="21"/>
        </w:rPr>
        <w:t>M</w:t>
      </w:r>
      <w:r>
        <w:rPr>
          <w:rFonts w:ascii="Lato" w:hAnsi="Lato"/>
          <w:color w:val="333333"/>
          <w:sz w:val="21"/>
          <w:szCs w:val="21"/>
        </w:rPr>
        <w:t xml:space="preserve">. </w:t>
      </w:r>
      <w:proofErr w:type="gramStart"/>
      <w:r>
        <w:rPr>
          <w:rFonts w:ascii="Lato" w:hAnsi="Lato"/>
          <w:color w:val="333333"/>
          <w:sz w:val="21"/>
          <w:szCs w:val="21"/>
        </w:rPr>
        <w:t>Ce</w:t>
      </w:r>
      <w:proofErr w:type="gramEnd"/>
      <w:r>
        <w:rPr>
          <w:rFonts w:ascii="Lato" w:hAnsi="Lato"/>
          <w:color w:val="333333"/>
          <w:sz w:val="21"/>
          <w:szCs w:val="21"/>
        </w:rPr>
        <w:t xml:space="preserve"> hash est un bloc de données de taille constante déterminée par la fonction de hachage utilisée. Les fonctions de hachage les plus connues sont : MD5, SHA-1, SHA-256, Whirlpool, RIPEMD…</w:t>
      </w:r>
    </w:p>
    <w:p w:rsidR="00963899" w:rsidRDefault="00963899" w:rsidP="00963899">
      <w:pPr>
        <w:spacing w:after="0" w:line="300" w:lineRule="atLeast"/>
        <w:jc w:val="center"/>
        <w:rPr>
          <w:rFonts w:ascii="Lato" w:hAnsi="Lato"/>
          <w:color w:val="333333"/>
          <w:sz w:val="21"/>
          <w:szCs w:val="21"/>
        </w:rPr>
      </w:pPr>
      <w:r>
        <w:rPr>
          <w:rFonts w:ascii="Lato" w:hAnsi="Lato"/>
          <w:noProof/>
          <w:color w:val="0000FF"/>
          <w:sz w:val="21"/>
          <w:szCs w:val="21"/>
          <w:lang w:eastAsia="fr-FR"/>
        </w:rPr>
        <w:drawing>
          <wp:inline distT="0" distB="0" distL="0" distR="0" wp14:anchorId="03968591" wp14:editId="408EBF60">
            <wp:extent cx="3810000" cy="885825"/>
            <wp:effectExtent l="0" t="0" r="0" b="9525"/>
            <wp:docPr id="11" name="Image 11" descr="https://1.bp.blogspot.com/-RW7aE8t4vT4/VrxZew50gwI/AAAAAAAAAOY/rzNpuZxK6fY/s400/Image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RW7aE8t4vT4/VrxZew50gwI/AAAAAAAAAOY/rzNpuZxK6fY/s400/Image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885825"/>
                    </a:xfrm>
                    <a:prstGeom prst="rect">
                      <a:avLst/>
                    </a:prstGeom>
                    <a:noFill/>
                    <a:ln>
                      <a:noFill/>
                    </a:ln>
                  </pic:spPr>
                </pic:pic>
              </a:graphicData>
            </a:graphic>
          </wp:inline>
        </w:drawing>
      </w:r>
    </w:p>
    <w:p w:rsidR="00963899" w:rsidRDefault="00963899" w:rsidP="00963899">
      <w:pPr>
        <w:spacing w:line="300" w:lineRule="atLeast"/>
        <w:jc w:val="center"/>
        <w:rPr>
          <w:rFonts w:ascii="Lato" w:hAnsi="Lato"/>
          <w:color w:val="333333"/>
          <w:sz w:val="21"/>
          <w:szCs w:val="21"/>
        </w:rPr>
      </w:pPr>
      <w:r>
        <w:rPr>
          <w:rFonts w:ascii="Lato" w:hAnsi="Lato"/>
          <w:i/>
          <w:iCs/>
          <w:color w:val="333333"/>
          <w:sz w:val="21"/>
          <w:szCs w:val="21"/>
        </w:rPr>
        <w:t>Exemple d’utilisation de l’algorithme SHA-1 </w:t>
      </w:r>
    </w:p>
    <w:p w:rsidR="00963899" w:rsidRDefault="00963899" w:rsidP="00963899">
      <w:pPr>
        <w:spacing w:line="300" w:lineRule="atLeast"/>
        <w:rPr>
          <w:rFonts w:ascii="Lato" w:hAnsi="Lato"/>
          <w:color w:val="333333"/>
          <w:sz w:val="21"/>
          <w:szCs w:val="21"/>
        </w:rPr>
      </w:pPr>
      <w:r>
        <w:rPr>
          <w:rFonts w:ascii="Lato" w:hAnsi="Lato"/>
          <w:color w:val="333333"/>
          <w:sz w:val="21"/>
          <w:szCs w:val="21"/>
        </w:rPr>
        <w:br/>
        <w:t xml:space="preserve">Les fonctions de hachage cryptographiques possèdent les propriétés suivantes : </w:t>
      </w:r>
    </w:p>
    <w:p w:rsidR="00963899" w:rsidRDefault="00963899" w:rsidP="00963899">
      <w:pPr>
        <w:numPr>
          <w:ilvl w:val="0"/>
          <w:numId w:val="1"/>
        </w:numPr>
        <w:spacing w:before="100" w:beforeAutospacing="1" w:after="100" w:afterAutospacing="1" w:line="300" w:lineRule="atLeast"/>
        <w:rPr>
          <w:rFonts w:ascii="Lato" w:hAnsi="Lato"/>
          <w:color w:val="333333"/>
          <w:sz w:val="21"/>
          <w:szCs w:val="21"/>
        </w:rPr>
      </w:pPr>
      <w:r>
        <w:rPr>
          <w:rFonts w:ascii="Lato" w:hAnsi="Lato"/>
          <w:color w:val="333333"/>
          <w:sz w:val="21"/>
          <w:szCs w:val="21"/>
        </w:rPr>
        <w:t xml:space="preserve">Résistance à la </w:t>
      </w:r>
      <w:proofErr w:type="spellStart"/>
      <w:r>
        <w:rPr>
          <w:rFonts w:ascii="Lato" w:hAnsi="Lato"/>
          <w:color w:val="333333"/>
          <w:sz w:val="21"/>
          <w:szCs w:val="21"/>
        </w:rPr>
        <w:t>préimage</w:t>
      </w:r>
      <w:proofErr w:type="spellEnd"/>
      <w:r>
        <w:rPr>
          <w:rFonts w:ascii="Lato" w:hAnsi="Lato"/>
          <w:color w:val="333333"/>
          <w:sz w:val="21"/>
          <w:szCs w:val="21"/>
        </w:rPr>
        <w:t xml:space="preserve"> : étant donné un hash </w:t>
      </w:r>
      <w:r>
        <w:rPr>
          <w:rFonts w:ascii="Lato" w:hAnsi="Lato"/>
          <w:i/>
          <w:iCs/>
          <w:color w:val="333333"/>
          <w:sz w:val="21"/>
          <w:szCs w:val="21"/>
        </w:rPr>
        <w:t>H</w:t>
      </w:r>
      <w:r>
        <w:rPr>
          <w:rFonts w:ascii="Lato" w:hAnsi="Lato"/>
          <w:color w:val="333333"/>
          <w:sz w:val="21"/>
          <w:szCs w:val="21"/>
        </w:rPr>
        <w:t xml:space="preserve">, il ne doit pas être possible de calculer un message </w:t>
      </w:r>
      <w:r>
        <w:rPr>
          <w:rFonts w:ascii="Lato" w:hAnsi="Lato"/>
          <w:i/>
          <w:iCs/>
          <w:color w:val="333333"/>
          <w:sz w:val="21"/>
          <w:szCs w:val="21"/>
        </w:rPr>
        <w:t>M</w:t>
      </w:r>
      <w:r>
        <w:rPr>
          <w:rFonts w:ascii="Lato" w:hAnsi="Lato"/>
          <w:color w:val="333333"/>
          <w:sz w:val="21"/>
          <w:szCs w:val="21"/>
        </w:rPr>
        <w:t xml:space="preserve"> tel que </w:t>
      </w:r>
      <w:r>
        <w:rPr>
          <w:rFonts w:ascii="Lato" w:hAnsi="Lato"/>
          <w:i/>
          <w:iCs/>
          <w:color w:val="333333"/>
          <w:sz w:val="21"/>
          <w:szCs w:val="21"/>
        </w:rPr>
        <w:t xml:space="preserve">hash(M) = H </w:t>
      </w:r>
      <w:r>
        <w:rPr>
          <w:rFonts w:ascii="Lato" w:hAnsi="Lato"/>
          <w:color w:val="333333"/>
          <w:sz w:val="21"/>
          <w:szCs w:val="21"/>
        </w:rPr>
        <w:t xml:space="preserve">; </w:t>
      </w:r>
    </w:p>
    <w:p w:rsidR="00963899" w:rsidRDefault="00963899" w:rsidP="00963899">
      <w:pPr>
        <w:numPr>
          <w:ilvl w:val="0"/>
          <w:numId w:val="2"/>
        </w:numPr>
        <w:spacing w:before="100" w:beforeAutospacing="1" w:after="100" w:afterAutospacing="1" w:line="300" w:lineRule="atLeast"/>
        <w:rPr>
          <w:rFonts w:ascii="Lato" w:hAnsi="Lato"/>
          <w:color w:val="333333"/>
          <w:sz w:val="21"/>
          <w:szCs w:val="21"/>
        </w:rPr>
      </w:pPr>
      <w:r>
        <w:rPr>
          <w:rFonts w:ascii="Lato" w:hAnsi="Lato"/>
          <w:color w:val="333333"/>
          <w:sz w:val="21"/>
          <w:szCs w:val="21"/>
        </w:rPr>
        <w:t xml:space="preserve">Résistance à la seconde </w:t>
      </w:r>
      <w:proofErr w:type="spellStart"/>
      <w:r>
        <w:rPr>
          <w:rFonts w:ascii="Lato" w:hAnsi="Lato"/>
          <w:color w:val="333333"/>
          <w:sz w:val="21"/>
          <w:szCs w:val="21"/>
        </w:rPr>
        <w:t>préimage</w:t>
      </w:r>
      <w:proofErr w:type="spellEnd"/>
      <w:r>
        <w:rPr>
          <w:rFonts w:ascii="Lato" w:hAnsi="Lato"/>
          <w:color w:val="333333"/>
          <w:sz w:val="21"/>
          <w:szCs w:val="21"/>
        </w:rPr>
        <w:t xml:space="preserve"> : étant donné un message </w:t>
      </w:r>
      <w:r>
        <w:rPr>
          <w:rFonts w:ascii="Lato" w:hAnsi="Lato"/>
          <w:i/>
          <w:iCs/>
          <w:color w:val="333333"/>
          <w:sz w:val="21"/>
          <w:szCs w:val="21"/>
        </w:rPr>
        <w:t>M</w:t>
      </w:r>
      <w:r>
        <w:rPr>
          <w:rFonts w:ascii="Lato" w:hAnsi="Lato"/>
          <w:i/>
          <w:iCs/>
          <w:color w:val="333333"/>
          <w:sz w:val="21"/>
          <w:szCs w:val="21"/>
          <w:vertAlign w:val="subscript"/>
        </w:rPr>
        <w:t>1</w:t>
      </w:r>
      <w:r>
        <w:rPr>
          <w:rFonts w:ascii="Lato" w:hAnsi="Lato"/>
          <w:color w:val="333333"/>
          <w:sz w:val="21"/>
          <w:szCs w:val="21"/>
        </w:rPr>
        <w:t xml:space="preserve">, il ne doit pas être possible de calculer un message </w:t>
      </w:r>
      <w:r>
        <w:rPr>
          <w:rFonts w:ascii="Lato" w:hAnsi="Lato"/>
          <w:i/>
          <w:iCs/>
          <w:color w:val="333333"/>
          <w:sz w:val="21"/>
          <w:szCs w:val="21"/>
        </w:rPr>
        <w:t>M</w:t>
      </w:r>
      <w:r>
        <w:rPr>
          <w:rFonts w:ascii="Lato" w:hAnsi="Lato"/>
          <w:i/>
          <w:iCs/>
          <w:color w:val="333333"/>
          <w:sz w:val="21"/>
          <w:szCs w:val="21"/>
          <w:vertAlign w:val="subscript"/>
        </w:rPr>
        <w:t>2</w:t>
      </w:r>
      <w:r>
        <w:rPr>
          <w:rFonts w:ascii="Lato" w:hAnsi="Lato"/>
          <w:color w:val="333333"/>
          <w:sz w:val="21"/>
          <w:szCs w:val="21"/>
        </w:rPr>
        <w:t xml:space="preserve"> différent de </w:t>
      </w:r>
      <w:r>
        <w:rPr>
          <w:rFonts w:ascii="Lato" w:hAnsi="Lato"/>
          <w:i/>
          <w:iCs/>
          <w:color w:val="333333"/>
          <w:sz w:val="21"/>
          <w:szCs w:val="21"/>
        </w:rPr>
        <w:t>M</w:t>
      </w:r>
      <w:r>
        <w:rPr>
          <w:rFonts w:ascii="Lato" w:hAnsi="Lato"/>
          <w:i/>
          <w:iCs/>
          <w:color w:val="333333"/>
          <w:sz w:val="21"/>
          <w:szCs w:val="21"/>
          <w:vertAlign w:val="subscript"/>
        </w:rPr>
        <w:t xml:space="preserve">1 </w:t>
      </w:r>
      <w:r>
        <w:rPr>
          <w:rFonts w:ascii="Lato" w:hAnsi="Lato"/>
          <w:color w:val="333333"/>
          <w:sz w:val="21"/>
          <w:szCs w:val="21"/>
        </w:rPr>
        <w:t xml:space="preserve">tel que </w:t>
      </w:r>
      <w:r>
        <w:rPr>
          <w:rFonts w:ascii="Lato" w:hAnsi="Lato"/>
          <w:i/>
          <w:iCs/>
          <w:color w:val="333333"/>
          <w:sz w:val="21"/>
          <w:szCs w:val="21"/>
        </w:rPr>
        <w:t>hash(M</w:t>
      </w:r>
      <w:r>
        <w:rPr>
          <w:rFonts w:ascii="Lato" w:hAnsi="Lato"/>
          <w:i/>
          <w:iCs/>
          <w:color w:val="333333"/>
          <w:sz w:val="21"/>
          <w:szCs w:val="21"/>
          <w:vertAlign w:val="subscript"/>
        </w:rPr>
        <w:t>1</w:t>
      </w:r>
      <w:r>
        <w:rPr>
          <w:rFonts w:ascii="Lato" w:hAnsi="Lato"/>
          <w:i/>
          <w:iCs/>
          <w:color w:val="333333"/>
          <w:sz w:val="21"/>
          <w:szCs w:val="21"/>
        </w:rPr>
        <w:t>) = hash(M</w:t>
      </w:r>
      <w:r>
        <w:rPr>
          <w:rFonts w:ascii="Lato" w:hAnsi="Lato"/>
          <w:i/>
          <w:iCs/>
          <w:color w:val="333333"/>
          <w:sz w:val="21"/>
          <w:szCs w:val="21"/>
          <w:vertAlign w:val="subscript"/>
        </w:rPr>
        <w:t>2</w:t>
      </w:r>
      <w:r>
        <w:rPr>
          <w:rFonts w:ascii="Lato" w:hAnsi="Lato"/>
          <w:i/>
          <w:iCs/>
          <w:color w:val="333333"/>
          <w:sz w:val="21"/>
          <w:szCs w:val="21"/>
        </w:rPr>
        <w:t xml:space="preserve">) </w:t>
      </w:r>
      <w:r>
        <w:rPr>
          <w:rFonts w:ascii="Lato" w:hAnsi="Lato"/>
          <w:color w:val="333333"/>
          <w:sz w:val="21"/>
          <w:szCs w:val="21"/>
        </w:rPr>
        <w:t xml:space="preserve">; </w:t>
      </w:r>
    </w:p>
    <w:p w:rsidR="00963899" w:rsidRDefault="00963899" w:rsidP="00963899">
      <w:pPr>
        <w:numPr>
          <w:ilvl w:val="0"/>
          <w:numId w:val="3"/>
        </w:numPr>
        <w:spacing w:before="100" w:beforeAutospacing="1" w:after="100" w:afterAutospacing="1" w:line="300" w:lineRule="atLeast"/>
        <w:rPr>
          <w:rFonts w:ascii="Lato" w:hAnsi="Lato"/>
          <w:color w:val="333333"/>
          <w:sz w:val="21"/>
          <w:szCs w:val="21"/>
        </w:rPr>
      </w:pPr>
      <w:r>
        <w:rPr>
          <w:rFonts w:ascii="Lato" w:hAnsi="Lato"/>
          <w:color w:val="333333"/>
          <w:sz w:val="21"/>
          <w:szCs w:val="21"/>
        </w:rPr>
        <w:t xml:space="preserve">Résistance aux collisions : il ne doit pas être possible de trouver deux message </w:t>
      </w:r>
      <w:r>
        <w:rPr>
          <w:rFonts w:ascii="Lato" w:hAnsi="Lato"/>
          <w:i/>
          <w:iCs/>
          <w:color w:val="333333"/>
          <w:sz w:val="21"/>
          <w:szCs w:val="21"/>
        </w:rPr>
        <w:t>M</w:t>
      </w:r>
      <w:r>
        <w:rPr>
          <w:rFonts w:ascii="Lato" w:hAnsi="Lato"/>
          <w:i/>
          <w:iCs/>
          <w:color w:val="333333"/>
          <w:sz w:val="21"/>
          <w:szCs w:val="21"/>
          <w:vertAlign w:val="subscript"/>
        </w:rPr>
        <w:t xml:space="preserve">1 </w:t>
      </w:r>
      <w:r>
        <w:rPr>
          <w:rFonts w:ascii="Lato" w:hAnsi="Lato"/>
          <w:color w:val="333333"/>
          <w:sz w:val="21"/>
          <w:szCs w:val="21"/>
        </w:rPr>
        <w:t xml:space="preserve">et </w:t>
      </w:r>
      <w:r>
        <w:rPr>
          <w:rFonts w:ascii="Lato" w:hAnsi="Lato"/>
          <w:i/>
          <w:iCs/>
          <w:color w:val="333333"/>
          <w:sz w:val="21"/>
          <w:szCs w:val="21"/>
        </w:rPr>
        <w:t>M</w:t>
      </w:r>
      <w:r>
        <w:rPr>
          <w:rFonts w:ascii="Lato" w:hAnsi="Lato"/>
          <w:i/>
          <w:iCs/>
          <w:color w:val="333333"/>
          <w:sz w:val="21"/>
          <w:szCs w:val="21"/>
          <w:vertAlign w:val="subscript"/>
        </w:rPr>
        <w:t>2</w:t>
      </w:r>
      <w:r>
        <w:rPr>
          <w:rFonts w:ascii="Lato" w:hAnsi="Lato"/>
          <w:color w:val="333333"/>
          <w:sz w:val="21"/>
          <w:szCs w:val="21"/>
        </w:rPr>
        <w:t xml:space="preserve"> différents tels que </w:t>
      </w:r>
      <w:r>
        <w:rPr>
          <w:rFonts w:ascii="Lato" w:hAnsi="Lato"/>
          <w:i/>
          <w:iCs/>
          <w:color w:val="333333"/>
          <w:sz w:val="21"/>
          <w:szCs w:val="21"/>
        </w:rPr>
        <w:t>hash(M</w:t>
      </w:r>
      <w:r>
        <w:rPr>
          <w:rFonts w:ascii="Lato" w:hAnsi="Lato"/>
          <w:i/>
          <w:iCs/>
          <w:color w:val="333333"/>
          <w:sz w:val="21"/>
          <w:szCs w:val="21"/>
          <w:vertAlign w:val="subscript"/>
        </w:rPr>
        <w:t>1</w:t>
      </w:r>
      <w:r>
        <w:rPr>
          <w:rFonts w:ascii="Lato" w:hAnsi="Lato"/>
          <w:i/>
          <w:iCs/>
          <w:color w:val="333333"/>
          <w:sz w:val="21"/>
          <w:szCs w:val="21"/>
        </w:rPr>
        <w:t>) = hash(M</w:t>
      </w:r>
      <w:r>
        <w:rPr>
          <w:rFonts w:ascii="Lato" w:hAnsi="Lato"/>
          <w:i/>
          <w:iCs/>
          <w:color w:val="333333"/>
          <w:sz w:val="21"/>
          <w:szCs w:val="21"/>
          <w:vertAlign w:val="subscript"/>
        </w:rPr>
        <w:t>2</w:t>
      </w:r>
      <w:r>
        <w:rPr>
          <w:rFonts w:ascii="Lato" w:hAnsi="Lato"/>
          <w:i/>
          <w:iCs/>
          <w:color w:val="333333"/>
          <w:sz w:val="21"/>
          <w:szCs w:val="21"/>
        </w:rPr>
        <w:t>).</w:t>
      </w:r>
      <w:r>
        <w:rPr>
          <w:rFonts w:ascii="Lato" w:hAnsi="Lato"/>
          <w:color w:val="333333"/>
          <w:sz w:val="21"/>
          <w:szCs w:val="21"/>
        </w:rPr>
        <w:t xml:space="preserve"> </w:t>
      </w:r>
    </w:p>
    <w:p w:rsidR="00963899" w:rsidRDefault="00963899" w:rsidP="00963899">
      <w:pPr>
        <w:spacing w:after="0" w:line="300" w:lineRule="atLeast"/>
        <w:rPr>
          <w:rFonts w:ascii="Lato" w:hAnsi="Lato"/>
          <w:color w:val="333333"/>
          <w:sz w:val="21"/>
          <w:szCs w:val="21"/>
        </w:rPr>
      </w:pPr>
      <w:r>
        <w:rPr>
          <w:rFonts w:ascii="Lato" w:hAnsi="Lato"/>
          <w:color w:val="333333"/>
          <w:sz w:val="21"/>
          <w:szCs w:val="21"/>
        </w:rPr>
        <w:lastRenderedPageBreak/>
        <w:t xml:space="preserve">Outre ces propriétés fondamentales, les fonctions de hachage cryptographique possèdent la propriété suivante, appelée « effet avalanche » : la modification d’un bit du message résulte d’une probabilité proche de 50% de changement de chacun des bits du hash. </w:t>
      </w:r>
    </w:p>
    <w:p w:rsidR="00963899" w:rsidRDefault="00963899" w:rsidP="00963899">
      <w:pPr>
        <w:pStyle w:val="Titre3"/>
      </w:pPr>
      <w:r>
        <w:t xml:space="preserve"> Fonctionnement de l’algorithme SHA-1 </w:t>
      </w:r>
    </w:p>
    <w:p w:rsidR="00963899" w:rsidRDefault="00963899" w:rsidP="00963899">
      <w:pPr>
        <w:spacing w:after="240" w:line="300" w:lineRule="atLeast"/>
        <w:rPr>
          <w:rFonts w:ascii="Lato" w:hAnsi="Lato"/>
          <w:color w:val="333333"/>
          <w:sz w:val="21"/>
          <w:szCs w:val="21"/>
        </w:rPr>
      </w:pPr>
      <w:r>
        <w:rPr>
          <w:rFonts w:ascii="Lato" w:hAnsi="Lato"/>
          <w:color w:val="333333"/>
          <w:sz w:val="21"/>
          <w:szCs w:val="21"/>
        </w:rPr>
        <w:t xml:space="preserve">À l’instar du MD5, SHA-1 est construit sur le modèle de </w:t>
      </w:r>
      <w:proofErr w:type="spellStart"/>
      <w:r>
        <w:rPr>
          <w:rFonts w:ascii="Lato" w:hAnsi="Lato"/>
          <w:i/>
          <w:iCs/>
          <w:color w:val="333333"/>
          <w:sz w:val="21"/>
          <w:szCs w:val="21"/>
        </w:rPr>
        <w:t>Merkle</w:t>
      </w:r>
      <w:proofErr w:type="spellEnd"/>
      <w:r>
        <w:rPr>
          <w:rFonts w:ascii="Lato" w:hAnsi="Lato"/>
          <w:i/>
          <w:iCs/>
          <w:color w:val="333333"/>
          <w:sz w:val="21"/>
          <w:szCs w:val="21"/>
        </w:rPr>
        <w:t>–</w:t>
      </w:r>
      <w:proofErr w:type="spellStart"/>
      <w:r>
        <w:rPr>
          <w:rFonts w:ascii="Lato" w:hAnsi="Lato"/>
          <w:i/>
          <w:iCs/>
          <w:color w:val="333333"/>
          <w:sz w:val="21"/>
          <w:szCs w:val="21"/>
        </w:rPr>
        <w:t>Damgård</w:t>
      </w:r>
      <w:proofErr w:type="spellEnd"/>
      <w:r>
        <w:rPr>
          <w:rFonts w:ascii="Lato" w:hAnsi="Lato"/>
          <w:color w:val="333333"/>
          <w:sz w:val="21"/>
          <w:szCs w:val="21"/>
        </w:rPr>
        <w:t xml:space="preserve">. </w:t>
      </w:r>
      <w:r>
        <w:rPr>
          <w:rFonts w:ascii="Lato" w:hAnsi="Lato"/>
          <w:color w:val="333333"/>
          <w:sz w:val="21"/>
          <w:szCs w:val="21"/>
        </w:rPr>
        <w:br/>
        <w:t xml:space="preserve">Le message est soumis à un </w:t>
      </w:r>
      <w:proofErr w:type="spellStart"/>
      <w:r>
        <w:rPr>
          <w:rFonts w:ascii="Lato" w:hAnsi="Lato"/>
          <w:i/>
          <w:iCs/>
          <w:color w:val="333333"/>
          <w:sz w:val="21"/>
          <w:szCs w:val="21"/>
        </w:rPr>
        <w:t>padding</w:t>
      </w:r>
      <w:proofErr w:type="spellEnd"/>
      <w:r>
        <w:rPr>
          <w:rFonts w:ascii="Lato" w:hAnsi="Lato"/>
          <w:color w:val="333333"/>
          <w:sz w:val="21"/>
          <w:szCs w:val="21"/>
        </w:rPr>
        <w:t xml:space="preserve"> cryptographique, afin que la taille du nouveau message soit un multiple de 512 bits (64 octets). Le message est ensuite divisé en blocs de 512 bits :</w:t>
      </w:r>
    </w:p>
    <w:p w:rsidR="00963899" w:rsidRDefault="00963899" w:rsidP="00963899">
      <w:pPr>
        <w:spacing w:after="0" w:line="300" w:lineRule="atLeast"/>
        <w:jc w:val="center"/>
        <w:rPr>
          <w:rFonts w:ascii="Lato" w:hAnsi="Lato"/>
          <w:color w:val="333333"/>
          <w:sz w:val="21"/>
          <w:szCs w:val="21"/>
        </w:rPr>
      </w:pPr>
      <w:r>
        <w:rPr>
          <w:rFonts w:ascii="Lato" w:hAnsi="Lato"/>
          <w:noProof/>
          <w:color w:val="0000FF"/>
          <w:sz w:val="21"/>
          <w:szCs w:val="21"/>
          <w:lang w:eastAsia="fr-FR"/>
        </w:rPr>
        <w:drawing>
          <wp:inline distT="0" distB="0" distL="0" distR="0" wp14:anchorId="3F50AC74" wp14:editId="14F4AB2B">
            <wp:extent cx="3810000" cy="1085850"/>
            <wp:effectExtent l="0" t="0" r="0" b="0"/>
            <wp:docPr id="10" name="Image 10" descr="https://2.bp.blogspot.com/-o7uN_ZHGiIs/VrxZe8gQ1TI/AAAAAAAAAOU/hkOYS9LkKxE/s400/Image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o7uN_ZHGiIs/VrxZe8gQ1TI/AAAAAAAAAOU/hkOYS9LkKxE/s400/Image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085850"/>
                    </a:xfrm>
                    <a:prstGeom prst="rect">
                      <a:avLst/>
                    </a:prstGeom>
                    <a:noFill/>
                    <a:ln>
                      <a:noFill/>
                    </a:ln>
                  </pic:spPr>
                </pic:pic>
              </a:graphicData>
            </a:graphic>
          </wp:inline>
        </w:drawing>
      </w:r>
    </w:p>
    <w:p w:rsidR="00963899" w:rsidRDefault="00963899" w:rsidP="00963899">
      <w:pPr>
        <w:spacing w:line="300" w:lineRule="atLeast"/>
        <w:jc w:val="center"/>
        <w:rPr>
          <w:rFonts w:ascii="Lato" w:hAnsi="Lato"/>
          <w:color w:val="333333"/>
          <w:sz w:val="21"/>
          <w:szCs w:val="21"/>
        </w:rPr>
      </w:pPr>
      <w:r>
        <w:rPr>
          <w:rFonts w:ascii="Lato" w:hAnsi="Lato"/>
          <w:i/>
          <w:iCs/>
          <w:color w:val="333333"/>
          <w:sz w:val="21"/>
          <w:szCs w:val="21"/>
        </w:rPr>
        <w:t xml:space="preserve">Application du </w:t>
      </w:r>
      <w:proofErr w:type="spellStart"/>
      <w:r>
        <w:rPr>
          <w:rFonts w:ascii="Lato" w:hAnsi="Lato"/>
          <w:i/>
          <w:iCs/>
          <w:color w:val="333333"/>
          <w:sz w:val="21"/>
          <w:szCs w:val="21"/>
        </w:rPr>
        <w:t>padding</w:t>
      </w:r>
      <w:proofErr w:type="spellEnd"/>
      <w:r>
        <w:rPr>
          <w:rFonts w:ascii="Lato" w:hAnsi="Lato"/>
          <w:i/>
          <w:iCs/>
          <w:color w:val="333333"/>
          <w:sz w:val="21"/>
          <w:szCs w:val="21"/>
        </w:rPr>
        <w:t xml:space="preserve"> sur le message </w:t>
      </w:r>
    </w:p>
    <w:p w:rsidR="00963899" w:rsidRDefault="00963899" w:rsidP="00963899">
      <w:pPr>
        <w:spacing w:after="240" w:line="300" w:lineRule="atLeast"/>
        <w:rPr>
          <w:rFonts w:ascii="Lato" w:hAnsi="Lato"/>
          <w:color w:val="333333"/>
          <w:sz w:val="21"/>
          <w:szCs w:val="21"/>
        </w:rPr>
      </w:pPr>
      <w:r>
        <w:rPr>
          <w:rFonts w:ascii="Lato" w:hAnsi="Lato"/>
          <w:color w:val="333333"/>
          <w:sz w:val="21"/>
          <w:szCs w:val="21"/>
        </w:rPr>
        <w:br/>
        <w:t xml:space="preserve">L’algorithme SHA-1 dispose d’une fonction de compression interne qui reçoit en entrée un bloc du message et est appliquée 80 fois sur cinq mots de 32 bits. </w:t>
      </w:r>
      <w:r>
        <w:rPr>
          <w:rFonts w:ascii="Lato" w:hAnsi="Lato"/>
          <w:color w:val="333333"/>
          <w:sz w:val="21"/>
          <w:szCs w:val="21"/>
        </w:rPr>
        <w:br/>
        <w:t xml:space="preserve">L’ensemble de ces mots est appelé « état interne » de la fonction de hachage. Cet état est initialisé avec des constantes spécifiques à l’algorithme SHA-1, appelées « vecteur d’initialisation ». </w:t>
      </w:r>
      <w:r>
        <w:rPr>
          <w:rFonts w:ascii="Lato" w:hAnsi="Lato"/>
          <w:color w:val="333333"/>
          <w:sz w:val="21"/>
          <w:szCs w:val="21"/>
        </w:rPr>
        <w:br/>
        <w:t xml:space="preserve">La valeur de l’état interne après application de la fonction de compression est utilisée comme paramètre d’entrée pour le traitement du bloc suivant. </w:t>
      </w:r>
      <w:r>
        <w:rPr>
          <w:rFonts w:ascii="Lato" w:hAnsi="Lato"/>
          <w:color w:val="333333"/>
          <w:sz w:val="21"/>
          <w:szCs w:val="21"/>
        </w:rPr>
        <w:br/>
        <w:t>La valeur finale de l’état interne correspond à la valeur du hash du message.</w:t>
      </w:r>
    </w:p>
    <w:p w:rsidR="00963899" w:rsidRDefault="00963899" w:rsidP="00963899">
      <w:pPr>
        <w:spacing w:after="0" w:line="300" w:lineRule="atLeast"/>
        <w:jc w:val="center"/>
        <w:rPr>
          <w:rFonts w:ascii="Lato" w:hAnsi="Lato"/>
          <w:color w:val="333333"/>
          <w:sz w:val="21"/>
          <w:szCs w:val="21"/>
        </w:rPr>
      </w:pPr>
      <w:r>
        <w:rPr>
          <w:rFonts w:ascii="Lato" w:hAnsi="Lato"/>
          <w:noProof/>
          <w:color w:val="0000FF"/>
          <w:sz w:val="21"/>
          <w:szCs w:val="21"/>
          <w:lang w:eastAsia="fr-FR"/>
        </w:rPr>
        <w:drawing>
          <wp:inline distT="0" distB="0" distL="0" distR="0" wp14:anchorId="09575FF9" wp14:editId="780994A4">
            <wp:extent cx="3810000" cy="2057400"/>
            <wp:effectExtent l="0" t="0" r="0" b="0"/>
            <wp:docPr id="9" name="Image 9" descr="https://4.bp.blogspot.com/-RgNayvohan0/VrxZe3PN_ZI/AAAAAAAAAOg/EiUf8vZKAwc/s400/Image3.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RgNayvohan0/VrxZe3PN_ZI/AAAAAAAAAOg/EiUf8vZKAwc/s400/Image3.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057400"/>
                    </a:xfrm>
                    <a:prstGeom prst="rect">
                      <a:avLst/>
                    </a:prstGeom>
                    <a:noFill/>
                    <a:ln>
                      <a:noFill/>
                    </a:ln>
                  </pic:spPr>
                </pic:pic>
              </a:graphicData>
            </a:graphic>
          </wp:inline>
        </w:drawing>
      </w:r>
    </w:p>
    <w:p w:rsidR="00963899" w:rsidRDefault="00963899" w:rsidP="00963899">
      <w:pPr>
        <w:spacing w:line="300" w:lineRule="atLeast"/>
        <w:jc w:val="center"/>
        <w:rPr>
          <w:rFonts w:ascii="Lato" w:hAnsi="Lato"/>
          <w:color w:val="333333"/>
          <w:sz w:val="21"/>
          <w:szCs w:val="21"/>
        </w:rPr>
      </w:pPr>
      <w:r>
        <w:rPr>
          <w:rFonts w:ascii="Lato" w:hAnsi="Lato"/>
          <w:i/>
          <w:iCs/>
          <w:color w:val="333333"/>
          <w:sz w:val="21"/>
          <w:szCs w:val="21"/>
        </w:rPr>
        <w:t xml:space="preserve">Exemple de calcul du hash d’un message </w:t>
      </w:r>
    </w:p>
    <w:p w:rsidR="00963899" w:rsidRDefault="00963899" w:rsidP="00963899">
      <w:pPr>
        <w:pStyle w:val="Titre3"/>
        <w:rPr>
          <w:rFonts w:ascii="inherit" w:hAnsi="inherit"/>
          <w:color w:val="515E6C"/>
        </w:rPr>
      </w:pPr>
      <w:r>
        <w:t> </w:t>
      </w:r>
    </w:p>
    <w:p w:rsidR="00963899" w:rsidRDefault="00963899" w:rsidP="00963899">
      <w:pPr>
        <w:pStyle w:val="Titre3"/>
      </w:pPr>
      <w:r>
        <w:t xml:space="preserve">Caractéristiques des principales fonctions de hachage </w:t>
      </w:r>
    </w:p>
    <w:p w:rsidR="00963899" w:rsidRDefault="00963899" w:rsidP="00963899">
      <w:pPr>
        <w:spacing w:after="240" w:line="300" w:lineRule="atLeast"/>
        <w:rPr>
          <w:rFonts w:ascii="Lato" w:hAnsi="Lato"/>
          <w:color w:val="333333"/>
          <w:sz w:val="21"/>
          <w:szCs w:val="21"/>
        </w:rPr>
      </w:pPr>
      <w:r>
        <w:rPr>
          <w:rFonts w:ascii="Lato" w:hAnsi="Lato"/>
          <w:color w:val="333333"/>
          <w:sz w:val="21"/>
          <w:szCs w:val="21"/>
        </w:rPr>
        <w:t xml:space="preserve">Selon la fonction de hachage utilisée, la taille du hash, la taille des blocs en entrée et le nombre de passes de la fonction de compression peuvent varier. Ci-dessous les caractéristiques de quelques fonctions de </w:t>
      </w:r>
      <w:proofErr w:type="gramStart"/>
      <w:r>
        <w:rPr>
          <w:rFonts w:ascii="Lato" w:hAnsi="Lato"/>
          <w:color w:val="333333"/>
          <w:sz w:val="21"/>
          <w:szCs w:val="21"/>
        </w:rPr>
        <w:t>hachage</w:t>
      </w:r>
      <w:bookmarkStart w:id="1" w:name="_msoanchor_1"/>
      <w:bookmarkEnd w:id="1"/>
      <w:r>
        <w:rPr>
          <w:rFonts w:ascii="Lato" w:hAnsi="Lato"/>
          <w:color w:val="333333"/>
          <w:sz w:val="21"/>
          <w:szCs w:val="21"/>
        </w:rPr>
        <w:t>:</w:t>
      </w:r>
      <w:proofErr w:type="gramEnd"/>
    </w:p>
    <w:tbl>
      <w:tblPr>
        <w:tblW w:w="777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8"/>
        <w:gridCol w:w="1939"/>
        <w:gridCol w:w="1849"/>
        <w:gridCol w:w="2044"/>
      </w:tblGrid>
      <w:tr w:rsidR="00963899" w:rsidTr="00E64D34">
        <w:trPr>
          <w:tblCellSpacing w:w="0" w:type="dxa"/>
          <w:jc w:val="center"/>
        </w:trPr>
        <w:tc>
          <w:tcPr>
            <w:tcW w:w="193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after="0" w:line="300" w:lineRule="atLeast"/>
              <w:jc w:val="center"/>
              <w:rPr>
                <w:rFonts w:ascii="Lato" w:hAnsi="Lato"/>
                <w:color w:val="333333"/>
                <w:sz w:val="21"/>
                <w:szCs w:val="21"/>
              </w:rPr>
            </w:pPr>
            <w:r>
              <w:rPr>
                <w:rFonts w:ascii="Lato" w:hAnsi="Lato"/>
                <w:b/>
                <w:bCs/>
                <w:color w:val="333333"/>
                <w:sz w:val="21"/>
                <w:szCs w:val="21"/>
              </w:rPr>
              <w:lastRenderedPageBreak/>
              <w:t>Nom</w:t>
            </w:r>
            <w:r>
              <w:rPr>
                <w:rFonts w:ascii="Lato" w:hAnsi="Lato"/>
                <w:color w:val="333333"/>
                <w:sz w:val="21"/>
                <w:szCs w:val="21"/>
              </w:rPr>
              <w:t xml:space="preserve"> </w:t>
            </w:r>
          </w:p>
        </w:tc>
        <w:tc>
          <w:tcPr>
            <w:tcW w:w="193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b/>
                <w:bCs/>
                <w:color w:val="333333"/>
                <w:sz w:val="21"/>
                <w:szCs w:val="21"/>
              </w:rPr>
              <w:t>Taille du hash</w:t>
            </w:r>
            <w:r>
              <w:rPr>
                <w:rFonts w:ascii="Lato" w:hAnsi="Lato"/>
                <w:color w:val="333333"/>
                <w:sz w:val="21"/>
                <w:szCs w:val="21"/>
              </w:rPr>
              <w:t xml:space="preserve"> </w:t>
            </w:r>
          </w:p>
        </w:tc>
        <w:tc>
          <w:tcPr>
            <w:tcW w:w="184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b/>
                <w:bCs/>
                <w:color w:val="333333"/>
                <w:sz w:val="21"/>
                <w:szCs w:val="21"/>
              </w:rPr>
              <w:t>Taille des blocs</w:t>
            </w:r>
            <w:r>
              <w:rPr>
                <w:rFonts w:ascii="Lato" w:hAnsi="Lato"/>
                <w:color w:val="333333"/>
                <w:sz w:val="21"/>
                <w:szCs w:val="21"/>
              </w:rPr>
              <w:t xml:space="preserve"> </w:t>
            </w:r>
          </w:p>
        </w:tc>
        <w:tc>
          <w:tcPr>
            <w:tcW w:w="2040"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b/>
                <w:bCs/>
                <w:color w:val="333333"/>
                <w:sz w:val="21"/>
                <w:szCs w:val="21"/>
              </w:rPr>
              <w:t>Nombre de passes</w:t>
            </w:r>
            <w:r>
              <w:rPr>
                <w:rFonts w:ascii="Lato" w:hAnsi="Lato"/>
                <w:color w:val="333333"/>
                <w:sz w:val="21"/>
                <w:szCs w:val="21"/>
              </w:rPr>
              <w:t xml:space="preserve"> </w:t>
            </w:r>
          </w:p>
        </w:tc>
      </w:tr>
      <w:tr w:rsidR="00963899" w:rsidTr="00E64D34">
        <w:trPr>
          <w:tblCellSpacing w:w="0" w:type="dxa"/>
          <w:jc w:val="center"/>
        </w:trPr>
        <w:tc>
          <w:tcPr>
            <w:tcW w:w="193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MD5 </w:t>
            </w:r>
          </w:p>
        </w:tc>
        <w:tc>
          <w:tcPr>
            <w:tcW w:w="193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128 bits </w:t>
            </w:r>
          </w:p>
        </w:tc>
        <w:tc>
          <w:tcPr>
            <w:tcW w:w="184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512 bits </w:t>
            </w:r>
          </w:p>
        </w:tc>
        <w:tc>
          <w:tcPr>
            <w:tcW w:w="2040"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64 </w:t>
            </w:r>
          </w:p>
        </w:tc>
      </w:tr>
      <w:tr w:rsidR="00963899" w:rsidTr="00E64D34">
        <w:trPr>
          <w:tblCellSpacing w:w="0" w:type="dxa"/>
          <w:jc w:val="center"/>
        </w:trPr>
        <w:tc>
          <w:tcPr>
            <w:tcW w:w="193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SHA-1 </w:t>
            </w:r>
          </w:p>
        </w:tc>
        <w:tc>
          <w:tcPr>
            <w:tcW w:w="193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160 bits </w:t>
            </w:r>
          </w:p>
        </w:tc>
        <w:tc>
          <w:tcPr>
            <w:tcW w:w="184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512 bits </w:t>
            </w:r>
          </w:p>
        </w:tc>
        <w:tc>
          <w:tcPr>
            <w:tcW w:w="2040"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80 </w:t>
            </w:r>
          </w:p>
        </w:tc>
      </w:tr>
      <w:tr w:rsidR="00963899" w:rsidTr="00E64D34">
        <w:trPr>
          <w:tblCellSpacing w:w="0" w:type="dxa"/>
          <w:jc w:val="center"/>
        </w:trPr>
        <w:tc>
          <w:tcPr>
            <w:tcW w:w="193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SHA-256 </w:t>
            </w:r>
          </w:p>
        </w:tc>
        <w:tc>
          <w:tcPr>
            <w:tcW w:w="193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256 bits </w:t>
            </w:r>
          </w:p>
        </w:tc>
        <w:tc>
          <w:tcPr>
            <w:tcW w:w="184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512 bits </w:t>
            </w:r>
          </w:p>
        </w:tc>
        <w:tc>
          <w:tcPr>
            <w:tcW w:w="2040"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64 </w:t>
            </w:r>
          </w:p>
        </w:tc>
      </w:tr>
      <w:tr w:rsidR="00963899" w:rsidTr="00E64D34">
        <w:trPr>
          <w:tblCellSpacing w:w="0" w:type="dxa"/>
          <w:jc w:val="center"/>
        </w:trPr>
        <w:tc>
          <w:tcPr>
            <w:tcW w:w="193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SHA-512 </w:t>
            </w:r>
          </w:p>
        </w:tc>
        <w:tc>
          <w:tcPr>
            <w:tcW w:w="193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512 bits </w:t>
            </w:r>
          </w:p>
        </w:tc>
        <w:tc>
          <w:tcPr>
            <w:tcW w:w="184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1024 bits </w:t>
            </w:r>
          </w:p>
        </w:tc>
        <w:tc>
          <w:tcPr>
            <w:tcW w:w="2040"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80 </w:t>
            </w:r>
          </w:p>
        </w:tc>
      </w:tr>
    </w:tbl>
    <w:p w:rsidR="00963899" w:rsidRDefault="00963899" w:rsidP="00963899">
      <w:pPr>
        <w:spacing w:line="300" w:lineRule="atLeast"/>
        <w:jc w:val="center"/>
        <w:rPr>
          <w:rFonts w:ascii="Lato" w:hAnsi="Lato"/>
          <w:color w:val="333333"/>
          <w:sz w:val="21"/>
          <w:szCs w:val="21"/>
        </w:rPr>
      </w:pPr>
      <w:r>
        <w:rPr>
          <w:rFonts w:ascii="Lato" w:hAnsi="Lato"/>
          <w:i/>
          <w:iCs/>
          <w:color w:val="333333"/>
          <w:sz w:val="21"/>
          <w:szCs w:val="21"/>
        </w:rPr>
        <w:t>Caractéristiques des principales fonctions de hachage </w:t>
      </w:r>
    </w:p>
    <w:p w:rsidR="00963899" w:rsidRDefault="00963899" w:rsidP="00963899">
      <w:pPr>
        <w:spacing w:line="300" w:lineRule="atLeast"/>
        <w:rPr>
          <w:rFonts w:ascii="Lato" w:hAnsi="Lato"/>
          <w:color w:val="333333"/>
          <w:sz w:val="21"/>
          <w:szCs w:val="21"/>
        </w:rPr>
      </w:pPr>
      <w:r>
        <w:rPr>
          <w:rFonts w:ascii="Lato" w:hAnsi="Lato"/>
          <w:color w:val="333333"/>
          <w:sz w:val="21"/>
          <w:szCs w:val="21"/>
        </w:rPr>
        <w:br/>
      </w:r>
      <w:r>
        <w:rPr>
          <w:rFonts w:ascii="Lato" w:hAnsi="Lato"/>
          <w:color w:val="333333"/>
          <w:sz w:val="21"/>
          <w:szCs w:val="21"/>
        </w:rPr>
        <w:br/>
        <w:t xml:space="preserve">Le </w:t>
      </w:r>
      <w:r>
        <w:rPr>
          <w:rFonts w:ascii="Lato" w:hAnsi="Lato"/>
          <w:i/>
          <w:iCs/>
          <w:color w:val="333333"/>
          <w:sz w:val="21"/>
          <w:szCs w:val="21"/>
        </w:rPr>
        <w:t>National Institute of Standards and Technologies</w:t>
      </w:r>
      <w:r>
        <w:rPr>
          <w:rFonts w:ascii="Lato" w:hAnsi="Lato"/>
          <w:color w:val="333333"/>
          <w:sz w:val="21"/>
          <w:szCs w:val="21"/>
        </w:rPr>
        <w:t xml:space="preserve"> (NIST) a accepté en 2012 l’algorithme </w:t>
      </w:r>
      <w:proofErr w:type="spellStart"/>
      <w:r>
        <w:rPr>
          <w:rFonts w:ascii="Lato" w:hAnsi="Lato"/>
          <w:color w:val="333333"/>
          <w:sz w:val="21"/>
          <w:szCs w:val="21"/>
        </w:rPr>
        <w:t>Keccak</w:t>
      </w:r>
      <w:proofErr w:type="spellEnd"/>
      <w:r>
        <w:rPr>
          <w:rFonts w:ascii="Lato" w:hAnsi="Lato"/>
          <w:color w:val="333333"/>
          <w:sz w:val="21"/>
          <w:szCs w:val="21"/>
        </w:rPr>
        <w:t xml:space="preserve"> pour le standard SHA-3. </w:t>
      </w:r>
      <w:proofErr w:type="spellStart"/>
      <w:r>
        <w:rPr>
          <w:rFonts w:ascii="Lato" w:hAnsi="Lato"/>
          <w:color w:val="333333"/>
          <w:sz w:val="21"/>
          <w:szCs w:val="21"/>
        </w:rPr>
        <w:t>Keccak</w:t>
      </w:r>
      <w:proofErr w:type="spellEnd"/>
      <w:r>
        <w:rPr>
          <w:rFonts w:ascii="Lato" w:hAnsi="Lato"/>
          <w:color w:val="333333"/>
          <w:sz w:val="21"/>
          <w:szCs w:val="21"/>
        </w:rPr>
        <w:t xml:space="preserve"> utilise des « fonctions éponge », lui permettant de produire un hash de taille variable. </w:t>
      </w:r>
      <w:r>
        <w:rPr>
          <w:rFonts w:ascii="Lato" w:hAnsi="Lato"/>
          <w:color w:val="333333"/>
          <w:sz w:val="21"/>
          <w:szCs w:val="21"/>
        </w:rPr>
        <w:br/>
        <w:t xml:space="preserve">Il a été standardisé en plusieurs versions : </w:t>
      </w:r>
    </w:p>
    <w:p w:rsidR="00963899" w:rsidRDefault="00963899" w:rsidP="00963899">
      <w:pPr>
        <w:numPr>
          <w:ilvl w:val="0"/>
          <w:numId w:val="4"/>
        </w:numPr>
        <w:spacing w:before="100" w:beforeAutospacing="1" w:after="100" w:afterAutospacing="1" w:line="300" w:lineRule="atLeast"/>
        <w:rPr>
          <w:rFonts w:ascii="Lato" w:hAnsi="Lato"/>
          <w:color w:val="333333"/>
          <w:sz w:val="21"/>
          <w:szCs w:val="21"/>
        </w:rPr>
      </w:pPr>
      <w:r>
        <w:rPr>
          <w:rFonts w:ascii="Lato" w:hAnsi="Lato"/>
          <w:color w:val="333333"/>
          <w:sz w:val="21"/>
          <w:szCs w:val="21"/>
        </w:rPr>
        <w:t xml:space="preserve">SHA3-224, SHA3-256, SHA3-384 et SHA3-512 : hash de taille fixe </w:t>
      </w:r>
    </w:p>
    <w:p w:rsidR="00963899" w:rsidRDefault="00963899" w:rsidP="00963899">
      <w:pPr>
        <w:numPr>
          <w:ilvl w:val="0"/>
          <w:numId w:val="5"/>
        </w:numPr>
        <w:spacing w:before="100" w:beforeAutospacing="1" w:after="100" w:afterAutospacing="1" w:line="300" w:lineRule="atLeast"/>
        <w:rPr>
          <w:rFonts w:ascii="Lato" w:hAnsi="Lato"/>
          <w:color w:val="333333"/>
          <w:sz w:val="21"/>
          <w:szCs w:val="21"/>
        </w:rPr>
      </w:pPr>
      <w:r>
        <w:rPr>
          <w:rFonts w:ascii="Lato" w:hAnsi="Lato"/>
          <w:color w:val="333333"/>
          <w:sz w:val="21"/>
          <w:szCs w:val="21"/>
        </w:rPr>
        <w:t xml:space="preserve">SHAKE256 et SHAKE512 : hash de taille variable. </w:t>
      </w:r>
    </w:p>
    <w:p w:rsidR="00963899" w:rsidRDefault="00963899" w:rsidP="00963899">
      <w:pPr>
        <w:pStyle w:val="Titre3"/>
        <w:rPr>
          <w:rFonts w:ascii="inherit" w:hAnsi="inherit"/>
          <w:color w:val="515E6C"/>
        </w:rPr>
      </w:pPr>
      <w:r>
        <w:t> </w:t>
      </w:r>
    </w:p>
    <w:p w:rsidR="00963899" w:rsidRDefault="00963899" w:rsidP="00963899">
      <w:pPr>
        <w:pStyle w:val="Titre3"/>
      </w:pPr>
      <w:r>
        <w:t xml:space="preserve">Principaux vecteurs d’attaques contre les fonctions de hachage </w:t>
      </w:r>
    </w:p>
    <w:p w:rsidR="00963899" w:rsidRDefault="00963899" w:rsidP="00963899">
      <w:pPr>
        <w:spacing w:line="300" w:lineRule="atLeast"/>
        <w:rPr>
          <w:rFonts w:ascii="Lato" w:hAnsi="Lato"/>
          <w:color w:val="333333"/>
          <w:sz w:val="21"/>
          <w:szCs w:val="21"/>
        </w:rPr>
      </w:pPr>
      <w:r>
        <w:rPr>
          <w:rFonts w:ascii="Lato" w:hAnsi="Lato"/>
          <w:color w:val="333333"/>
          <w:sz w:val="21"/>
          <w:szCs w:val="21"/>
        </w:rPr>
        <w:t xml:space="preserve">La sécurité des fonctions de hachage peut être attaquée sur plusieurs plans. Pour les besoins de cette partie, nous considérerons une fonction de hachage lambda produisant un hash de N bits. </w:t>
      </w:r>
    </w:p>
    <w:p w:rsidR="00963899" w:rsidRDefault="00963899" w:rsidP="00963899">
      <w:pPr>
        <w:pStyle w:val="Titre4"/>
        <w:rPr>
          <w:rFonts w:ascii="inherit" w:hAnsi="inherit"/>
          <w:color w:val="515E6C"/>
          <w:sz w:val="24"/>
          <w:szCs w:val="24"/>
        </w:rPr>
      </w:pPr>
      <w:r>
        <w:t> </w:t>
      </w:r>
    </w:p>
    <w:p w:rsidR="00963899" w:rsidRDefault="00963899" w:rsidP="00963899">
      <w:pPr>
        <w:pStyle w:val="Titre4"/>
      </w:pPr>
      <w:r>
        <w:t xml:space="preserve">1) Attaque sur la </w:t>
      </w:r>
      <w:proofErr w:type="spellStart"/>
      <w:r>
        <w:t>préimage</w:t>
      </w:r>
      <w:proofErr w:type="spellEnd"/>
      <w:r>
        <w:t xml:space="preserve"> </w:t>
      </w:r>
    </w:p>
    <w:p w:rsidR="00963899" w:rsidRDefault="00963899" w:rsidP="00963899">
      <w:pPr>
        <w:spacing w:line="300" w:lineRule="atLeast"/>
        <w:rPr>
          <w:rFonts w:ascii="Lato" w:hAnsi="Lato"/>
          <w:color w:val="333333"/>
          <w:sz w:val="21"/>
          <w:szCs w:val="21"/>
        </w:rPr>
      </w:pPr>
      <w:r>
        <w:rPr>
          <w:rFonts w:ascii="Lato" w:hAnsi="Lato"/>
          <w:color w:val="333333"/>
          <w:sz w:val="21"/>
          <w:szCs w:val="21"/>
        </w:rPr>
        <w:t xml:space="preserve">Les chercheurs tentent d’une part de réaliser des attaques sur la </w:t>
      </w:r>
      <w:proofErr w:type="spellStart"/>
      <w:r>
        <w:rPr>
          <w:rFonts w:ascii="Lato" w:hAnsi="Lato"/>
          <w:color w:val="333333"/>
          <w:sz w:val="21"/>
          <w:szCs w:val="21"/>
        </w:rPr>
        <w:t>préimage</w:t>
      </w:r>
      <w:proofErr w:type="spellEnd"/>
      <w:r>
        <w:rPr>
          <w:rFonts w:ascii="Lato" w:hAnsi="Lato"/>
          <w:color w:val="333333"/>
          <w:sz w:val="21"/>
          <w:szCs w:val="21"/>
        </w:rPr>
        <w:t xml:space="preserve"> d’un hash, à savoir retrouver le message </w:t>
      </w:r>
      <w:r>
        <w:rPr>
          <w:rFonts w:ascii="Lato" w:hAnsi="Lato"/>
          <w:i/>
          <w:iCs/>
          <w:color w:val="333333"/>
          <w:sz w:val="21"/>
          <w:szCs w:val="21"/>
        </w:rPr>
        <w:t>M</w:t>
      </w:r>
      <w:r>
        <w:rPr>
          <w:rFonts w:ascii="Lato" w:hAnsi="Lato"/>
          <w:color w:val="333333"/>
          <w:sz w:val="21"/>
          <w:szCs w:val="21"/>
        </w:rPr>
        <w:t xml:space="preserve"> à l’origine d’un hash </w:t>
      </w:r>
      <w:r>
        <w:rPr>
          <w:rFonts w:ascii="Lato" w:hAnsi="Lato"/>
          <w:i/>
          <w:iCs/>
          <w:color w:val="333333"/>
          <w:sz w:val="21"/>
          <w:szCs w:val="21"/>
        </w:rPr>
        <w:t>H</w:t>
      </w:r>
      <w:r>
        <w:rPr>
          <w:rFonts w:ascii="Lato" w:hAnsi="Lato"/>
          <w:color w:val="333333"/>
          <w:sz w:val="21"/>
          <w:szCs w:val="21"/>
        </w:rPr>
        <w:t xml:space="preserve"> donné. Les tentatives triviales fonctionnent grâce à des attaques par force brute, et nécessitent donc 2</w:t>
      </w:r>
      <w:r>
        <w:rPr>
          <w:rFonts w:ascii="Lato" w:hAnsi="Lato"/>
          <w:color w:val="333333"/>
          <w:sz w:val="21"/>
          <w:szCs w:val="21"/>
          <w:vertAlign w:val="superscript"/>
        </w:rPr>
        <w:t>N</w:t>
      </w:r>
      <w:r>
        <w:rPr>
          <w:rFonts w:ascii="Lato" w:hAnsi="Lato"/>
          <w:color w:val="333333"/>
          <w:sz w:val="21"/>
          <w:szCs w:val="21"/>
        </w:rPr>
        <w:t xml:space="preserve"> calculs de hash. </w:t>
      </w:r>
      <w:r>
        <w:rPr>
          <w:rFonts w:ascii="Lato" w:hAnsi="Lato"/>
          <w:color w:val="333333"/>
          <w:sz w:val="21"/>
          <w:szCs w:val="21"/>
        </w:rPr>
        <w:br/>
        <w:t xml:space="preserve">Les recherches s’orientent vers l’analyse de l’algorithme de hash pour réduire ce nombre élevé. Cependant, les avancées ne sont pas suffisantes pour mettre en pratique les attaques théoriques découvertes. </w:t>
      </w:r>
    </w:p>
    <w:p w:rsidR="00963899" w:rsidRDefault="00963899" w:rsidP="00963899">
      <w:pPr>
        <w:pStyle w:val="Titre4"/>
        <w:rPr>
          <w:rFonts w:ascii="inherit" w:hAnsi="inherit"/>
          <w:color w:val="515E6C"/>
          <w:sz w:val="24"/>
          <w:szCs w:val="24"/>
        </w:rPr>
      </w:pPr>
      <w:r>
        <w:t> </w:t>
      </w:r>
    </w:p>
    <w:p w:rsidR="00963899" w:rsidRDefault="00963899" w:rsidP="00963899">
      <w:pPr>
        <w:pStyle w:val="Titre4"/>
      </w:pPr>
      <w:r>
        <w:t xml:space="preserve">2) Attaque sur les collisions </w:t>
      </w:r>
    </w:p>
    <w:p w:rsidR="00963899" w:rsidRDefault="00963899" w:rsidP="00963899">
      <w:pPr>
        <w:spacing w:after="240" w:line="300" w:lineRule="atLeast"/>
        <w:rPr>
          <w:rFonts w:ascii="Lato" w:hAnsi="Lato"/>
          <w:color w:val="333333"/>
          <w:sz w:val="21"/>
          <w:szCs w:val="21"/>
        </w:rPr>
      </w:pPr>
      <w:r>
        <w:rPr>
          <w:rFonts w:ascii="Lato" w:hAnsi="Lato"/>
          <w:color w:val="333333"/>
          <w:sz w:val="21"/>
          <w:szCs w:val="21"/>
        </w:rPr>
        <w:t xml:space="preserve">Un petit exercice de pensée connu est proposé au lecteur. </w:t>
      </w:r>
      <w:r>
        <w:rPr>
          <w:rFonts w:ascii="Lato" w:hAnsi="Lato"/>
          <w:color w:val="333333"/>
          <w:sz w:val="21"/>
          <w:szCs w:val="21"/>
        </w:rPr>
        <w:br/>
        <w:t xml:space="preserve">Un professeur s’adresse à ses 23 élèves et leur pose la question suivante : « Quelle est la probabilité pour que deux des élèves de la classe soient nés le même jour ? ». La réponse est surprenante puisque que cette probabilité est légèrement supérieure à une chance sur deux. </w:t>
      </w:r>
      <w:r>
        <w:rPr>
          <w:rFonts w:ascii="Lato" w:hAnsi="Lato"/>
          <w:color w:val="333333"/>
          <w:sz w:val="21"/>
          <w:szCs w:val="21"/>
        </w:rPr>
        <w:br/>
        <w:t>La formule et le graphe suivants montrent l’évolution de cette probabilité en fonction du nombre d’élèves :</w:t>
      </w:r>
    </w:p>
    <w:p w:rsidR="00963899" w:rsidRDefault="00963899" w:rsidP="00963899">
      <w:pPr>
        <w:spacing w:after="0" w:line="300" w:lineRule="atLeast"/>
        <w:jc w:val="center"/>
        <w:rPr>
          <w:rFonts w:ascii="Lato" w:hAnsi="Lato"/>
          <w:color w:val="333333"/>
          <w:sz w:val="21"/>
          <w:szCs w:val="21"/>
        </w:rPr>
      </w:pPr>
      <w:r>
        <w:rPr>
          <w:rFonts w:ascii="Lato" w:hAnsi="Lato"/>
          <w:noProof/>
          <w:color w:val="0000FF"/>
          <w:sz w:val="21"/>
          <w:szCs w:val="21"/>
          <w:lang w:eastAsia="fr-FR"/>
        </w:rPr>
        <w:lastRenderedPageBreak/>
        <w:drawing>
          <wp:inline distT="0" distB="0" distL="0" distR="0" wp14:anchorId="229858D5" wp14:editId="4994A398">
            <wp:extent cx="2571750" cy="2619375"/>
            <wp:effectExtent l="0" t="0" r="0" b="9525"/>
            <wp:docPr id="8" name="Image 8" descr="https://2.bp.blogspot.com/-IpKaazt1ucI/VrxZfMtUU7I/AAAAAAAAAOc/N-_mTi2a_1s/s400/Image4.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2.bp.blogspot.com/-IpKaazt1ucI/VrxZfMtUU7I/AAAAAAAAAOc/N-_mTi2a_1s/s400/Image4.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2619375"/>
                    </a:xfrm>
                    <a:prstGeom prst="rect">
                      <a:avLst/>
                    </a:prstGeom>
                    <a:noFill/>
                    <a:ln>
                      <a:noFill/>
                    </a:ln>
                  </pic:spPr>
                </pic:pic>
              </a:graphicData>
            </a:graphic>
          </wp:inline>
        </w:drawing>
      </w:r>
    </w:p>
    <w:p w:rsidR="00963899" w:rsidRDefault="00963899" w:rsidP="00963899">
      <w:pPr>
        <w:spacing w:line="300" w:lineRule="atLeast"/>
        <w:jc w:val="center"/>
        <w:rPr>
          <w:rFonts w:ascii="Lato" w:hAnsi="Lato"/>
          <w:color w:val="333333"/>
          <w:sz w:val="21"/>
          <w:szCs w:val="21"/>
        </w:rPr>
      </w:pPr>
      <w:r>
        <w:rPr>
          <w:rFonts w:ascii="Lato" w:hAnsi="Lato"/>
          <w:i/>
          <w:iCs/>
          <w:color w:val="333333"/>
          <w:sz w:val="21"/>
          <w:szCs w:val="21"/>
        </w:rPr>
        <w:t>Probabilité que deux élèves soient nés le même jour (source : Wolfram Alpha) </w:t>
      </w:r>
    </w:p>
    <w:p w:rsidR="00963899" w:rsidRDefault="00963899" w:rsidP="00963899">
      <w:pPr>
        <w:spacing w:after="240" w:line="300" w:lineRule="atLeast"/>
        <w:rPr>
          <w:rFonts w:ascii="Lato" w:hAnsi="Lato"/>
          <w:color w:val="333333"/>
          <w:sz w:val="21"/>
          <w:szCs w:val="21"/>
        </w:rPr>
      </w:pPr>
      <w:r>
        <w:rPr>
          <w:rFonts w:ascii="Lato" w:hAnsi="Lato"/>
          <w:color w:val="333333"/>
          <w:sz w:val="21"/>
          <w:szCs w:val="21"/>
        </w:rPr>
        <w:br/>
        <w:t xml:space="preserve">La recherche de collisions est similaire à ce problème. En effet, les chercheurs tentent de trouver deux messages différents dont le hash est identique. Les mêmes formules s’appliquent, en remplaçant 365 par le nombre de </w:t>
      </w:r>
      <w:proofErr w:type="spellStart"/>
      <w:r>
        <w:rPr>
          <w:rFonts w:ascii="Lato" w:hAnsi="Lato"/>
          <w:color w:val="333333"/>
          <w:sz w:val="21"/>
          <w:szCs w:val="21"/>
        </w:rPr>
        <w:t>hashes</w:t>
      </w:r>
      <w:proofErr w:type="spellEnd"/>
      <w:r>
        <w:rPr>
          <w:rFonts w:ascii="Lato" w:hAnsi="Lato"/>
          <w:color w:val="333333"/>
          <w:sz w:val="21"/>
          <w:szCs w:val="21"/>
        </w:rPr>
        <w:t xml:space="preserve"> possibles (soit 2</w:t>
      </w:r>
      <w:r>
        <w:rPr>
          <w:rFonts w:ascii="Lato" w:hAnsi="Lato"/>
          <w:color w:val="333333"/>
          <w:sz w:val="21"/>
          <w:szCs w:val="21"/>
          <w:vertAlign w:val="superscript"/>
        </w:rPr>
        <w:t>N</w:t>
      </w:r>
      <w:r>
        <w:rPr>
          <w:rFonts w:ascii="Lato" w:hAnsi="Lato"/>
          <w:color w:val="333333"/>
          <w:sz w:val="21"/>
          <w:szCs w:val="21"/>
        </w:rPr>
        <w:t xml:space="preserve">), et </w:t>
      </w:r>
      <w:r>
        <w:rPr>
          <w:rFonts w:ascii="Lato" w:hAnsi="Lato"/>
          <w:i/>
          <w:iCs/>
          <w:color w:val="333333"/>
          <w:sz w:val="21"/>
          <w:szCs w:val="21"/>
        </w:rPr>
        <w:t>n</w:t>
      </w:r>
      <w:r>
        <w:rPr>
          <w:rFonts w:ascii="Lato" w:hAnsi="Lato"/>
          <w:color w:val="333333"/>
          <w:sz w:val="21"/>
          <w:szCs w:val="21"/>
        </w:rPr>
        <w:t xml:space="preserve"> par le nombre de </w:t>
      </w:r>
      <w:proofErr w:type="spellStart"/>
      <w:r>
        <w:rPr>
          <w:rFonts w:ascii="Lato" w:hAnsi="Lato"/>
          <w:color w:val="333333"/>
          <w:sz w:val="21"/>
          <w:szCs w:val="21"/>
        </w:rPr>
        <w:t>hashes</w:t>
      </w:r>
      <w:proofErr w:type="spellEnd"/>
      <w:r>
        <w:rPr>
          <w:rFonts w:ascii="Lato" w:hAnsi="Lato"/>
          <w:color w:val="333333"/>
          <w:sz w:val="21"/>
          <w:szCs w:val="21"/>
        </w:rPr>
        <w:t xml:space="preserve"> à calculer pour atteindre une probabilité donnée. </w:t>
      </w:r>
      <w:r>
        <w:rPr>
          <w:rFonts w:ascii="Lato" w:hAnsi="Lato"/>
          <w:color w:val="333333"/>
          <w:sz w:val="21"/>
          <w:szCs w:val="21"/>
        </w:rPr>
        <w:br/>
        <w:t xml:space="preserve">Les détails du calcul et des simplifications sont épargnés aux lecteurs qui retiendront le </w:t>
      </w:r>
      <w:r>
        <w:rPr>
          <w:rFonts w:ascii="Lato" w:hAnsi="Lato"/>
          <w:b/>
          <w:bCs/>
          <w:color w:val="333333"/>
          <w:sz w:val="21"/>
          <w:szCs w:val="21"/>
        </w:rPr>
        <w:t>nombre 2</w:t>
      </w:r>
      <w:r>
        <w:rPr>
          <w:rFonts w:ascii="Lato" w:hAnsi="Lato"/>
          <w:b/>
          <w:bCs/>
          <w:color w:val="333333"/>
          <w:sz w:val="21"/>
          <w:szCs w:val="21"/>
          <w:vertAlign w:val="superscript"/>
        </w:rPr>
        <w:t>N/2</w:t>
      </w:r>
      <w:r>
        <w:rPr>
          <w:rFonts w:ascii="Lato" w:hAnsi="Lato"/>
          <w:color w:val="333333"/>
          <w:sz w:val="21"/>
          <w:szCs w:val="21"/>
        </w:rPr>
        <w:t>, borne maximale inhérente à toutes les fonctions de hachage :</w:t>
      </w:r>
    </w:p>
    <w:p w:rsidR="00963899" w:rsidRDefault="00963899" w:rsidP="00963899">
      <w:pPr>
        <w:spacing w:after="0" w:line="300" w:lineRule="atLeast"/>
        <w:jc w:val="center"/>
        <w:rPr>
          <w:rFonts w:ascii="Lato" w:hAnsi="Lato"/>
          <w:color w:val="333333"/>
          <w:sz w:val="21"/>
          <w:szCs w:val="21"/>
        </w:rPr>
      </w:pPr>
      <w:r>
        <w:rPr>
          <w:rFonts w:ascii="Lato" w:hAnsi="Lato"/>
          <w:noProof/>
          <w:color w:val="0000FF"/>
          <w:sz w:val="21"/>
          <w:szCs w:val="21"/>
          <w:lang w:eastAsia="fr-FR"/>
        </w:rPr>
        <w:drawing>
          <wp:inline distT="0" distB="0" distL="0" distR="0" wp14:anchorId="6654CB3E" wp14:editId="5E05FF3C">
            <wp:extent cx="2676525" cy="1343025"/>
            <wp:effectExtent l="0" t="0" r="9525" b="9525"/>
            <wp:docPr id="7" name="Image 7" descr="https://2.bp.blogspot.com/-e-UQVxKTubs/VrxZfV-g3CI/AAAAAAAAAOo/lLt2l8td72c/s400/Image5.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e-UQVxKTubs/VrxZfV-g3CI/AAAAAAAAAOo/lLt2l8td72c/s400/Image5.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1343025"/>
                    </a:xfrm>
                    <a:prstGeom prst="rect">
                      <a:avLst/>
                    </a:prstGeom>
                    <a:noFill/>
                    <a:ln>
                      <a:noFill/>
                    </a:ln>
                  </pic:spPr>
                </pic:pic>
              </a:graphicData>
            </a:graphic>
          </wp:inline>
        </w:drawing>
      </w:r>
    </w:p>
    <w:p w:rsidR="00963899" w:rsidRDefault="00963899" w:rsidP="00963899">
      <w:pPr>
        <w:spacing w:line="300" w:lineRule="atLeast"/>
        <w:jc w:val="center"/>
        <w:rPr>
          <w:rFonts w:ascii="Lato" w:hAnsi="Lato"/>
          <w:color w:val="333333"/>
          <w:sz w:val="21"/>
          <w:szCs w:val="21"/>
        </w:rPr>
      </w:pPr>
      <w:r>
        <w:rPr>
          <w:rFonts w:ascii="Lato" w:hAnsi="Lato"/>
          <w:i/>
          <w:iCs/>
          <w:color w:val="333333"/>
          <w:sz w:val="21"/>
          <w:szCs w:val="21"/>
        </w:rPr>
        <w:t xml:space="preserve">Approximation du nombre de </w:t>
      </w:r>
      <w:proofErr w:type="spellStart"/>
      <w:r>
        <w:rPr>
          <w:rFonts w:ascii="Lato" w:hAnsi="Lato"/>
          <w:i/>
          <w:iCs/>
          <w:color w:val="333333"/>
          <w:sz w:val="21"/>
          <w:szCs w:val="21"/>
        </w:rPr>
        <w:t>hashes</w:t>
      </w:r>
      <w:proofErr w:type="spellEnd"/>
      <w:r>
        <w:rPr>
          <w:rFonts w:ascii="Lato" w:hAnsi="Lato"/>
          <w:i/>
          <w:iCs/>
          <w:color w:val="333333"/>
          <w:sz w:val="21"/>
          <w:szCs w:val="21"/>
        </w:rPr>
        <w:t xml:space="preserve"> à calculer à 2</w:t>
      </w:r>
      <w:r>
        <w:rPr>
          <w:rFonts w:ascii="Lato" w:hAnsi="Lato"/>
          <w:i/>
          <w:iCs/>
          <w:color w:val="333333"/>
          <w:sz w:val="21"/>
          <w:szCs w:val="21"/>
          <w:vertAlign w:val="superscript"/>
        </w:rPr>
        <w:t>N/2</w:t>
      </w:r>
    </w:p>
    <w:p w:rsidR="00963899" w:rsidRDefault="00963899" w:rsidP="00963899">
      <w:pPr>
        <w:spacing w:line="300" w:lineRule="atLeast"/>
        <w:rPr>
          <w:rFonts w:ascii="Lato" w:hAnsi="Lato"/>
          <w:color w:val="333333"/>
          <w:sz w:val="21"/>
          <w:szCs w:val="21"/>
        </w:rPr>
      </w:pPr>
      <w:r>
        <w:rPr>
          <w:rFonts w:ascii="Lato" w:hAnsi="Lato"/>
          <w:color w:val="333333"/>
          <w:sz w:val="21"/>
          <w:szCs w:val="21"/>
          <w:vertAlign w:val="superscript"/>
        </w:rPr>
        <w:t> </w:t>
      </w:r>
      <w:r>
        <w:rPr>
          <w:rFonts w:ascii="Lato" w:hAnsi="Lato"/>
          <w:color w:val="333333"/>
          <w:sz w:val="21"/>
          <w:szCs w:val="21"/>
        </w:rPr>
        <w:t xml:space="preserve"> </w:t>
      </w:r>
      <w:r>
        <w:rPr>
          <w:rFonts w:ascii="Lato" w:hAnsi="Lato"/>
          <w:color w:val="333333"/>
          <w:sz w:val="21"/>
          <w:szCs w:val="21"/>
        </w:rPr>
        <w:br/>
        <w:t xml:space="preserve">Les recherches s’orientent par conséquent de manière préférentielle sur cette voie pour laquelle la diminution du nombre de </w:t>
      </w:r>
      <w:proofErr w:type="spellStart"/>
      <w:r>
        <w:rPr>
          <w:rFonts w:ascii="Lato" w:hAnsi="Lato"/>
          <w:color w:val="333333"/>
          <w:sz w:val="21"/>
          <w:szCs w:val="21"/>
        </w:rPr>
        <w:t>hashes</w:t>
      </w:r>
      <w:proofErr w:type="spellEnd"/>
      <w:r>
        <w:rPr>
          <w:rFonts w:ascii="Lato" w:hAnsi="Lato"/>
          <w:color w:val="333333"/>
          <w:sz w:val="21"/>
          <w:szCs w:val="21"/>
        </w:rPr>
        <w:t xml:space="preserve"> à calculer peut rendre possible une éventuelle attaque. </w:t>
      </w:r>
    </w:p>
    <w:p w:rsidR="00963899" w:rsidRDefault="00963899" w:rsidP="00963899">
      <w:pPr>
        <w:pStyle w:val="Titre3"/>
        <w:rPr>
          <w:rFonts w:ascii="inherit" w:hAnsi="inherit"/>
          <w:color w:val="515E6C"/>
        </w:rPr>
      </w:pPr>
      <w:r>
        <w:t> </w:t>
      </w:r>
    </w:p>
    <w:p w:rsidR="00963899" w:rsidRDefault="00963899" w:rsidP="00963899">
      <w:pPr>
        <w:pStyle w:val="Titre3"/>
      </w:pPr>
      <w:r>
        <w:t xml:space="preserve">Historique des attaques menées contre MD5 </w:t>
      </w:r>
    </w:p>
    <w:p w:rsidR="00963899" w:rsidRDefault="00963899" w:rsidP="00963899">
      <w:pPr>
        <w:spacing w:line="300" w:lineRule="atLeast"/>
        <w:rPr>
          <w:rFonts w:ascii="Lato" w:hAnsi="Lato"/>
          <w:color w:val="333333"/>
          <w:sz w:val="21"/>
          <w:szCs w:val="21"/>
        </w:rPr>
      </w:pPr>
      <w:r>
        <w:rPr>
          <w:rFonts w:ascii="Lato" w:hAnsi="Lato"/>
          <w:color w:val="333333"/>
          <w:sz w:val="21"/>
          <w:szCs w:val="21"/>
        </w:rPr>
        <w:t xml:space="preserve">L’algorithme MD5 est aujourd’hui considéré comme non sécurisé puisqu’il est aujourd’hui possible de générer des fichiers différents possédant le même hash en un temps relativement faible. La formule de la partie précédente plafonne le nombre de </w:t>
      </w:r>
      <w:proofErr w:type="spellStart"/>
      <w:r>
        <w:rPr>
          <w:rFonts w:ascii="Lato" w:hAnsi="Lato"/>
          <w:color w:val="333333"/>
          <w:sz w:val="21"/>
          <w:szCs w:val="21"/>
        </w:rPr>
        <w:t>hashes</w:t>
      </w:r>
      <w:proofErr w:type="spellEnd"/>
      <w:r>
        <w:rPr>
          <w:rFonts w:ascii="Lato" w:hAnsi="Lato"/>
          <w:color w:val="333333"/>
          <w:sz w:val="21"/>
          <w:szCs w:val="21"/>
        </w:rPr>
        <w:t xml:space="preserve"> à générer pour trouver une collision à 2</w:t>
      </w:r>
      <w:r>
        <w:rPr>
          <w:rFonts w:ascii="Lato" w:hAnsi="Lato"/>
          <w:color w:val="333333"/>
          <w:sz w:val="21"/>
          <w:szCs w:val="21"/>
          <w:vertAlign w:val="superscript"/>
        </w:rPr>
        <w:t>64</w:t>
      </w:r>
      <w:r>
        <w:rPr>
          <w:rFonts w:ascii="Lato" w:hAnsi="Lato"/>
          <w:color w:val="333333"/>
          <w:sz w:val="21"/>
          <w:szCs w:val="21"/>
        </w:rPr>
        <w:t xml:space="preserve">. </w:t>
      </w:r>
      <w:r>
        <w:rPr>
          <w:rFonts w:ascii="Lato" w:hAnsi="Lato"/>
          <w:color w:val="333333"/>
          <w:sz w:val="21"/>
          <w:szCs w:val="21"/>
        </w:rPr>
        <w:br/>
        <w:t xml:space="preserve">Les premières attaques menées contre MD5 remontent à 1996 avec la découverte d’une collision dans la fonction de compression de l’algorithme. Cependant, les constantes du vecteur d’initialisation avaient été changées, aboutissant à une collision « </w:t>
      </w:r>
      <w:r>
        <w:rPr>
          <w:rFonts w:ascii="Lato" w:hAnsi="Lato"/>
          <w:i/>
          <w:iCs/>
          <w:color w:val="333333"/>
          <w:sz w:val="21"/>
          <w:szCs w:val="21"/>
        </w:rPr>
        <w:t>free-</w:t>
      </w:r>
      <w:proofErr w:type="spellStart"/>
      <w:r>
        <w:rPr>
          <w:rFonts w:ascii="Lato" w:hAnsi="Lato"/>
          <w:i/>
          <w:iCs/>
          <w:color w:val="333333"/>
          <w:sz w:val="21"/>
          <w:szCs w:val="21"/>
        </w:rPr>
        <w:t>start</w:t>
      </w:r>
      <w:proofErr w:type="spellEnd"/>
      <w:r>
        <w:rPr>
          <w:rFonts w:ascii="Lato" w:hAnsi="Lato"/>
          <w:color w:val="333333"/>
          <w:sz w:val="21"/>
          <w:szCs w:val="21"/>
        </w:rPr>
        <w:t xml:space="preserve"> ». </w:t>
      </w:r>
      <w:r>
        <w:rPr>
          <w:rFonts w:ascii="Lato" w:hAnsi="Lato"/>
          <w:color w:val="333333"/>
          <w:sz w:val="21"/>
          <w:szCs w:val="21"/>
        </w:rPr>
        <w:br/>
        <w:t xml:space="preserve">En 2004, Wang et al. </w:t>
      </w:r>
      <w:proofErr w:type="gramStart"/>
      <w:r>
        <w:rPr>
          <w:rFonts w:ascii="Lato" w:hAnsi="Lato"/>
          <w:color w:val="333333"/>
          <w:sz w:val="21"/>
          <w:szCs w:val="21"/>
        </w:rPr>
        <w:t>ont</w:t>
      </w:r>
      <w:proofErr w:type="gramEnd"/>
      <w:r>
        <w:rPr>
          <w:rFonts w:ascii="Lato" w:hAnsi="Lato"/>
          <w:color w:val="333333"/>
          <w:sz w:val="21"/>
          <w:szCs w:val="21"/>
        </w:rPr>
        <w:t xml:space="preserve"> publié les résultats d’une attaque permettant de trouver des collisions sur MD5 en </w:t>
      </w:r>
      <w:r>
        <w:rPr>
          <w:rFonts w:ascii="Lato" w:hAnsi="Lato"/>
          <w:color w:val="333333"/>
          <w:sz w:val="21"/>
          <w:szCs w:val="21"/>
        </w:rPr>
        <w:lastRenderedPageBreak/>
        <w:t>2</w:t>
      </w:r>
      <w:r>
        <w:rPr>
          <w:rFonts w:ascii="Lato" w:hAnsi="Lato"/>
          <w:color w:val="333333"/>
          <w:sz w:val="21"/>
          <w:szCs w:val="21"/>
          <w:vertAlign w:val="superscript"/>
        </w:rPr>
        <w:t>39</w:t>
      </w:r>
      <w:r>
        <w:rPr>
          <w:rFonts w:ascii="Lato" w:hAnsi="Lato"/>
          <w:color w:val="333333"/>
          <w:sz w:val="21"/>
          <w:szCs w:val="21"/>
        </w:rPr>
        <w:t xml:space="preserve"> calculs de hash, soit environ une heure sur un ordinateur standard à cette époque. </w:t>
      </w:r>
      <w:r>
        <w:rPr>
          <w:rFonts w:ascii="Lato" w:hAnsi="Lato"/>
          <w:color w:val="333333"/>
          <w:sz w:val="21"/>
          <w:szCs w:val="21"/>
        </w:rPr>
        <w:br/>
        <w:t xml:space="preserve">En 2005, les premières collisions dites « </w:t>
      </w:r>
      <w:proofErr w:type="spellStart"/>
      <w:r>
        <w:rPr>
          <w:rFonts w:ascii="Lato" w:hAnsi="Lato"/>
          <w:i/>
          <w:iCs/>
          <w:color w:val="333333"/>
          <w:sz w:val="21"/>
          <w:szCs w:val="21"/>
        </w:rPr>
        <w:t>chosen-prefix</w:t>
      </w:r>
      <w:proofErr w:type="spellEnd"/>
      <w:r>
        <w:rPr>
          <w:rFonts w:ascii="Lato" w:hAnsi="Lato"/>
          <w:i/>
          <w:iCs/>
          <w:color w:val="333333"/>
          <w:sz w:val="21"/>
          <w:szCs w:val="21"/>
        </w:rPr>
        <w:t xml:space="preserve"> </w:t>
      </w:r>
      <w:r>
        <w:rPr>
          <w:rFonts w:ascii="Lato" w:hAnsi="Lato"/>
          <w:color w:val="333333"/>
          <w:sz w:val="21"/>
          <w:szCs w:val="21"/>
        </w:rPr>
        <w:t xml:space="preserve">» ont été trouvées, permettant de créer des fichiers porteurs de sens, tels que des certificats ou bien des programmes malveillants. </w:t>
      </w:r>
      <w:r>
        <w:rPr>
          <w:rFonts w:ascii="Lato" w:hAnsi="Lato"/>
          <w:color w:val="333333"/>
          <w:sz w:val="21"/>
          <w:szCs w:val="21"/>
        </w:rPr>
        <w:br/>
        <w:t>Par la suite, les avancées ont porté sur l’amélioration des temps de calcul – aujourd’hui seulement 2</w:t>
      </w:r>
      <w:r>
        <w:rPr>
          <w:rFonts w:ascii="Lato" w:hAnsi="Lato"/>
          <w:color w:val="333333"/>
          <w:sz w:val="21"/>
          <w:szCs w:val="21"/>
          <w:vertAlign w:val="superscript"/>
        </w:rPr>
        <w:t>24.1</w:t>
      </w:r>
      <w:r>
        <w:rPr>
          <w:rFonts w:ascii="Lato" w:hAnsi="Lato"/>
          <w:color w:val="333333"/>
          <w:sz w:val="21"/>
          <w:szCs w:val="21"/>
        </w:rPr>
        <w:t xml:space="preserve"> opérations nécessaires – et des prérequis à la recherche de collisions, notamment sur la taille des messages en entrée, démontrée par la première collision sur bloc simple en 2010. </w:t>
      </w:r>
    </w:p>
    <w:p w:rsidR="00963899" w:rsidRDefault="00963899" w:rsidP="00963899">
      <w:pPr>
        <w:pStyle w:val="Titre3"/>
        <w:rPr>
          <w:rFonts w:ascii="inherit" w:hAnsi="inherit"/>
          <w:color w:val="515E6C"/>
        </w:rPr>
      </w:pPr>
      <w:r>
        <w:t> </w:t>
      </w:r>
    </w:p>
    <w:p w:rsidR="00963899" w:rsidRDefault="00963899" w:rsidP="00963899">
      <w:pPr>
        <w:pStyle w:val="Titre3"/>
      </w:pPr>
      <w:r>
        <w:t xml:space="preserve">Historique des attaques menées contre SHA-1 </w:t>
      </w:r>
    </w:p>
    <w:p w:rsidR="00963899" w:rsidRDefault="00963899" w:rsidP="00963899">
      <w:pPr>
        <w:spacing w:after="240" w:line="300" w:lineRule="atLeast"/>
        <w:rPr>
          <w:rFonts w:ascii="Lato" w:hAnsi="Lato"/>
          <w:color w:val="333333"/>
          <w:sz w:val="21"/>
          <w:szCs w:val="21"/>
        </w:rPr>
      </w:pPr>
      <w:r>
        <w:rPr>
          <w:rFonts w:ascii="Lato" w:hAnsi="Lato"/>
          <w:color w:val="333333"/>
          <w:sz w:val="21"/>
          <w:szCs w:val="21"/>
        </w:rPr>
        <w:t xml:space="preserve">Le premier coup a été porté à l’algorithme SHA-1 en 2005 par des chercheurs de l’université de Shandong (Chine). Alors que le nombre théorique de </w:t>
      </w:r>
      <w:proofErr w:type="spellStart"/>
      <w:r>
        <w:rPr>
          <w:rFonts w:ascii="Lato" w:hAnsi="Lato"/>
          <w:color w:val="333333"/>
          <w:sz w:val="21"/>
          <w:szCs w:val="21"/>
        </w:rPr>
        <w:t>hashes</w:t>
      </w:r>
      <w:proofErr w:type="spellEnd"/>
      <w:r>
        <w:rPr>
          <w:rFonts w:ascii="Lato" w:hAnsi="Lato"/>
          <w:color w:val="333333"/>
          <w:sz w:val="21"/>
          <w:szCs w:val="21"/>
        </w:rPr>
        <w:t xml:space="preserve"> à générer est de 2</w:t>
      </w:r>
      <w:r>
        <w:rPr>
          <w:rFonts w:ascii="Lato" w:hAnsi="Lato"/>
          <w:color w:val="333333"/>
          <w:sz w:val="21"/>
          <w:szCs w:val="21"/>
          <w:vertAlign w:val="superscript"/>
        </w:rPr>
        <w:t>80</w:t>
      </w:r>
      <w:r>
        <w:rPr>
          <w:rFonts w:ascii="Lato" w:hAnsi="Lato"/>
          <w:color w:val="333333"/>
          <w:sz w:val="21"/>
          <w:szCs w:val="21"/>
        </w:rPr>
        <w:t>, l’attaque réduit ce nombre à 2</w:t>
      </w:r>
      <w:r>
        <w:rPr>
          <w:rFonts w:ascii="Lato" w:hAnsi="Lato"/>
          <w:color w:val="333333"/>
          <w:sz w:val="21"/>
          <w:szCs w:val="21"/>
          <w:vertAlign w:val="superscript"/>
        </w:rPr>
        <w:t>69</w:t>
      </w:r>
      <w:r>
        <w:rPr>
          <w:rFonts w:ascii="Lato" w:hAnsi="Lato"/>
          <w:color w:val="333333"/>
          <w:sz w:val="21"/>
          <w:szCs w:val="21"/>
        </w:rPr>
        <w:t>, puis 2</w:t>
      </w:r>
      <w:r>
        <w:rPr>
          <w:rFonts w:ascii="Lato" w:hAnsi="Lato"/>
          <w:color w:val="333333"/>
          <w:sz w:val="21"/>
          <w:szCs w:val="21"/>
          <w:vertAlign w:val="superscript"/>
        </w:rPr>
        <w:t>63</w:t>
      </w:r>
      <w:r>
        <w:rPr>
          <w:rFonts w:ascii="Lato" w:hAnsi="Lato"/>
          <w:color w:val="333333"/>
          <w:sz w:val="21"/>
          <w:szCs w:val="21"/>
        </w:rPr>
        <w:t xml:space="preserve"> (CRYPTO2005). </w:t>
      </w:r>
      <w:r>
        <w:rPr>
          <w:rFonts w:ascii="Lato" w:hAnsi="Lato"/>
          <w:color w:val="333333"/>
          <w:sz w:val="21"/>
          <w:szCs w:val="21"/>
        </w:rPr>
        <w:br/>
        <w:t>Les avancées suivantes se sont concentrées sur des parties de l’algorithme complet consistant notamment en une diminution de nombre de passes de la fonction de compression. Ainsi, en 2005, une attaque permet de générer des collisions en 2</w:t>
      </w:r>
      <w:r>
        <w:rPr>
          <w:rFonts w:ascii="Lato" w:hAnsi="Lato"/>
          <w:color w:val="333333"/>
          <w:sz w:val="21"/>
          <w:szCs w:val="21"/>
          <w:vertAlign w:val="superscript"/>
        </w:rPr>
        <w:t>33</w:t>
      </w:r>
      <w:r>
        <w:rPr>
          <w:rFonts w:ascii="Lato" w:hAnsi="Lato"/>
          <w:color w:val="333333"/>
          <w:sz w:val="21"/>
          <w:szCs w:val="21"/>
        </w:rPr>
        <w:t xml:space="preserve"> opérations pour 58 passes. En 2006, seules 2 </w:t>
      </w:r>
      <w:r>
        <w:rPr>
          <w:rFonts w:ascii="Lato" w:hAnsi="Lato"/>
          <w:color w:val="333333"/>
          <w:sz w:val="21"/>
          <w:szCs w:val="21"/>
          <w:vertAlign w:val="superscript"/>
        </w:rPr>
        <w:t>35</w:t>
      </w:r>
      <w:r>
        <w:rPr>
          <w:rFonts w:ascii="Lato" w:hAnsi="Lato"/>
          <w:color w:val="333333"/>
          <w:sz w:val="21"/>
          <w:szCs w:val="21"/>
        </w:rPr>
        <w:t xml:space="preserve"> opérations sont nécessaires pour 64 passes, puis 73 passes. </w:t>
      </w:r>
      <w:r>
        <w:rPr>
          <w:rFonts w:ascii="Lato" w:hAnsi="Lato"/>
          <w:color w:val="333333"/>
          <w:sz w:val="21"/>
          <w:szCs w:val="21"/>
        </w:rPr>
        <w:br/>
        <w:t>En 2010, des chercheurs annoncent avoir trouvé un mécanisme permettant de trouver des collisions sur l’algorithme complet pour 2</w:t>
      </w:r>
      <w:r>
        <w:rPr>
          <w:rFonts w:ascii="Lato" w:hAnsi="Lato"/>
          <w:color w:val="333333"/>
          <w:sz w:val="21"/>
          <w:szCs w:val="21"/>
          <w:vertAlign w:val="superscript"/>
        </w:rPr>
        <w:t>60</w:t>
      </w:r>
      <w:r>
        <w:rPr>
          <w:rFonts w:ascii="Lato" w:hAnsi="Lato"/>
          <w:color w:val="333333"/>
          <w:sz w:val="21"/>
          <w:szCs w:val="21"/>
        </w:rPr>
        <w:t xml:space="preserve"> opérations. En se basant sur cette estimation, le </w:t>
      </w:r>
      <w:proofErr w:type="spellStart"/>
      <w:r>
        <w:rPr>
          <w:rFonts w:ascii="Lato" w:hAnsi="Lato"/>
          <w:color w:val="333333"/>
          <w:sz w:val="21"/>
          <w:szCs w:val="21"/>
        </w:rPr>
        <w:t>cryptologue</w:t>
      </w:r>
      <w:proofErr w:type="spellEnd"/>
      <w:r>
        <w:rPr>
          <w:rFonts w:ascii="Lato" w:hAnsi="Lato"/>
          <w:color w:val="333333"/>
          <w:sz w:val="21"/>
          <w:szCs w:val="21"/>
        </w:rPr>
        <w:t xml:space="preserve"> Bruce SCHNEIER fournit en 2012 une approximation de la somme d’argent nécessaire pour trouver une collision en un an grâce aux offres naissantes de </w:t>
      </w:r>
      <w:r>
        <w:rPr>
          <w:rFonts w:ascii="Lato" w:hAnsi="Lato"/>
          <w:i/>
          <w:iCs/>
          <w:color w:val="333333"/>
          <w:sz w:val="21"/>
          <w:szCs w:val="21"/>
        </w:rPr>
        <w:t xml:space="preserve">cloud </w:t>
      </w:r>
      <w:proofErr w:type="spellStart"/>
      <w:r>
        <w:rPr>
          <w:rFonts w:ascii="Lato" w:hAnsi="Lato"/>
          <w:i/>
          <w:iCs/>
          <w:color w:val="333333"/>
          <w:sz w:val="21"/>
          <w:szCs w:val="21"/>
        </w:rPr>
        <w:t>computing</w:t>
      </w:r>
      <w:proofErr w:type="spellEnd"/>
      <w:r>
        <w:rPr>
          <w:rFonts w:ascii="Lato" w:hAnsi="Lato"/>
          <w:color w:val="333333"/>
          <w:sz w:val="21"/>
          <w:szCs w:val="21"/>
        </w:rPr>
        <w:t xml:space="preserve"> (Amazon EC2). </w:t>
      </w:r>
      <w:r>
        <w:rPr>
          <w:rFonts w:ascii="Lato" w:hAnsi="Lato"/>
          <w:color w:val="333333"/>
          <w:sz w:val="21"/>
          <w:szCs w:val="21"/>
        </w:rPr>
        <w:br/>
        <w:t xml:space="preserve">Ses calculs prennent en compte le nombre de cycles processeur d’un serveur, le coût d’une heure de serveur chez Amazon, et l’évolution des processeurs selon la loi de Moore. Les résultats sont les suivants : </w:t>
      </w:r>
    </w:p>
    <w:tbl>
      <w:tblPr>
        <w:tblW w:w="45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9"/>
        <w:gridCol w:w="3311"/>
      </w:tblGrid>
      <w:tr w:rsidR="00963899" w:rsidTr="00E64D34">
        <w:trPr>
          <w:tblCellSpacing w:w="0" w:type="dxa"/>
          <w:jc w:val="center"/>
        </w:trPr>
        <w:tc>
          <w:tcPr>
            <w:tcW w:w="118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after="0" w:line="300" w:lineRule="atLeast"/>
              <w:jc w:val="center"/>
              <w:rPr>
                <w:rFonts w:ascii="Lato" w:hAnsi="Lato"/>
                <w:color w:val="333333"/>
                <w:sz w:val="21"/>
                <w:szCs w:val="21"/>
              </w:rPr>
            </w:pPr>
            <w:r>
              <w:rPr>
                <w:rFonts w:ascii="Lato" w:hAnsi="Lato"/>
                <w:b/>
                <w:bCs/>
                <w:color w:val="333333"/>
                <w:sz w:val="21"/>
                <w:szCs w:val="21"/>
              </w:rPr>
              <w:t>Année</w:t>
            </w:r>
            <w:r>
              <w:rPr>
                <w:rFonts w:ascii="Lato" w:hAnsi="Lato"/>
                <w:color w:val="333333"/>
                <w:sz w:val="21"/>
                <w:szCs w:val="21"/>
              </w:rPr>
              <w:t xml:space="preserve"> </w:t>
            </w:r>
          </w:p>
        </w:tc>
        <w:tc>
          <w:tcPr>
            <w:tcW w:w="3300"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b/>
                <w:bCs/>
                <w:color w:val="333333"/>
                <w:sz w:val="21"/>
                <w:szCs w:val="21"/>
              </w:rPr>
              <w:t xml:space="preserve">Coût de la location Amazon EC2 </w:t>
            </w:r>
          </w:p>
        </w:tc>
      </w:tr>
      <w:tr w:rsidR="00963899" w:rsidTr="00E64D34">
        <w:trPr>
          <w:tblCellSpacing w:w="0" w:type="dxa"/>
          <w:jc w:val="center"/>
        </w:trPr>
        <w:tc>
          <w:tcPr>
            <w:tcW w:w="118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2012 </w:t>
            </w:r>
          </w:p>
        </w:tc>
        <w:tc>
          <w:tcPr>
            <w:tcW w:w="3300"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2,770,000$ </w:t>
            </w:r>
          </w:p>
        </w:tc>
      </w:tr>
      <w:tr w:rsidR="00963899" w:rsidTr="00E64D34">
        <w:trPr>
          <w:tblCellSpacing w:w="0" w:type="dxa"/>
          <w:jc w:val="center"/>
        </w:trPr>
        <w:tc>
          <w:tcPr>
            <w:tcW w:w="118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2015 </w:t>
            </w:r>
          </w:p>
        </w:tc>
        <w:tc>
          <w:tcPr>
            <w:tcW w:w="3300"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700,000$ </w:t>
            </w:r>
          </w:p>
        </w:tc>
      </w:tr>
      <w:tr w:rsidR="00963899" w:rsidTr="00E64D34">
        <w:trPr>
          <w:tblCellSpacing w:w="0" w:type="dxa"/>
          <w:jc w:val="center"/>
        </w:trPr>
        <w:tc>
          <w:tcPr>
            <w:tcW w:w="118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2018 </w:t>
            </w:r>
          </w:p>
        </w:tc>
        <w:tc>
          <w:tcPr>
            <w:tcW w:w="3300"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173,000$ </w:t>
            </w:r>
          </w:p>
        </w:tc>
      </w:tr>
      <w:tr w:rsidR="00963899" w:rsidTr="00E64D34">
        <w:trPr>
          <w:tblCellSpacing w:w="0" w:type="dxa"/>
          <w:jc w:val="center"/>
        </w:trPr>
        <w:tc>
          <w:tcPr>
            <w:tcW w:w="1185"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2021 </w:t>
            </w:r>
          </w:p>
        </w:tc>
        <w:tc>
          <w:tcPr>
            <w:tcW w:w="3300" w:type="dxa"/>
            <w:tcBorders>
              <w:top w:val="outset" w:sz="6" w:space="0" w:color="auto"/>
              <w:left w:val="outset" w:sz="6" w:space="0" w:color="auto"/>
              <w:bottom w:val="outset" w:sz="6" w:space="0" w:color="auto"/>
              <w:right w:val="outset" w:sz="6" w:space="0" w:color="auto"/>
            </w:tcBorders>
            <w:vAlign w:val="center"/>
            <w:hideMark/>
          </w:tcPr>
          <w:p w:rsidR="00963899" w:rsidRDefault="00963899" w:rsidP="00E64D34">
            <w:pPr>
              <w:spacing w:line="300" w:lineRule="atLeast"/>
              <w:jc w:val="center"/>
              <w:rPr>
                <w:rFonts w:ascii="Lato" w:hAnsi="Lato"/>
                <w:color w:val="333333"/>
                <w:sz w:val="21"/>
                <w:szCs w:val="21"/>
              </w:rPr>
            </w:pPr>
            <w:r>
              <w:rPr>
                <w:rFonts w:ascii="Lato" w:hAnsi="Lato"/>
                <w:color w:val="333333"/>
                <w:sz w:val="21"/>
                <w:szCs w:val="21"/>
              </w:rPr>
              <w:t xml:space="preserve">43,000$ </w:t>
            </w:r>
          </w:p>
        </w:tc>
      </w:tr>
    </w:tbl>
    <w:p w:rsidR="00963899" w:rsidRDefault="00963899" w:rsidP="00963899">
      <w:pPr>
        <w:spacing w:line="300" w:lineRule="atLeast"/>
        <w:jc w:val="center"/>
        <w:rPr>
          <w:rFonts w:ascii="Lato" w:hAnsi="Lato"/>
          <w:color w:val="333333"/>
          <w:sz w:val="21"/>
          <w:szCs w:val="21"/>
        </w:rPr>
      </w:pPr>
      <w:r>
        <w:rPr>
          <w:rFonts w:ascii="Lato" w:hAnsi="Lato"/>
          <w:i/>
          <w:iCs/>
          <w:color w:val="333333"/>
          <w:sz w:val="21"/>
          <w:szCs w:val="21"/>
        </w:rPr>
        <w:t>Evolution du coût des attaques </w:t>
      </w:r>
    </w:p>
    <w:p w:rsidR="00963899" w:rsidRDefault="00963899" w:rsidP="00963899">
      <w:pPr>
        <w:spacing w:after="240" w:line="300" w:lineRule="atLeast"/>
        <w:rPr>
          <w:rFonts w:ascii="Lato" w:hAnsi="Lato"/>
          <w:color w:val="333333"/>
          <w:sz w:val="21"/>
          <w:szCs w:val="21"/>
        </w:rPr>
      </w:pPr>
      <w:r>
        <w:rPr>
          <w:rFonts w:ascii="Lato" w:hAnsi="Lato"/>
          <w:color w:val="333333"/>
          <w:sz w:val="21"/>
          <w:szCs w:val="21"/>
        </w:rPr>
        <w:br/>
      </w:r>
      <w:r>
        <w:rPr>
          <w:rFonts w:ascii="Lato" w:hAnsi="Lato"/>
          <w:color w:val="333333"/>
          <w:sz w:val="21"/>
          <w:szCs w:val="21"/>
        </w:rPr>
        <w:br/>
        <w:t xml:space="preserve">Le SHA-1 n’étant alors plus considéré comme suffisamment sécurisé à partir de 2018, une stratégie de migration vers l’algorithme SHA-256 a dû être mise en place, accompagnée par une évolution de la stratégie de confiance des différents éditeurs de logiciels et systèmes d’exploitation: </w:t>
      </w:r>
      <w:r>
        <w:rPr>
          <w:rFonts w:ascii="Lato" w:hAnsi="Lato"/>
          <w:color w:val="333333"/>
          <w:sz w:val="21"/>
          <w:szCs w:val="21"/>
        </w:rPr>
        <w:br/>
        <w:t xml:space="preserve">Microsoft a annoncé une fin de support des certificats de signature de code SHA-1 pour le 1er janvier 2016. Les certificats SSL ne seront plus considérés comme de confiance à partir du 1er janvier 2017. </w:t>
      </w:r>
      <w:r>
        <w:rPr>
          <w:rFonts w:ascii="Lato" w:hAnsi="Lato"/>
          <w:color w:val="333333"/>
          <w:sz w:val="21"/>
          <w:szCs w:val="21"/>
        </w:rPr>
        <w:br/>
        <w:t>Mozilla a annoncé dès 2015 l’apparition d’alertes dans la console développeur de son navigateur lorsque le certificat du site distant reposait sur SHA-1, l’alerte étant plus importante si ledit certificat expire après le 1</w:t>
      </w:r>
      <w:r>
        <w:rPr>
          <w:rFonts w:ascii="Lato" w:hAnsi="Lato"/>
          <w:color w:val="333333"/>
          <w:sz w:val="21"/>
          <w:szCs w:val="21"/>
          <w:vertAlign w:val="superscript"/>
        </w:rPr>
        <w:t>er</w:t>
      </w:r>
      <w:r>
        <w:rPr>
          <w:rFonts w:ascii="Lato" w:hAnsi="Lato"/>
          <w:color w:val="333333"/>
          <w:sz w:val="21"/>
          <w:szCs w:val="21"/>
        </w:rPr>
        <w:t xml:space="preserve"> janvier 2017. Dès le 1</w:t>
      </w:r>
      <w:r>
        <w:rPr>
          <w:rFonts w:ascii="Lato" w:hAnsi="Lato"/>
          <w:color w:val="333333"/>
          <w:sz w:val="21"/>
          <w:szCs w:val="21"/>
          <w:vertAlign w:val="superscript"/>
        </w:rPr>
        <w:t>er</w:t>
      </w:r>
      <w:r>
        <w:rPr>
          <w:rFonts w:ascii="Lato" w:hAnsi="Lato"/>
          <w:color w:val="333333"/>
          <w:sz w:val="21"/>
          <w:szCs w:val="21"/>
        </w:rPr>
        <w:t xml:space="preserve"> janvier 2016, le navigateur ne fait plus confiance aux certificats SHA-1 émis à partir de cette date et affiche une connexion non sécurisée. Enfin, dès le 1</w:t>
      </w:r>
      <w:r>
        <w:rPr>
          <w:rFonts w:ascii="Lato" w:hAnsi="Lato"/>
          <w:color w:val="333333"/>
          <w:sz w:val="21"/>
          <w:szCs w:val="21"/>
          <w:vertAlign w:val="superscript"/>
        </w:rPr>
        <w:t>er</w:t>
      </w:r>
      <w:r>
        <w:rPr>
          <w:rFonts w:ascii="Lato" w:hAnsi="Lato"/>
          <w:color w:val="333333"/>
          <w:sz w:val="21"/>
          <w:szCs w:val="21"/>
        </w:rPr>
        <w:t xml:space="preserve"> janvier 2017, tous les certificats SHA-1 provoqueront l’affichage de cette erreur.</w:t>
      </w:r>
    </w:p>
    <w:p w:rsidR="00963899" w:rsidRDefault="00963899" w:rsidP="00963899">
      <w:pPr>
        <w:spacing w:after="0" w:line="300" w:lineRule="atLeast"/>
        <w:jc w:val="center"/>
        <w:rPr>
          <w:rFonts w:ascii="Lato" w:hAnsi="Lato"/>
          <w:color w:val="333333"/>
          <w:sz w:val="21"/>
          <w:szCs w:val="21"/>
        </w:rPr>
      </w:pPr>
      <w:r>
        <w:rPr>
          <w:rFonts w:ascii="Lato" w:hAnsi="Lato"/>
          <w:noProof/>
          <w:color w:val="0000FF"/>
          <w:sz w:val="21"/>
          <w:szCs w:val="21"/>
          <w:lang w:eastAsia="fr-FR"/>
        </w:rPr>
        <w:lastRenderedPageBreak/>
        <w:drawing>
          <wp:inline distT="0" distB="0" distL="0" distR="0" wp14:anchorId="271D885A" wp14:editId="33049939">
            <wp:extent cx="3810000" cy="2276475"/>
            <wp:effectExtent l="0" t="0" r="0" b="9525"/>
            <wp:docPr id="6" name="Image 6" descr="https://1.bp.blogspot.com/-_zQj7HraZDM/VrxbF0sHI0I/AAAAAAAAAO0/dr085ZIVuOQ/s400/Image6.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bp.blogspot.com/-_zQj7HraZDM/VrxbF0sHI0I/AAAAAAAAAO0/dr085ZIVuOQ/s400/Image6.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276475"/>
                    </a:xfrm>
                    <a:prstGeom prst="rect">
                      <a:avLst/>
                    </a:prstGeom>
                    <a:noFill/>
                    <a:ln>
                      <a:noFill/>
                    </a:ln>
                  </pic:spPr>
                </pic:pic>
              </a:graphicData>
            </a:graphic>
          </wp:inline>
        </w:drawing>
      </w:r>
    </w:p>
    <w:p w:rsidR="00963899" w:rsidRDefault="00963899" w:rsidP="00963899">
      <w:pPr>
        <w:spacing w:line="300" w:lineRule="atLeast"/>
        <w:jc w:val="center"/>
        <w:rPr>
          <w:rFonts w:ascii="Lato" w:hAnsi="Lato"/>
          <w:color w:val="333333"/>
          <w:sz w:val="21"/>
          <w:szCs w:val="21"/>
        </w:rPr>
      </w:pPr>
      <w:r>
        <w:rPr>
          <w:rFonts w:ascii="Lato" w:hAnsi="Lato"/>
          <w:i/>
          <w:iCs/>
          <w:color w:val="333333"/>
          <w:sz w:val="21"/>
          <w:szCs w:val="21"/>
        </w:rPr>
        <w:t>Alerte du navigateur Firefox sur la sécurité de la connexion </w:t>
      </w:r>
    </w:p>
    <w:p w:rsidR="00963899" w:rsidRDefault="00963899" w:rsidP="00963899">
      <w:pPr>
        <w:spacing w:after="240" w:line="300" w:lineRule="atLeast"/>
        <w:rPr>
          <w:rFonts w:ascii="Lato" w:hAnsi="Lato"/>
          <w:color w:val="333333"/>
          <w:sz w:val="21"/>
          <w:szCs w:val="21"/>
        </w:rPr>
      </w:pPr>
      <w:r>
        <w:rPr>
          <w:rFonts w:ascii="Lato" w:hAnsi="Lato"/>
          <w:color w:val="333333"/>
          <w:sz w:val="21"/>
          <w:szCs w:val="21"/>
        </w:rPr>
        <w:br/>
        <w:t>Google Chrome propose quant à lui une évolution selon la version de son navigateur qui peut être résumée par le tableau suivant :</w:t>
      </w:r>
    </w:p>
    <w:p w:rsidR="00963899" w:rsidRDefault="00963899" w:rsidP="00963899">
      <w:pPr>
        <w:spacing w:after="0" w:line="300" w:lineRule="atLeast"/>
        <w:jc w:val="center"/>
        <w:rPr>
          <w:rFonts w:ascii="Lato" w:hAnsi="Lato"/>
          <w:color w:val="333333"/>
          <w:sz w:val="21"/>
          <w:szCs w:val="21"/>
        </w:rPr>
      </w:pPr>
      <w:r>
        <w:rPr>
          <w:rFonts w:ascii="Lato" w:hAnsi="Lato"/>
          <w:noProof/>
          <w:color w:val="0000FF"/>
          <w:sz w:val="21"/>
          <w:szCs w:val="21"/>
          <w:lang w:eastAsia="fr-FR"/>
        </w:rPr>
        <w:drawing>
          <wp:inline distT="0" distB="0" distL="0" distR="0" wp14:anchorId="5276DFD8" wp14:editId="35764DE4">
            <wp:extent cx="3810000" cy="981075"/>
            <wp:effectExtent l="0" t="0" r="0" b="9525"/>
            <wp:docPr id="5" name="Image 5" descr="https://4.bp.blogspot.com/-0ey1hTyQGho/VrxZfYvODbI/AAAAAAAAAOk/Q8F4UNmYUUA/s400/tableau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4.bp.blogspot.com/-0ey1hTyQGho/VrxZfYvODbI/AAAAAAAAAOk/Q8F4UNmYUUA/s400/tableau1.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981075"/>
                    </a:xfrm>
                    <a:prstGeom prst="rect">
                      <a:avLst/>
                    </a:prstGeom>
                    <a:noFill/>
                    <a:ln>
                      <a:noFill/>
                    </a:ln>
                  </pic:spPr>
                </pic:pic>
              </a:graphicData>
            </a:graphic>
          </wp:inline>
        </w:drawing>
      </w:r>
    </w:p>
    <w:p w:rsidR="00963899" w:rsidRDefault="00963899" w:rsidP="00963899">
      <w:pPr>
        <w:spacing w:line="300" w:lineRule="atLeast"/>
        <w:jc w:val="center"/>
        <w:rPr>
          <w:rFonts w:ascii="Lato" w:hAnsi="Lato"/>
          <w:color w:val="333333"/>
          <w:sz w:val="21"/>
          <w:szCs w:val="21"/>
        </w:rPr>
      </w:pPr>
      <w:r>
        <w:rPr>
          <w:rFonts w:ascii="Lato" w:hAnsi="Lato"/>
          <w:color w:val="333333"/>
          <w:sz w:val="21"/>
          <w:szCs w:val="21"/>
        </w:rPr>
        <w:t xml:space="preserve">  </w:t>
      </w:r>
      <w:r>
        <w:rPr>
          <w:rFonts w:ascii="Lato" w:hAnsi="Lato"/>
          <w:i/>
          <w:iCs/>
          <w:color w:val="333333"/>
          <w:sz w:val="21"/>
          <w:szCs w:val="21"/>
        </w:rPr>
        <w:t>Avertissements Chrome pour l'emploi de SHA-1</w:t>
      </w:r>
    </w:p>
    <w:p w:rsidR="00963899" w:rsidRDefault="00963899" w:rsidP="00963899">
      <w:pPr>
        <w:pStyle w:val="Titre3"/>
        <w:rPr>
          <w:rFonts w:ascii="inherit" w:hAnsi="inherit"/>
          <w:color w:val="515E6C"/>
        </w:rPr>
      </w:pPr>
      <w:r>
        <w:t> </w:t>
      </w:r>
    </w:p>
    <w:p w:rsidR="00963899" w:rsidRDefault="00963899" w:rsidP="00963899">
      <w:pPr>
        <w:pStyle w:val="Titre3"/>
      </w:pPr>
      <w:r>
        <w:t xml:space="preserve">Octobre 2015 – </w:t>
      </w:r>
      <w:r>
        <w:rPr>
          <w:i/>
          <w:iCs/>
        </w:rPr>
        <w:t xml:space="preserve">The </w:t>
      </w:r>
      <w:proofErr w:type="spellStart"/>
      <w:r>
        <w:rPr>
          <w:i/>
          <w:iCs/>
        </w:rPr>
        <w:t>SHAppening</w:t>
      </w:r>
      <w:proofErr w:type="spellEnd"/>
      <w:r>
        <w:t xml:space="preserve"> </w:t>
      </w:r>
    </w:p>
    <w:p w:rsidR="00963899" w:rsidRDefault="00963899" w:rsidP="00963899">
      <w:pPr>
        <w:spacing w:line="300" w:lineRule="atLeast"/>
        <w:rPr>
          <w:rFonts w:ascii="Lato" w:hAnsi="Lato"/>
          <w:color w:val="333333"/>
          <w:sz w:val="21"/>
          <w:szCs w:val="21"/>
        </w:rPr>
      </w:pPr>
      <w:r>
        <w:rPr>
          <w:rFonts w:ascii="Lato" w:hAnsi="Lato"/>
          <w:color w:val="333333"/>
          <w:sz w:val="21"/>
          <w:szCs w:val="21"/>
        </w:rPr>
        <w:t>La dernière attaque contre SHA-1 a été annoncée en octobre 2015. Marc STEVENS et ses collègues ont pour la première fois pu mettre en œuvre une attaque sur le SHA-1, aboutissant à la découverte d’une quasi-collision en 2</w:t>
      </w:r>
      <w:r>
        <w:rPr>
          <w:rFonts w:ascii="Lato" w:hAnsi="Lato"/>
          <w:color w:val="333333"/>
          <w:sz w:val="21"/>
          <w:szCs w:val="21"/>
          <w:vertAlign w:val="superscript"/>
        </w:rPr>
        <w:t>57</w:t>
      </w:r>
      <w:r>
        <w:rPr>
          <w:rFonts w:ascii="Lato" w:hAnsi="Lato"/>
          <w:color w:val="333333"/>
          <w:sz w:val="21"/>
          <w:szCs w:val="21"/>
        </w:rPr>
        <w:t xml:space="preserve"> opérations, pour un budget EC2 équivalent de 2,000$. Cette collision utilise les 80 passes de la fonction de compression pour un vecteur d’initialisation différent de celui de l’algorithme SHA-1. Il s’agit donc également d’une collision </w:t>
      </w:r>
      <w:r>
        <w:rPr>
          <w:rFonts w:ascii="Lato" w:hAnsi="Lato"/>
          <w:i/>
          <w:iCs/>
          <w:color w:val="333333"/>
          <w:sz w:val="21"/>
          <w:szCs w:val="21"/>
        </w:rPr>
        <w:t>free-</w:t>
      </w:r>
      <w:proofErr w:type="spellStart"/>
      <w:r>
        <w:rPr>
          <w:rFonts w:ascii="Lato" w:hAnsi="Lato"/>
          <w:i/>
          <w:iCs/>
          <w:color w:val="333333"/>
          <w:sz w:val="21"/>
          <w:szCs w:val="21"/>
        </w:rPr>
        <w:t>start</w:t>
      </w:r>
      <w:proofErr w:type="spellEnd"/>
      <w:r>
        <w:rPr>
          <w:rFonts w:ascii="Lato" w:hAnsi="Lato"/>
          <w:color w:val="333333"/>
          <w:sz w:val="21"/>
          <w:szCs w:val="21"/>
        </w:rPr>
        <w:t xml:space="preserve">. </w:t>
      </w:r>
      <w:r>
        <w:rPr>
          <w:rFonts w:ascii="Lato" w:hAnsi="Lato"/>
          <w:color w:val="333333"/>
          <w:sz w:val="21"/>
          <w:szCs w:val="21"/>
        </w:rPr>
        <w:br/>
        <w:t xml:space="preserve">Cependant, les chercheurs considèrent que l’extension de cette attaque pour trouver une collision complète couterait entre $75,000 et $120,000, soit un coût financier environ six fois moins que prévu, fournissant près de trois ans d’avance sur le planning de B. SCHNEIER. La publication du message suivant a incité la communauté à revoir les calendriers de migration : </w:t>
      </w:r>
    </w:p>
    <w:p w:rsidR="00963899" w:rsidRDefault="00963899" w:rsidP="00963899">
      <w:pPr>
        <w:shd w:val="clear" w:color="auto" w:fill="F9F9F9"/>
        <w:spacing w:line="240" w:lineRule="auto"/>
        <w:rPr>
          <w:rFonts w:ascii="Lato" w:hAnsi="Lato"/>
          <w:i/>
          <w:iCs/>
          <w:color w:val="A7A7A8"/>
          <w:sz w:val="21"/>
          <w:szCs w:val="21"/>
        </w:rPr>
      </w:pPr>
      <w:r>
        <w:rPr>
          <w:rFonts w:ascii="Lato" w:hAnsi="Lato"/>
          <w:i/>
          <w:iCs/>
          <w:color w:val="A7A7A8"/>
          <w:sz w:val="21"/>
          <w:szCs w:val="21"/>
        </w:rPr>
        <w:t xml:space="preserve">Nous recommandons que les signatures reposant sur l’algorithme SHA-1 ne soient plus considérées comme sûr bien plus tôt qu’établit à l’origine par la politique internationale. Bien qu’une telle collision ne permette pas directement d’obtenir une collision complète sur l’algorithme SHA-1, cela nous a permis de redéfinir les prérequis (en termes de coût) nécessaires à la découverte de collisions complètes pour SHA-1. Nous estimons aujourd’hui le coût de la recherche entre 75000$ et 120000$ en utilisant les ressources Amazon EC2. […] Les gouvernements et certaines entreprises peuvent avoir des ressources plus puissantes à disposition. </w:t>
      </w:r>
      <w:r>
        <w:rPr>
          <w:rFonts w:ascii="Lato" w:hAnsi="Lato"/>
          <w:i/>
          <w:iCs/>
          <w:color w:val="A7A7A8"/>
          <w:sz w:val="21"/>
          <w:szCs w:val="21"/>
        </w:rPr>
        <w:br/>
        <w:t xml:space="preserve">Microsoft, Google et Mozilla ont annoncé la fin de support des certificats SSL signés avec SHA-1 au 31 décembre 2016 (inclus). Nos estimations indiquent que la découverte de collisions pour SHA-1 est aujourd’hui (octobre 2015) accessible aux organisations criminelles, deux ans plus tôt que prévu et un an </w:t>
      </w:r>
      <w:r>
        <w:rPr>
          <w:rFonts w:ascii="Lato" w:hAnsi="Lato"/>
          <w:i/>
          <w:iCs/>
          <w:color w:val="A7A7A8"/>
          <w:sz w:val="21"/>
          <w:szCs w:val="21"/>
        </w:rPr>
        <w:lastRenderedPageBreak/>
        <w:t xml:space="preserve">avant la fin du support de SHA-1. </w:t>
      </w:r>
      <w:r>
        <w:rPr>
          <w:rFonts w:ascii="Lato" w:hAnsi="Lato"/>
          <w:i/>
          <w:iCs/>
          <w:color w:val="A7A7A8"/>
          <w:sz w:val="21"/>
          <w:szCs w:val="21"/>
        </w:rPr>
        <w:br/>
        <w:t>[…] Par conséquent, nous émettons un avis très défavorable à la proposition de prolongation d’un an accordée aux certificats SHA-1 mentionnée au CA/Browser Forum. </w:t>
      </w:r>
    </w:p>
    <w:p w:rsidR="00963899" w:rsidRDefault="00963899" w:rsidP="00963899">
      <w:pPr>
        <w:spacing w:line="300" w:lineRule="atLeast"/>
        <w:rPr>
          <w:rFonts w:ascii="Lato" w:hAnsi="Lato"/>
          <w:color w:val="333333"/>
          <w:sz w:val="21"/>
          <w:szCs w:val="21"/>
        </w:rPr>
      </w:pPr>
      <w:r>
        <w:rPr>
          <w:rFonts w:ascii="Lato" w:hAnsi="Lato"/>
          <w:i/>
          <w:iCs/>
          <w:color w:val="333333"/>
          <w:sz w:val="21"/>
          <w:szCs w:val="21"/>
        </w:rPr>
        <w:t> </w:t>
      </w:r>
      <w:r>
        <w:rPr>
          <w:rFonts w:ascii="Lato" w:hAnsi="Lato"/>
          <w:color w:val="333333"/>
          <w:sz w:val="21"/>
          <w:szCs w:val="21"/>
        </w:rPr>
        <w:t xml:space="preserve"> </w:t>
      </w:r>
    </w:p>
    <w:p w:rsidR="00963899" w:rsidRDefault="00963899" w:rsidP="00963899">
      <w:pPr>
        <w:spacing w:line="300" w:lineRule="atLeast"/>
        <w:rPr>
          <w:rFonts w:ascii="Lato" w:hAnsi="Lato"/>
          <w:color w:val="333333"/>
          <w:sz w:val="21"/>
          <w:szCs w:val="21"/>
        </w:rPr>
      </w:pPr>
      <w:r>
        <w:rPr>
          <w:rFonts w:ascii="Lato" w:hAnsi="Lato"/>
          <w:color w:val="333333"/>
          <w:sz w:val="21"/>
          <w:szCs w:val="21"/>
        </w:rPr>
        <w:t xml:space="preserve">Les calendriers des éditeurs mentionnés ont évolué sur deux plans : </w:t>
      </w:r>
      <w:r>
        <w:rPr>
          <w:rFonts w:ascii="Lato" w:hAnsi="Lato"/>
          <w:color w:val="333333"/>
          <w:sz w:val="21"/>
          <w:szCs w:val="21"/>
        </w:rPr>
        <w:br/>
        <w:t xml:space="preserve">D’une part, les certificats SHA-1 émis après le 1er janvier 2016 (compris) ne seront pas considérés comme sûrs et déclencheront l’apparition des messages d’erreurs classiques. </w:t>
      </w:r>
      <w:r>
        <w:rPr>
          <w:rFonts w:ascii="Lato" w:hAnsi="Lato"/>
          <w:color w:val="333333"/>
          <w:sz w:val="21"/>
          <w:szCs w:val="21"/>
        </w:rPr>
        <w:br/>
        <w:t xml:space="preserve">D’autre part, la date limite d’utilisation des certificats SHA-1, initialement fixée au 31 décembre 2016 (compris), est avancée au 31 mai 2016 (compris). </w:t>
      </w:r>
      <w:r>
        <w:rPr>
          <w:rFonts w:ascii="Lato" w:hAnsi="Lato"/>
          <w:color w:val="333333"/>
          <w:sz w:val="21"/>
          <w:szCs w:val="21"/>
        </w:rPr>
        <w:br/>
      </w:r>
      <w:r>
        <w:rPr>
          <w:rFonts w:ascii="Lato" w:hAnsi="Lato"/>
          <w:color w:val="333333"/>
          <w:sz w:val="21"/>
          <w:szCs w:val="21"/>
        </w:rPr>
        <w:br w:type="textWrapping" w:clear="all"/>
      </w:r>
    </w:p>
    <w:p w:rsidR="00963899" w:rsidRDefault="00963899" w:rsidP="00963899">
      <w:pPr>
        <w:pStyle w:val="Titre3"/>
        <w:rPr>
          <w:rFonts w:ascii="inherit" w:hAnsi="inherit"/>
          <w:color w:val="515E6C"/>
        </w:rPr>
      </w:pPr>
      <w:r>
        <w:t xml:space="preserve">Incompatibilités connues avec SHA-256 </w:t>
      </w:r>
    </w:p>
    <w:p w:rsidR="00963899" w:rsidRDefault="00963899" w:rsidP="00963899">
      <w:pPr>
        <w:spacing w:line="300" w:lineRule="atLeast"/>
        <w:rPr>
          <w:rFonts w:ascii="Lato" w:hAnsi="Lato"/>
          <w:color w:val="333333"/>
          <w:sz w:val="21"/>
          <w:szCs w:val="21"/>
        </w:rPr>
      </w:pPr>
      <w:r>
        <w:rPr>
          <w:rFonts w:ascii="Lato" w:hAnsi="Lato"/>
          <w:color w:val="333333"/>
          <w:sz w:val="21"/>
          <w:szCs w:val="21"/>
        </w:rPr>
        <w:t xml:space="preserve">Malgré les risques de sécurité posés par l’utilisation du SHA-1, un certain nombre de systèmes d’exploitation et programmes ne sont pas aujourd’hui en mesure d’utiliser SHA-256. </w:t>
      </w:r>
      <w:r>
        <w:rPr>
          <w:rFonts w:ascii="Lato" w:hAnsi="Lato"/>
          <w:color w:val="333333"/>
          <w:sz w:val="21"/>
          <w:szCs w:val="21"/>
        </w:rPr>
        <w:br/>
        <w:t xml:space="preserve">Parmi ceux-ci : </w:t>
      </w:r>
    </w:p>
    <w:p w:rsidR="00963899" w:rsidRDefault="00963899" w:rsidP="00963899">
      <w:pPr>
        <w:numPr>
          <w:ilvl w:val="0"/>
          <w:numId w:val="6"/>
        </w:numPr>
        <w:spacing w:before="100" w:beforeAutospacing="1" w:after="100" w:afterAutospacing="1" w:line="300" w:lineRule="atLeast"/>
        <w:rPr>
          <w:rFonts w:ascii="Lato" w:hAnsi="Lato"/>
          <w:color w:val="333333"/>
          <w:sz w:val="21"/>
          <w:szCs w:val="21"/>
        </w:rPr>
      </w:pPr>
      <w:r>
        <w:rPr>
          <w:rFonts w:ascii="Lato" w:hAnsi="Lato"/>
          <w:color w:val="333333"/>
          <w:sz w:val="21"/>
          <w:szCs w:val="21"/>
        </w:rPr>
        <w:t xml:space="preserve">Windows XP SP1 &amp; SP2 : une migration vers Windows XP SP3 est nécessaire ; </w:t>
      </w:r>
    </w:p>
    <w:p w:rsidR="00963899" w:rsidRDefault="00963899" w:rsidP="00963899">
      <w:pPr>
        <w:numPr>
          <w:ilvl w:val="0"/>
          <w:numId w:val="7"/>
        </w:numPr>
        <w:spacing w:before="100" w:beforeAutospacing="1" w:after="100" w:afterAutospacing="1" w:line="300" w:lineRule="atLeast"/>
        <w:rPr>
          <w:rFonts w:ascii="Lato" w:hAnsi="Lato"/>
          <w:color w:val="333333"/>
          <w:sz w:val="21"/>
          <w:szCs w:val="21"/>
        </w:rPr>
      </w:pPr>
      <w:r>
        <w:rPr>
          <w:rFonts w:ascii="Lato" w:hAnsi="Lato"/>
          <w:color w:val="333333"/>
          <w:sz w:val="21"/>
          <w:szCs w:val="21"/>
        </w:rPr>
        <w:t xml:space="preserve">Internet Explorer en version 5 et précédentes ; </w:t>
      </w:r>
    </w:p>
    <w:p w:rsidR="00963899" w:rsidRDefault="00963899" w:rsidP="00963899">
      <w:pPr>
        <w:numPr>
          <w:ilvl w:val="0"/>
          <w:numId w:val="8"/>
        </w:numPr>
        <w:spacing w:before="100" w:beforeAutospacing="1" w:after="100" w:afterAutospacing="1" w:line="300" w:lineRule="atLeast"/>
        <w:rPr>
          <w:rFonts w:ascii="Lato" w:hAnsi="Lato"/>
          <w:color w:val="333333"/>
          <w:sz w:val="21"/>
          <w:szCs w:val="21"/>
        </w:rPr>
      </w:pPr>
      <w:proofErr w:type="spellStart"/>
      <w:r>
        <w:rPr>
          <w:rFonts w:ascii="Lato" w:hAnsi="Lato"/>
          <w:color w:val="333333"/>
          <w:sz w:val="21"/>
          <w:szCs w:val="21"/>
        </w:rPr>
        <w:t>OpenSSL</w:t>
      </w:r>
      <w:proofErr w:type="spellEnd"/>
      <w:r>
        <w:rPr>
          <w:rFonts w:ascii="Lato" w:hAnsi="Lato"/>
          <w:color w:val="333333"/>
          <w:sz w:val="21"/>
          <w:szCs w:val="21"/>
        </w:rPr>
        <w:t xml:space="preserve"> en version strictement inférieure à 0.9.8 ; </w:t>
      </w:r>
    </w:p>
    <w:p w:rsidR="00963899" w:rsidRDefault="00963899" w:rsidP="00963899">
      <w:pPr>
        <w:numPr>
          <w:ilvl w:val="0"/>
          <w:numId w:val="9"/>
        </w:numPr>
        <w:spacing w:before="100" w:beforeAutospacing="1" w:after="100" w:afterAutospacing="1" w:line="300" w:lineRule="atLeast"/>
        <w:rPr>
          <w:rFonts w:ascii="Lato" w:hAnsi="Lato"/>
          <w:color w:val="333333"/>
          <w:sz w:val="21"/>
          <w:szCs w:val="21"/>
        </w:rPr>
      </w:pPr>
      <w:r>
        <w:rPr>
          <w:rFonts w:ascii="Lato" w:hAnsi="Lato"/>
          <w:color w:val="333333"/>
          <w:sz w:val="21"/>
          <w:szCs w:val="21"/>
        </w:rPr>
        <w:t xml:space="preserve">Java en version strictement inférieure à 1.4.2 ; </w:t>
      </w:r>
    </w:p>
    <w:p w:rsidR="00963899" w:rsidRDefault="00963899" w:rsidP="00963899">
      <w:pPr>
        <w:numPr>
          <w:ilvl w:val="0"/>
          <w:numId w:val="10"/>
        </w:numPr>
        <w:spacing w:before="100" w:beforeAutospacing="1" w:after="100" w:afterAutospacing="1" w:line="300" w:lineRule="atLeast"/>
        <w:rPr>
          <w:rFonts w:ascii="Lato" w:hAnsi="Lato"/>
          <w:color w:val="333333"/>
          <w:sz w:val="21"/>
          <w:szCs w:val="21"/>
        </w:rPr>
      </w:pPr>
      <w:r>
        <w:rPr>
          <w:rFonts w:ascii="Lato" w:hAnsi="Lato"/>
          <w:color w:val="333333"/>
          <w:sz w:val="21"/>
          <w:szCs w:val="21"/>
        </w:rPr>
        <w:t xml:space="preserve">MySQL en version strictement inférieure à 5.5.5 ; </w:t>
      </w:r>
    </w:p>
    <w:p w:rsidR="00963899" w:rsidRDefault="00963899" w:rsidP="00963899">
      <w:pPr>
        <w:spacing w:after="0" w:line="300" w:lineRule="atLeast"/>
        <w:rPr>
          <w:rFonts w:ascii="Lato" w:hAnsi="Lato"/>
          <w:color w:val="333333"/>
          <w:sz w:val="21"/>
          <w:szCs w:val="21"/>
        </w:rPr>
      </w:pPr>
      <w:r>
        <w:rPr>
          <w:rFonts w:ascii="Lato" w:hAnsi="Lato"/>
          <w:color w:val="333333"/>
          <w:sz w:val="21"/>
          <w:szCs w:val="21"/>
        </w:rPr>
        <w:t xml:space="preserve">Il est par conséquent fortement conseillé de mettre à jour ces systèmes afin de garder une compatibilité avec les standards les plus récents en termes d’algorithmes de hash. La liste complète des systèmes compatibles peut être trouvée à l’adresse suivante : </w:t>
      </w:r>
      <w:hyperlink r:id="rId25" w:anchor="1a" w:history="1">
        <w:r>
          <w:rPr>
            <w:rStyle w:val="Lienhypertexte"/>
            <w:rFonts w:ascii="Lato" w:hAnsi="Lato"/>
            <w:sz w:val="21"/>
            <w:szCs w:val="21"/>
          </w:rPr>
          <w:t>https://support.globalsign.com/customer/portal/articles/1499561-sha-256-compatibility#1a</w:t>
        </w:r>
      </w:hyperlink>
    </w:p>
    <w:p w:rsidR="00963899" w:rsidRDefault="00963899" w:rsidP="00963899"/>
    <w:p w:rsidR="00B44BC0" w:rsidRDefault="00B44BC0"/>
    <w:sectPr w:rsidR="00B44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altName w:val="Times New Roman"/>
    <w:charset w:val="00"/>
    <w:family w:val="auto"/>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F36E1"/>
    <w:multiLevelType w:val="multilevel"/>
    <w:tmpl w:val="2C1C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6A89"/>
    <w:multiLevelType w:val="multilevel"/>
    <w:tmpl w:val="D03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02EEB"/>
    <w:multiLevelType w:val="multilevel"/>
    <w:tmpl w:val="4CB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90C22"/>
    <w:multiLevelType w:val="multilevel"/>
    <w:tmpl w:val="2C40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27CDE"/>
    <w:multiLevelType w:val="multilevel"/>
    <w:tmpl w:val="427E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D0848"/>
    <w:multiLevelType w:val="multilevel"/>
    <w:tmpl w:val="E4AC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A440C"/>
    <w:multiLevelType w:val="multilevel"/>
    <w:tmpl w:val="7A48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05F29"/>
    <w:multiLevelType w:val="multilevel"/>
    <w:tmpl w:val="CA2A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56766"/>
    <w:multiLevelType w:val="multilevel"/>
    <w:tmpl w:val="164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669FD"/>
    <w:multiLevelType w:val="multilevel"/>
    <w:tmpl w:val="BEAE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9"/>
  </w:num>
  <w:num w:numId="4">
    <w:abstractNumId w:val="5"/>
  </w:num>
  <w:num w:numId="5">
    <w:abstractNumId w:val="4"/>
  </w:num>
  <w:num w:numId="6">
    <w:abstractNumId w:val="3"/>
  </w:num>
  <w:num w:numId="7">
    <w:abstractNumId w:val="7"/>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99"/>
    <w:rsid w:val="002174B3"/>
    <w:rsid w:val="00963899"/>
    <w:rsid w:val="00B44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FF931-40DC-4096-A384-5EB9374F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899"/>
  </w:style>
  <w:style w:type="paragraph" w:styleId="Titre2">
    <w:name w:val="heading 2"/>
    <w:basedOn w:val="Normal"/>
    <w:link w:val="Titre2Car"/>
    <w:uiPriority w:val="9"/>
    <w:qFormat/>
    <w:rsid w:val="0096389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6389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9638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389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6389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963899"/>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963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urityinsider-solucom.fr/search/label/sha-1" TargetMode="External"/><Relationship Id="rId13" Type="http://schemas.openxmlformats.org/officeDocument/2006/relationships/hyperlink" Target="https://2.bp.blogspot.com/-o7uN_ZHGiIs/VrxZe8gQ1TI/AAAAAAAAAOU/hkOYS9LkKxE/s1600/Image2.pn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1.bp.blogspot.com/-_zQj7HraZDM/VrxbF0sHI0I/AAAAAAAAAO0/dr085ZIVuOQ/s1600/Image6.png" TargetMode="External"/><Relationship Id="rId7" Type="http://schemas.openxmlformats.org/officeDocument/2006/relationships/hyperlink" Target="http://www.securityinsider-solucom.fr/search/label/deep-dive" TargetMode="External"/><Relationship Id="rId12" Type="http://schemas.openxmlformats.org/officeDocument/2006/relationships/image" Target="media/image2.png"/><Relationship Id="rId17" Type="http://schemas.openxmlformats.org/officeDocument/2006/relationships/hyperlink" Target="https://2.bp.blogspot.com/-IpKaazt1ucI/VrxZfMtUU7I/AAAAAAAAAOc/N-_mTi2a_1s/s1600/Image4.png" TargetMode="External"/><Relationship Id="rId25" Type="http://schemas.openxmlformats.org/officeDocument/2006/relationships/hyperlink" Target="https://support.globalsign.com/customer/portal/articles/1499561-sha-256-compatibilit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securityinsider-solucom.fr/search/label/crypto" TargetMode="External"/><Relationship Id="rId11" Type="http://schemas.openxmlformats.org/officeDocument/2006/relationships/hyperlink" Target="https://1.bp.blogspot.com/-RW7aE8t4vT4/VrxZew50gwI/AAAAAAAAAOY/rzNpuZxK6fY/s1600/Image1.png" TargetMode="External"/><Relationship Id="rId24" Type="http://schemas.openxmlformats.org/officeDocument/2006/relationships/image" Target="media/image8.png"/><Relationship Id="rId5" Type="http://schemas.openxmlformats.org/officeDocument/2006/relationships/hyperlink" Target="http://www.securityinsider-solucom.fr/search/label/actu" TargetMode="External"/><Relationship Id="rId15" Type="http://schemas.openxmlformats.org/officeDocument/2006/relationships/hyperlink" Target="https://4.bp.blogspot.com/-RgNayvohan0/VrxZe3PN_ZI/AAAAAAAAAOg/EiUf8vZKAwc/s1600/Image3.png" TargetMode="External"/><Relationship Id="rId23" Type="http://schemas.openxmlformats.org/officeDocument/2006/relationships/hyperlink" Target="https://4.bp.blogspot.com/-0ey1hTyQGho/VrxZfYvODbI/AAAAAAAAAOk/Q8F4UNmYUUA/s1600/tableau1.png" TargetMode="External"/><Relationship Id="rId10" Type="http://schemas.openxmlformats.org/officeDocument/2006/relationships/image" Target="media/image1.jpeg"/><Relationship Id="rId19" Type="http://schemas.openxmlformats.org/officeDocument/2006/relationships/hyperlink" Target="https://2.bp.blogspot.com/-e-UQVxKTubs/VrxZfV-g3CI/AAAAAAAAAOo/lLt2l8td72c/s1600/Image5.png" TargetMode="External"/><Relationship Id="rId4" Type="http://schemas.openxmlformats.org/officeDocument/2006/relationships/webSettings" Target="webSettings.xml"/><Relationship Id="rId9" Type="http://schemas.openxmlformats.org/officeDocument/2006/relationships/hyperlink" Target="https://4.bp.blogspot.com/-PcrvUiduO3o/VrxfJCMZ8wI/AAAAAAAAAPE/59DMmlZJcEY/s1600/logo.jp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1954</Words>
  <Characters>10747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ib</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dc:creator>
  <cp:keywords/>
  <dc:description/>
  <cp:lastModifiedBy>ib</cp:lastModifiedBy>
  <cp:revision>2</cp:revision>
  <dcterms:created xsi:type="dcterms:W3CDTF">2017-05-03T12:24:00Z</dcterms:created>
  <dcterms:modified xsi:type="dcterms:W3CDTF">2017-05-03T12:24:00Z</dcterms:modified>
</cp:coreProperties>
</file>