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1"/>
          <w:szCs w:val="21"/>
        </w:rPr>
      </w:pPr>
      <w:bookmarkStart w:colFirst="0" w:colLast="0" w:name="_heading=h.dmr69vk1f5x" w:id="0"/>
      <w:bookmarkEnd w:id="0"/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SYLVER N. BROWN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21"/>
          <w:szCs w:val="21"/>
        </w:rPr>
      </w:pPr>
      <w:r>
        <w:rPr>
          <w:rtl w:val="0"/>
        </w:rPr>
        <w:t xml:space="preserve">Kansas City (Relocating | June 2026)  •  (570) 239-2226  •  nicholasbrownbusiness@gmail.com  •  https://www.linkedin.com/in/sylver-brown-b52473250/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0"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CERTIFICATIONS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Microsoft Azure Administrator (AZ-104) | Portfolio Complete — 5 Projects | Exam Target: Q3 2026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30"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SKILLS &amp; TECHNOLOGIES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5" w:before="15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Networking: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TCP/IP, VLANs, DHCP, DNS, VPN, Subnetting, Routing &amp; Switching Fundamentals, Wireless/AP Troubleshooting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5" w:before="15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IAM &amp; Security: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Duo MFA, Active Directory, Microsoft Entra ID (Azure AD), GPO, LDAP, Palo Alto Firewall Policy, GlobalProtect VPN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5" w:before="15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Vendors &amp; Platforms: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Cisco IOS, Palo Alto Panorama, Webex, Webroot, Securly, ConnectWise, NetSupport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5" w:before="15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Systems &amp; Cloud: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Google Workspace Admin, Windows Server, Chromebook/MDM Administration, PowerShell, PowerBI, SQL</w:t>
      </w:r>
    </w:p>
    <w:p w:rsidR="00000000" w:rsidDel="00000000" w:rsidP="00000000" w:rsidRDefault="00000000" w:rsidRPr="00000000" w14:paraId="0000001F">
      <w:pPr>
        <w:spacing w:after="15" w:before="15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Microsoft Azure (AZ-104):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Virtual Machines, VNet/NSG, Storage Accounts, Private Endpoints, ARM Templates, Azure Monitor, Log Analytics (KQL), Key Vault, Entra ID, App Service, Site Recovery, Cost Management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30"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810"/>
        </w:tabs>
        <w:spacing w:before="100" w:lineRule="auto"/>
        <w:rPr>
          <w:sz w:val="21"/>
          <w:szCs w:val="21"/>
        </w:rPr>
      </w:pPr>
      <w:r>
        <w:rPr>
          <w:rtl w:val="0"/>
        </w:rPr>
        <w:t xml:space="preserve">Dataserv | IST Engineer</w:t>
        <w:tab/>
        <w:t xml:space="preserve">Cleveland, OH</w:t>
      </w:r>
    </w:p>
    <w:p w:rsidR="00000000" w:rsidDel="00000000" w:rsidP="00000000" w:rsidRDefault="00000000" w:rsidRPr="00000000" w14:paraId="0000000D">
      <w:pPr>
        <w:tabs>
          <w:tab w:val="right" w:leader="none" w:pos="9810"/>
        </w:tabs>
        <w:spacing w:after="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On-site IT, Network &amp; VoIP Support across an 8-building K-12 district  |  3,000+ users supported</w:t>
      </w:r>
      <w:r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July 2025 – Present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Primary on-site technical administrator supporting district infrastructure | Palo Alto Panorama, Active Directory, Microsoft Entra ID, GPO, Google Workspace, Duo MFA, DHCP/DNS, Cisco Webex UCaaS, and endpoint systems.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Resolved district-wide state testing crisis | diagnosed OS conflict, executed full Chromebook rollback across 3,000+ devices mid-testing window, coordinated with administration to keep testing on schedule, and mentored a peer technician at a neighboring district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Led 20-PC gaming lab deployment | provisioned VLAN and DHCP scopes, coordinated ISP port openings, used Palo Alto Panorama to whitelist URLs; implemented license workaround via PowerShell automation and Registry-level access restrictions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Configured E-911 district-wide, deployed Cisco Webex workspaces, integrated PA-to-Webex emergency broadcast systems; resolved 10–15 tickets daily with 95% first-touch close rate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Administered Active Directory for 3,000+ users, owning GPO configuration, LDAP sync from student information systems and Google Workspace, and enforcing MFA policies to protect sensitive data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Administered Google Workspace tenant for 3,000+ users,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responsible for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enterprise onboarding/offboarding lifecycle, redesigning OU-based policies, and hardening email security against phishing, malware, and spam threats; governed AI platform access including Google Gemini security group administration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810"/>
        </w:tabs>
        <w:spacing w:before="100" w:lineRule="auto"/>
        <w:rPr>
          <w:sz w:val="21"/>
          <w:szCs w:val="21"/>
        </w:rPr>
      </w:pPr>
      <w:r>
        <w:rPr>
          <w:rtl w:val="0"/>
        </w:rPr>
        <w:t xml:space="preserve">UPMC | IT Business Analyst Intern</w:t>
        <w:tab/>
        <w:t xml:space="preserve">Pittsburgh, PA</w:t>
      </w:r>
    </w:p>
    <w:p w:rsidR="00000000" w:rsidDel="00000000" w:rsidP="00000000" w:rsidRDefault="00000000" w:rsidRPr="00000000" w14:paraId="00000016">
      <w:pPr>
        <w:tabs>
          <w:tab w:val="right" w:leader="none" w:pos="9810"/>
        </w:tabs>
        <w:spacing w:after="40" w:lineRule="auto"/>
        <w:rPr>
          <w:sz w:val="21"/>
          <w:szCs w:val="21"/>
        </w:rPr>
      </w:pPr>
      <w:r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Summer Internship</w:t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May 2024 – August 2024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Developed a PowerBI dashboard tracking $1M+ annual drug spend per specialty across 1,000+ unique drug types; adopted as a corporate financial reporting tool and presented to executive leadership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before="15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Performed variance analysis on cash flows underpinning a $200M operating budget, identifying and correcting KPI misreporting that impacted 5+ specialty departments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spacing w:after="30"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AZURE PORTFOLIO  —  AZ-104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Azure Compute &amp; Identity Management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VM deployment, RBAC, Key Vault, NSG, Azure Policy initiative, Cost Management budgets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Azure Networking &amp; Storage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VNet segmentation, NSG rules, Private Endpoints, Storage Accounts, ARM Template Specs, AzCopy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Monitoring, Backup &amp; Recovery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Azure Monitor, VM Insights, Recovery Services Vault, Azure Site Recovery, Log Analytics (KQL)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Entra ID &amp; Identity Management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App Registration, Microsoft Graph permissions, Conditional Access policies, MFA enforcement, sign-in auditing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App Service Deployment &amp; Scaling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GitHub Actions CI/CD pipeline, deployment slots (zero-downtime swap), CPU autoscaling, Azure Monitor alerts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30"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810"/>
        </w:tabs>
        <w:spacing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The Pennsylvania State University</w:t>
        <w:tab/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State College, PA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810"/>
        </w:tabs>
        <w:spacing w:after="40" w:lineRule="auto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Bachelor of Science in Finance  •  GPA: 3.7 / 4.0</w:t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December 2024</w:t>
      </w:r>
      <w:r>
        <w:rPr>
          <w:rtl w:val="0"/>
        </w:rPr>
      </w:r>
    </w:p>
    <w:sectPr>
      <w:pgSz w:h="15840" w:w="12240" w:orient="portrait"/>
      <w:pgMar w:bottom="560" w:top="56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WJy4kOmmsIO0/KENB9peDBoEQ==">CgMxLjAyDWguZG1yNjl2azFmNXg4AHIhMUdQVlVBVXFVbUUwaHRoWlFwS2pNekpfdVp5ZnFmU3pP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