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sz w:val="21"/>
          <w:szCs w:val="21"/>
        </w:rPr>
      </w:pPr>
      <w:bookmarkStart w:colFirst="0" w:colLast="0" w:name="_heading=h.dmr69vk1f5x" w:id="0"/>
      <w:bookmarkEnd w:id="0"/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SYLVER N. BROWN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sz w:val="21"/>
          <w:szCs w:val="21"/>
        </w:rPr>
      </w:pPr>
      <w:r>
        <w:rPr>
          <w:rtl w:val="0"/>
        </w:rPr>
        <w:t xml:space="preserve">Kansas City (Relocating | June 2026)  •  (570) 239-2226  •  nicholasbrownbusiness@gmail.com  •  https://www.linkedin.com/in/sylver-brown-b52473250/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before="10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CERTIFICATIONS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Microsoft Azure Administrator (AZ-104) | Portfolio Complete — 5 Projects | Exam Target: Q3 2026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Cisco Certified Network Associate (CCNA) | In Progress (Exam target: Q3 2026)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before="10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SKILLS &amp; TECHNOLOGIES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30" w:before="3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Networking: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TCP/IP, VLANs, DHCP, DNS, VPN, Subnetting, Routing &amp; Switching Fundamentals, Wireless/AP Troubleshooting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3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VoIP &amp; Telephony: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Cisco Webex Calling Administration, E-911 Configuration, Analog/ATA Troubleshooting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IAM &amp; Security: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Duo MFA, Active Directory, Microsoft Entra ID (Azure AD), GPO, LDAP, Palo Alto Firewall Policy, GlobalProtect VPN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Vendors &amp; Platforms: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Cisco IOS, Palo Alto Panorama, Webex, Webroot, Securly, ConnectWise, NetSupport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Systems &amp; Cloud: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Google Workspace Admin, Windows Server, Chromebook/MDM Administration, PowerShell, PowerBI, SQL</w:t>
      </w:r>
    </w:p>
    <w:p w:rsidR="00000000" w:rsidDel="00000000" w:rsidP="00000000" w:rsidRDefault="00000000" w:rsidRPr="00000000" w14:paraId="0000001F">
      <w:pPr>
        <w:spacing w:after="30" w:before="3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Microsoft Azure (AZ-104): 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Virtual Machines, VNet/NSG, Storage Accounts, Private Endpoints, ARM Templates, Azure Monitor, Log Analytics (KQL), Key Vault, Entra ID, App Service, Site Recovery, Cost Management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spacing w:after="40" w:before="10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PROFESSIONAL EXPERIENCE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810"/>
        </w:tabs>
        <w:spacing w:before="100" w:lineRule="auto"/>
        <w:rPr>
          <w:sz w:val="21"/>
          <w:szCs w:val="21"/>
        </w:rPr>
      </w:pPr>
      <w:r>
        <w:rPr>
          <w:rtl w:val="0"/>
        </w:rPr>
        <w:t xml:space="preserve">Dataserv | IST Engineer</w:t>
        <w:tab/>
        <w:t xml:space="preserve">Cleveland, OH</w:t>
      </w:r>
    </w:p>
    <w:p w:rsidR="00000000" w:rsidDel="00000000" w:rsidP="00000000" w:rsidRDefault="00000000" w:rsidRPr="00000000" w14:paraId="0000000D">
      <w:pPr>
        <w:tabs>
          <w:tab w:val="right" w:leader="none" w:pos="9810"/>
        </w:tabs>
        <w:spacing w:after="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On-site IT, Network &amp; VoIP Support across an 8-building K-12 district  |  3,000+ users supported</w:t>
      </w:r>
      <w:r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ab/>
      </w: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July 2025 – Present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Primary on-site technical administrator supporting district infrastructure | Palo Alto Panorama, Active Directory, Microsoft Entra ID, GPO, Google Workspace, Duo MFA, DHCP/DNS, Cisco Webex UCaaS, and endpoint systems.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Resolved district-wide state testing issue | diagnosed OS conflict from prior admin error, executed full Chromebook rollback across 3,000+ devices and 8 buildings mid-testing window, coordinated with administration to keep testing on schedule, documented resolution, and mentored a peer technician at a neighboring district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Led 20-PC gaming lab deployment as district liaison | provisioned new VLAN and subnet with network engineers, configured server-side DHCP scopes, coordinated ISP port openings, and used Palo Alto Panorama to whitelist URLs and analyze blocked traffic; implemented license workaround using Chrome Remote Desktop, PowerShell automation, and Registry-level access restrictions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tl w:val="0"/>
        </w:rPr>
        <w:t xml:space="preserve">Participated in major network infrastructure projects alongside district engineers | fiber cutover during active construction (new circuit uplink, DHCP administration, smart hands testing), stadium complex buildout with phone/data/camera VLAN testing, and IP camera infrastructure troubleshooting including Layer 2 isolated VLAN resolution across 8 buildings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Configured E-911 services district-wide across 8 buildings; deployed Cisco Webex workspaces; troubleshot ATAs, analog phones, and fax lines; integrated PA-to-Webex emergency broadcast systems; resolved 10–15 tickets daily with 95% first-touch close rate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Administered Active Directory for 3,000+ users, owning GPO configuration, LDAP sync from student information systems and Google Workspace, and enforcing MFA policies to protect sensitive data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Administered Google Workspace tenant for 3,000+ users, </w:t>
      </w:r>
      <w:r>
        <w:rPr>
          <w:rFonts w:ascii="Calibri" w:cs="Calibri" w:eastAsia="Calibri" w:hAnsi="Calibri"/>
          <w:sz w:val="21"/>
          <w:szCs w:val="21"/>
          <w:rtl w:val="0"/>
        </w:rPr>
        <w:t xml:space="preserve">responsible for </w:t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enterprise onboarding/offboarding lifecycle, redesigning OU-based policies, and hardening email security against phishing, malware, and spam threats; governed AI platform access including Google Gemini security group administration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810"/>
        </w:tabs>
        <w:spacing w:before="100" w:lineRule="auto"/>
        <w:rPr>
          <w:sz w:val="21"/>
          <w:szCs w:val="21"/>
        </w:rPr>
      </w:pPr>
      <w:r>
        <w:rPr>
          <w:rtl w:val="0"/>
        </w:rPr>
        <w:t xml:space="preserve">UPMC | IT Business Analyst Intern</w:t>
        <w:tab/>
        <w:t xml:space="preserve">Pittsburgh, PA</w:t>
      </w:r>
    </w:p>
    <w:p w:rsidR="00000000" w:rsidDel="00000000" w:rsidP="00000000" w:rsidRDefault="00000000" w:rsidRPr="00000000" w14:paraId="00000016">
      <w:pPr>
        <w:tabs>
          <w:tab w:val="right" w:leader="none" w:pos="9810"/>
        </w:tabs>
        <w:spacing w:after="40" w:lineRule="auto"/>
        <w:rPr>
          <w:sz w:val="21"/>
          <w:szCs w:val="21"/>
        </w:rPr>
      </w:pPr>
      <w:r>
        <w:rPr>
          <w:rFonts w:ascii="Calibri" w:cs="Calibri" w:eastAsia="Calibri" w:hAnsi="Calibri"/>
          <w:i w:val="1"/>
          <w:iCs w:val="1"/>
          <w:color w:val="000000"/>
          <w:sz w:val="21"/>
          <w:szCs w:val="21"/>
          <w:rtl w:val="0"/>
        </w:rPr>
        <w:t xml:space="preserve">Summer Internship</w:t>
        <w:tab/>
      </w: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May 2024 – August 2024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Developed a PowerBI dashboard tracking $1M+ annual drug spend per specialty across 1,000+ unique drug types; adopted as a corporate financial reporting tool and presented to executive leadership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Performed variance analysis on cash flows underpinning a $200M operating budget, identifying and correcting KPI misreporting that impacted 5+ specialty departments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0" w:before="30" w:lineRule="auto"/>
        <w:ind w:left="720" w:hanging="360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Performed variance analysis on cash flows underpinning a $200M operating budget, identifying and correcting KPI misreporting that impacted 5+ specialty departments</w:t>
      </w:r>
    </w:p>
    <w:p w:rsidR="00000000" w:rsidDel="00000000" w:rsidP="00000000" w:rsidRDefault="00000000" w:rsidRPr="00000000" w14:paraId="00000020">
      <w:pPr>
        <w:pBdr>
          <w:bottom w:color="000000" w:space="1" w:sz="6" w:val="single"/>
        </w:pBdr>
        <w:spacing w:after="40" w:before="10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AZURE PORTFOLIO  —  AZ-104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Azure Compute &amp; Identity Management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VM deployment, RBAC, Key Vault, NSG, Azure Policy initiative, Cost Management budgets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Azure Networking &amp; Storage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VNet segmentation, NSG rules, Private Endpoints, Storage Accounts, ARM Template Specs, AzCopy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Monitoring, Backup &amp; Recovery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Azure Monitor, VM Insights, Recovery Services Vault, Azure Site Recovery, Log Analytics (KQL)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Entra ID &amp; Identity Management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App Registration, Microsoft Graph permissions, Conditional Access policies, MFA enforcement, sign-in auditing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" w:before="20" w:lineRule="auto"/>
        <w:ind w:left="720" w:hanging="360"/>
        <w:rPr>
          <w:sz w:val="21"/>
          <w:szCs w:val="21"/>
        </w:rPr>
      </w:pPr>
      <w:r>
        <w:rPr>
          <w:rFonts w:ascii="Calibri" w:cs="Calibri" w:hAnsi="Calibri"/>
          <w:b w:val="1"/>
          <w:bCs w:val="1"/>
          <w:color w:val="000000"/>
          <w:sz w:val="21"/>
          <w:szCs w:val="21"/>
          <w:rtl w:val="0"/>
        </w:rPr>
        <w:t xml:space="preserve">App Service Deployment &amp; Scaling</w:t>
      </w:r>
      <w:r>
        <w:rPr>
          <w:rFonts w:ascii="Calibri" w:cs="Calibri" w:hAnsi="Calibri"/>
          <w:color w:val="000000"/>
          <w:sz w:val="21"/>
          <w:szCs w:val="21"/>
          <w:rtl w:val="0"/>
        </w:rPr>
        <w:t xml:space="preserve"> — GitHub Actions CI/CD pipeline, deployment slots (zero-downtime swap), CPU autoscaling, Azure Monitor alerts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40" w:before="10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810"/>
        </w:tabs>
        <w:spacing w:before="60" w:lineRule="auto"/>
        <w:rPr>
          <w:sz w:val="21"/>
          <w:szCs w:val="21"/>
        </w:rPr>
      </w:pP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The Pennsylvania State University</w:t>
        <w:tab/>
      </w: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State College, PA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810"/>
        </w:tabs>
        <w:spacing w:after="40" w:lineRule="auto"/>
        <w:rPr>
          <w:sz w:val="21"/>
          <w:szCs w:val="21"/>
        </w:rPr>
      </w:pPr>
      <w:r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Bachelor of Science in Finance  •  GPA: 3.7 / 4.0</w:t>
        <w:tab/>
      </w:r>
      <w:r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December 2024</w:t>
      </w:r>
      <w:r>
        <w:rPr>
          <w:rtl w:val="0"/>
        </w:rPr>
      </w:r>
    </w:p>
    <w:sectPr>
      <w:pgSz w:h="15840" w:w="12240" w:orient="portrait"/>
      <w:pgMar w:bottom="720" w:top="72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iWJy4kOmmsIO0/KENB9peDBoEQ==">CgMxLjAyDWguZG1yNjl2azFmNXg4AHIhMUdQVlVBVXFVbUUwaHRoWlFwS2pNekpfdVp5ZnFmU3pP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