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89B0" w14:textId="3AB44D4C" w:rsidR="009B2E88" w:rsidRPr="00210B12" w:rsidRDefault="00C71413" w:rsidP="00C71413">
      <w:pPr>
        <w:spacing w:line="360" w:lineRule="auto"/>
        <w:ind w:left="720" w:hanging="360"/>
        <w:jc w:val="cente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10B12">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Kickstarter </w:t>
      </w:r>
      <w:r w:rsidR="009B2E88" w:rsidRPr="00210B12">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Report</w:t>
      </w:r>
    </w:p>
    <w:p w14:paraId="6B20D00A" w14:textId="0D805323" w:rsidR="009B2E88" w:rsidRPr="000854E6" w:rsidRDefault="00A55B66" w:rsidP="000854E6">
      <w:pPr>
        <w:pStyle w:val="ListParagraph"/>
        <w:numPr>
          <w:ilvl w:val="0"/>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4E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Description</w:t>
      </w:r>
    </w:p>
    <w:p w14:paraId="63E0C81C" w14:textId="0B41CE80" w:rsidR="00A55B66" w:rsidRDefault="00590099" w:rsidP="00C17C34">
      <w:pPr>
        <w:pStyle w:val="ListParagraph"/>
        <w:spacing w:line="360" w:lineRule="auto"/>
      </w:pPr>
      <w:r>
        <w:t xml:space="preserve">    </w:t>
      </w:r>
      <w:r w:rsidR="00A55B66">
        <w:t>The sample data is pass</w:t>
      </w:r>
      <w:r w:rsidR="00912AFB">
        <w:t xml:space="preserve"> 4114</w:t>
      </w:r>
      <w:r w:rsidR="00A55B66">
        <w:t xml:space="preserve"> project</w:t>
      </w:r>
      <w:r w:rsidR="00912AFB">
        <w:t>s</w:t>
      </w:r>
      <w:r w:rsidR="00A55B66">
        <w:t xml:space="preserve"> from </w:t>
      </w:r>
      <w:r w:rsidR="00A55B66" w:rsidRPr="00A55B66">
        <w:t>Kickstarter</w:t>
      </w:r>
      <w:r w:rsidR="00912AFB">
        <w:t xml:space="preserve"> which are created from May 2009 to March 2017 and ended from May 2009 to Aug 2017. </w:t>
      </w:r>
      <w:r w:rsidR="00BA2C54">
        <w:t>These sample projects are including in 7 parent categories - film &amp; video, food, games, journalism, music, photography, publishing, technology and theater within 20 countries.</w:t>
      </w:r>
      <w:r w:rsidR="00C71413">
        <w:t xml:space="preserve"> The minimum goal is 1, maximum goal is </w:t>
      </w:r>
      <w:r w:rsidR="00C71413" w:rsidRPr="00C71413">
        <w:t>100000000</w:t>
      </w:r>
      <w:r w:rsidR="00C71413">
        <w:t xml:space="preserve"> and medium is 5000. There are 2</w:t>
      </w:r>
      <w:r w:rsidR="00077CB2">
        <w:t>185</w:t>
      </w:r>
      <w:r w:rsidR="00C71413">
        <w:t xml:space="preserve"> succeed projects, 15</w:t>
      </w:r>
      <w:r w:rsidR="00077CB2">
        <w:t>30</w:t>
      </w:r>
      <w:r w:rsidR="00C71413">
        <w:t xml:space="preserve"> failed projects, 34</w:t>
      </w:r>
      <w:r w:rsidR="00077CB2">
        <w:t xml:space="preserve">9 </w:t>
      </w:r>
      <w:r w:rsidR="00C71413">
        <w:t xml:space="preserve">canceled projects and </w:t>
      </w:r>
      <w:r w:rsidR="00077CB2">
        <w:t>50</w:t>
      </w:r>
      <w:r w:rsidR="00C71413">
        <w:t xml:space="preserve"> live projects.</w:t>
      </w:r>
    </w:p>
    <w:p w14:paraId="769BCB14" w14:textId="77777777" w:rsidR="004971D3" w:rsidRDefault="004971D3" w:rsidP="00C17C34">
      <w:pPr>
        <w:pStyle w:val="ListParagraph"/>
        <w:spacing w:line="360" w:lineRule="auto"/>
      </w:pPr>
    </w:p>
    <w:p w14:paraId="054FAFB8" w14:textId="0565D4B5" w:rsidR="009B2E88" w:rsidRDefault="000854E6" w:rsidP="000854E6">
      <w:pPr>
        <w:pStyle w:val="ListParagraph"/>
        <w:numPr>
          <w:ilvl w:val="0"/>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4E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Analysis</w:t>
      </w:r>
    </w:p>
    <w:p w14:paraId="2E9DCE04" w14:textId="57348A6B" w:rsidR="000854E6" w:rsidRDefault="000854E6" w:rsidP="00D2473C">
      <w:pPr>
        <w:pStyle w:val="ListParagraph"/>
        <w:numPr>
          <w:ilvl w:val="1"/>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Countries and Categories</w:t>
      </w:r>
    </w:p>
    <w:p w14:paraId="15AEFC8C" w14:textId="685DF2AB" w:rsidR="001B037F" w:rsidRDefault="00590099" w:rsidP="001B037F">
      <w:pPr>
        <w:spacing w:line="360" w:lineRule="auto"/>
        <w:ind w:left="720"/>
      </w:pPr>
      <w:r>
        <w:t xml:space="preserve">    </w:t>
      </w:r>
      <w:r w:rsidR="00077CB2">
        <w:t xml:space="preserve">US is country which has most projects from the sample dataset. </w:t>
      </w:r>
      <w:r w:rsidR="001B037F">
        <w:t>There 30</w:t>
      </w:r>
      <w:r w:rsidR="00077CB2">
        <w:t xml:space="preserve">38 Kickstarter projects from US, it is 73.85% among all the countries. The second most-projects country is GB. It has 604 projects within the time frame, 14.68% in total. </w:t>
      </w:r>
    </w:p>
    <w:p w14:paraId="449A4E20" w14:textId="0B4C92B6" w:rsidR="00077CB2" w:rsidRDefault="00C17C34" w:rsidP="001B037F">
      <w:pPr>
        <w:spacing w:line="360" w:lineRule="auto"/>
        <w:ind w:left="720"/>
      </w:pPr>
      <w:r>
        <w:t xml:space="preserve">    Theater is the parent category which has most projects created within the time frame among all 7 parent categories – 1393 of 4114 projects. 60% of them are successfully reached goal, 35% failed, 3% canceled and 2% in live. The music category has the most success rate which is 77%. The journalism has least projects created and least success rate. Only 24 projects created and 24 out of 24 are failed. </w:t>
      </w:r>
    </w:p>
    <w:p w14:paraId="5DF9EA37" w14:textId="77777777" w:rsidR="00C17C34" w:rsidRDefault="00077CB2" w:rsidP="00C17C34">
      <w:pPr>
        <w:keepNext/>
        <w:spacing w:line="360" w:lineRule="auto"/>
        <w:ind w:left="720"/>
      </w:pPr>
      <w:r>
        <w:rPr>
          <w:noProof/>
          <w:lang w:eastAsia="en-US"/>
        </w:rPr>
        <w:lastRenderedPageBreak/>
        <w:drawing>
          <wp:inline distT="0" distB="0" distL="0" distR="0" wp14:anchorId="43C5668B" wp14:editId="04C0CA0B">
            <wp:extent cx="4695825" cy="2571750"/>
            <wp:effectExtent l="0" t="0" r="9525" b="0"/>
            <wp:docPr id="1" name="Chart 1">
              <a:extLst xmlns:a="http://schemas.openxmlformats.org/drawingml/2006/main">
                <a:ext uri="{FF2B5EF4-FFF2-40B4-BE49-F238E27FC236}">
                  <a16:creationId xmlns:a16="http://schemas.microsoft.com/office/drawing/2014/main" id="{678E924C-2D6E-8145-9557-9BD963709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DF949D" w14:textId="59741133" w:rsidR="00077CB2" w:rsidRPr="001B037F" w:rsidRDefault="00C17C34" w:rsidP="00C17C34">
      <w:pPr>
        <w:pStyle w:val="Caption"/>
        <w:jc w:val="center"/>
      </w:pPr>
      <w:r>
        <w:t xml:space="preserve">Figure </w:t>
      </w:r>
      <w:fldSimple w:instr=" SEQ Figure \* ARABIC ">
        <w:r w:rsidR="004971D3">
          <w:rPr>
            <w:noProof/>
          </w:rPr>
          <w:t>1</w:t>
        </w:r>
      </w:fldSimple>
      <w:r>
        <w:t xml:space="preserve"> Countries and categories</w:t>
      </w:r>
    </w:p>
    <w:p w14:paraId="703BAE3E" w14:textId="7B19D51C" w:rsidR="000854E6" w:rsidRDefault="00C17C34" w:rsidP="000854E6">
      <w:pPr>
        <w:pStyle w:val="ListParagraph"/>
        <w:numPr>
          <w:ilvl w:val="1"/>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Categories and Subcategories</w:t>
      </w:r>
    </w:p>
    <w:p w14:paraId="291197F2" w14:textId="0AC40700" w:rsidR="0052699C" w:rsidRPr="0052699C" w:rsidRDefault="00A367E3" w:rsidP="00A367E3">
      <w:pPr>
        <w:spacing w:line="360" w:lineRule="auto"/>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There are 2 subcategories have more than 200 projects – plays and rock.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of the projects are in subcategories -plays. Plays is the only subcategory which has more than 1000 projects created</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65% success funding rate.  Cl</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assical music</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documentary</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rock</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electronic music</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metal</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nonfiction</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pop</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radio &amp; podcasts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tabletop games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A367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television</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have 100% success rate in pass 9 years.</w:t>
      </w:r>
    </w:p>
    <w:p w14:paraId="73B4038C" w14:textId="77777777" w:rsidR="0052699C" w:rsidRDefault="0052699C" w:rsidP="0052699C">
      <w:pPr>
        <w:keepNext/>
        <w:spacing w:line="360" w:lineRule="auto"/>
      </w:pPr>
      <w:r>
        <w:rPr>
          <w:noProof/>
        </w:rPr>
        <w:drawing>
          <wp:inline distT="0" distB="0" distL="0" distR="0" wp14:anchorId="7F557C03" wp14:editId="05B7E6B1">
            <wp:extent cx="5943600" cy="2984500"/>
            <wp:effectExtent l="0" t="0" r="12700" b="12700"/>
            <wp:docPr id="3" name="Chart 3">
              <a:extLst xmlns:a="http://schemas.openxmlformats.org/drawingml/2006/main">
                <a:ext uri="{FF2B5EF4-FFF2-40B4-BE49-F238E27FC236}">
                  <a16:creationId xmlns:a16="http://schemas.microsoft.com/office/drawing/2014/main" id="{7EC88DD5-B0EC-D44D-A530-79CB131D9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7EB592" w14:textId="0C56487F" w:rsidR="0052699C" w:rsidRPr="0052699C" w:rsidRDefault="0052699C" w:rsidP="0052699C">
      <w:pPr>
        <w:pStyle w:val="Caption"/>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Figure </w:t>
      </w:r>
      <w:fldSimple w:instr=" SEQ Figure \* ARABIC ">
        <w:r w:rsidR="004971D3">
          <w:rPr>
            <w:noProof/>
          </w:rPr>
          <w:t>2</w:t>
        </w:r>
      </w:fldSimple>
      <w:r>
        <w:t>Categories and Subcategories</w:t>
      </w:r>
    </w:p>
    <w:p w14:paraId="6D43704B" w14:textId="4127DCDF" w:rsidR="00C17C34" w:rsidRDefault="00A367E3" w:rsidP="00C17C34">
      <w:pPr>
        <w:pStyle w:val="ListParagraph"/>
        <w:numPr>
          <w:ilvl w:val="1"/>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Months and status</w:t>
      </w:r>
    </w:p>
    <w:p w14:paraId="31513E44" w14:textId="38F82261" w:rsidR="00A367E3" w:rsidRPr="00A367E3" w:rsidRDefault="004971D3" w:rsidP="004971D3">
      <w:pPr>
        <w:spacing w:line="360" w:lineRule="auto"/>
        <w:ind w:left="7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Based in figure 3 below, we can see that the total counts of canceled projects didn’t change too much across months. Counts of succeed projects increased in March and reached the highest in May then decreased after that. December, the total succeed counts is less than total failed counts.</w:t>
      </w:r>
    </w:p>
    <w:p w14:paraId="5EECF0CD" w14:textId="77777777" w:rsidR="004971D3" w:rsidRDefault="00A367E3" w:rsidP="004971D3">
      <w:pPr>
        <w:keepNext/>
        <w:spacing w:line="360" w:lineRule="auto"/>
        <w:jc w:val="center"/>
      </w:pPr>
      <w:r>
        <w:rPr>
          <w:noProof/>
        </w:rPr>
        <w:drawing>
          <wp:inline distT="0" distB="0" distL="0" distR="0" wp14:anchorId="3A79E033" wp14:editId="5849D25A">
            <wp:extent cx="5575300" cy="3136900"/>
            <wp:effectExtent l="0" t="0" r="12700" b="12700"/>
            <wp:docPr id="4" name="Chart 4">
              <a:extLst xmlns:a="http://schemas.openxmlformats.org/drawingml/2006/main">
                <a:ext uri="{FF2B5EF4-FFF2-40B4-BE49-F238E27FC236}">
                  <a16:creationId xmlns:a16="http://schemas.microsoft.com/office/drawing/2014/main" id="{07E18309-943B-114C-A44A-974C64394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8C787A" w14:textId="192DC095" w:rsidR="00A367E3" w:rsidRPr="00A367E3" w:rsidRDefault="004971D3" w:rsidP="004971D3">
      <w:pPr>
        <w:pStyle w:val="Caption"/>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Figure </w:t>
      </w:r>
      <w:fldSimple w:instr=" SEQ Figure \* ARABIC ">
        <w:r>
          <w:rPr>
            <w:noProof/>
          </w:rPr>
          <w:t>3</w:t>
        </w:r>
      </w:fldSimple>
      <w:r>
        <w:t>Months and Status</w:t>
      </w:r>
    </w:p>
    <w:p w14:paraId="6A950C5B" w14:textId="77777777" w:rsidR="004971D3" w:rsidRDefault="004971D3" w:rsidP="004971D3">
      <w:pPr>
        <w:spacing w:line="360" w:lineRule="auto"/>
      </w:pPr>
    </w:p>
    <w:p w14:paraId="0D01A739" w14:textId="77777777" w:rsidR="00C17C34" w:rsidRDefault="00C17C34" w:rsidP="00C17C34">
      <w:pPr>
        <w:pStyle w:val="ListParagraph"/>
        <w:numPr>
          <w:ilvl w:val="0"/>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B71B30" w:rsidRPr="00C17C3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imitations of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p w14:paraId="16CFB686" w14:textId="0A4D9EE1" w:rsidR="0067654C" w:rsidRDefault="0067654C" w:rsidP="00C17C34">
      <w:pPr>
        <w:pStyle w:val="ListParagraph"/>
        <w:numPr>
          <w:ilvl w:val="1"/>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7C3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Size</w:t>
      </w:r>
    </w:p>
    <w:p w14:paraId="5ED4CA52" w14:textId="4A992A09" w:rsidR="00C17C34" w:rsidRPr="00C17C34" w:rsidRDefault="00C17C34" w:rsidP="00C17C34">
      <w:pPr>
        <w:spacing w:line="360" w:lineRule="auto"/>
        <w:ind w:left="792"/>
      </w:pPr>
      <w:r>
        <w:t xml:space="preserve">    This sample dataset contains 4114 row in the time frame of 9 years. </w:t>
      </w:r>
      <w:r w:rsidRPr="00C17C34">
        <w:t>Variability is determined by the standard deviation of the population</w:t>
      </w:r>
      <w:r>
        <w:t>. R</w:t>
      </w:r>
      <w:r w:rsidRPr="00C17C34">
        <w:t>educing the sample size reduces the confidence level of the study</w:t>
      </w:r>
      <w:r>
        <w:t>. A smaller dataset also can lead to cases of bias which is uncovered in the sample. Getting larger dataset could help</w:t>
      </w:r>
      <w:r w:rsidRPr="00C17C34">
        <w:t xml:space="preserve"> to insure accuracy by avoiding sampling errors</w:t>
      </w:r>
      <w:r>
        <w:t>.</w:t>
      </w:r>
    </w:p>
    <w:p w14:paraId="2AF5A29D" w14:textId="336AF752" w:rsidR="0067654C" w:rsidRDefault="00C17C34" w:rsidP="00C17C34">
      <w:pPr>
        <w:pStyle w:val="ListParagraph"/>
        <w:numPr>
          <w:ilvl w:val="1"/>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7C3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Countries</w:t>
      </w:r>
      <w:r w:rsidR="00344C4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64B4F86" w14:textId="5BEC5476" w:rsidR="00C17C34" w:rsidRPr="00C17C34" w:rsidRDefault="00C17C34" w:rsidP="00C17C34">
      <w:pPr>
        <w:spacing w:line="360" w:lineRule="auto"/>
        <w:ind w:left="7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Among 20 countries, more than half of sample, which is 73.85%, from this dataset are from US. It will increase the bias of the data if we would like to use this dataset for </w:t>
      </w:r>
      <w:r>
        <w:lastRenderedPageBreak/>
        <w:t xml:space="preserve">countries which is not US. </w:t>
      </w:r>
      <w:r w:rsidRPr="00C17C34">
        <w:t>Furthermore</w:t>
      </w:r>
      <w:r>
        <w:t xml:space="preserve">, there are 7 countries has less than 10 projects in 9 years. It will also decrease the accuracy of our analysis for those countries. </w:t>
      </w:r>
    </w:p>
    <w:p w14:paraId="532A67D8" w14:textId="4C31D64B" w:rsidR="00C17C34" w:rsidRPr="00C17C34" w:rsidRDefault="00C17C34" w:rsidP="00C17C34">
      <w:pPr>
        <w:pStyle w:val="ListParagraph"/>
        <w:numPr>
          <w:ilvl w:val="1"/>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7C3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Categories</w:t>
      </w:r>
      <w:r w:rsidR="00344C47" w:rsidRPr="00344C4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4C4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Audience</w:t>
      </w:r>
    </w:p>
    <w:p w14:paraId="54D555D1" w14:textId="28E09E45" w:rsidR="00C17C34" w:rsidRPr="00C17C34" w:rsidRDefault="0067654C" w:rsidP="00344C47">
      <w:pPr>
        <w:spacing w:line="360" w:lineRule="auto"/>
        <w:ind w:left="7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00C17C34">
        <w:t xml:space="preserve">     </w:t>
      </w:r>
      <w:r w:rsidR="00344C47">
        <w:t xml:space="preserve">Kickstarter is </w:t>
      </w:r>
      <w:r w:rsidR="00344C47" w:rsidRPr="00344C47">
        <w:t>a global crowdfunding platform focused on creativity and merchandising</w:t>
      </w:r>
      <w:r w:rsidR="00344C47">
        <w:t>.</w:t>
      </w:r>
      <w:r w:rsidR="00344C47" w:rsidRPr="00344C47">
        <w:t xml:space="preserve"> It means the </w:t>
      </w:r>
      <w:r w:rsidR="00344C47">
        <w:t xml:space="preserve">type of projects which funded in Kickstarter is influenced by its audience. </w:t>
      </w:r>
      <w:r w:rsidR="00C17C34">
        <w:t xml:space="preserve">In the sample dataset, all the projects are </w:t>
      </w:r>
      <w:r w:rsidR="003D2F98">
        <w:t>belonging</w:t>
      </w:r>
      <w:r w:rsidR="00C17C34">
        <w:t xml:space="preserve"> to 7 parent categories.</w:t>
      </w:r>
      <w:r w:rsidR="003D2F98">
        <w:t xml:space="preserve"> Most of the projects created in Kickstarter are in Theater “”, Music “” and film &amp; video</w:t>
      </w:r>
      <w:r w:rsidR="00344C47">
        <w:t xml:space="preserve"> which are more trend to be in entertainment type</w:t>
      </w:r>
      <w:r w:rsidR="003D2F98">
        <w:t xml:space="preserve">. This may impact our analysis with other categories due to </w:t>
      </w:r>
      <w:r w:rsidR="00344C47">
        <w:t>small</w:t>
      </w:r>
      <w:r w:rsidR="003D2F98">
        <w:t xml:space="preserve"> sample data</w:t>
      </w:r>
      <w:r w:rsidR="00344C47">
        <w:t xml:space="preserve"> of other categories. </w:t>
      </w:r>
    </w:p>
    <w:p w14:paraId="6DF5FA1F" w14:textId="4DB794AE" w:rsidR="0067654C" w:rsidRDefault="0067654C" w:rsidP="00912AFB">
      <w:pPr>
        <w:spacing w:line="360" w:lineRule="auto"/>
      </w:pPr>
    </w:p>
    <w:p w14:paraId="03E1DEF0" w14:textId="68085F74" w:rsidR="00E47B2C" w:rsidRDefault="00210B12" w:rsidP="00210B12">
      <w:pPr>
        <w:pStyle w:val="ListParagraph"/>
        <w:numPr>
          <w:ilvl w:val="0"/>
          <w:numId w:val="3"/>
        </w:numPr>
        <w:spacing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0B1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tables</w:t>
      </w:r>
      <w:r w:rsidR="00B71B30" w:rsidRPr="00210B1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and/or graphs</w:t>
      </w:r>
    </w:p>
    <w:p w14:paraId="2442CB45" w14:textId="178C9E3B" w:rsidR="004971D3" w:rsidRPr="004971D3" w:rsidRDefault="004971D3" w:rsidP="004971D3">
      <w:pPr>
        <w:spacing w:line="360" w:lineRule="auto"/>
        <w:ind w:left="720"/>
      </w:pPr>
      <w:r>
        <w:t xml:space="preserve">    </w:t>
      </w:r>
      <w:r w:rsidRPr="004971D3">
        <w:t xml:space="preserve">I would add the counts of projects created in each year line chart. It is interesting that </w:t>
      </w:r>
      <w:r w:rsidR="00C6640D">
        <w:t>2013 to 2016 has much projects created than 2009 to 2013. After reached to the highest count in 2017, the total projects decreased rapidly. It could be related to trend, expectation of economic or the popularity of Kickstarter if we do more research on it.</w:t>
      </w:r>
      <w:bookmarkStart w:id="0" w:name="_GoBack"/>
      <w:bookmarkEnd w:id="0"/>
    </w:p>
    <w:p w14:paraId="7CDA45CE" w14:textId="2A310C25" w:rsidR="00CE7C93" w:rsidRPr="00CE7C93" w:rsidRDefault="00CE7C93" w:rsidP="00CE7C93">
      <w:pPr>
        <w:spacing w:line="360" w:lineRule="auto"/>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ABA51C" wp14:editId="6052718E">
            <wp:extent cx="4686300" cy="2463800"/>
            <wp:effectExtent l="0" t="0" r="12700" b="12700"/>
            <wp:docPr id="2" name="Chart 2">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CE7C93" w:rsidRPr="00CE7C93" w:rsidSect="0025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1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F7826"/>
    <w:multiLevelType w:val="hybridMultilevel"/>
    <w:tmpl w:val="22F6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F5ABA"/>
    <w:multiLevelType w:val="hybridMultilevel"/>
    <w:tmpl w:val="D318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30"/>
    <w:rsid w:val="00077CB2"/>
    <w:rsid w:val="000854E6"/>
    <w:rsid w:val="001B037F"/>
    <w:rsid w:val="00210B12"/>
    <w:rsid w:val="00256491"/>
    <w:rsid w:val="00344C47"/>
    <w:rsid w:val="003C1910"/>
    <w:rsid w:val="003D2F98"/>
    <w:rsid w:val="004971D3"/>
    <w:rsid w:val="0052699C"/>
    <w:rsid w:val="00590099"/>
    <w:rsid w:val="0065631C"/>
    <w:rsid w:val="0067654C"/>
    <w:rsid w:val="007A54FB"/>
    <w:rsid w:val="00912AFB"/>
    <w:rsid w:val="009B2E88"/>
    <w:rsid w:val="00A367E3"/>
    <w:rsid w:val="00A55B66"/>
    <w:rsid w:val="00B71B30"/>
    <w:rsid w:val="00BA2C54"/>
    <w:rsid w:val="00C17C34"/>
    <w:rsid w:val="00C6640D"/>
    <w:rsid w:val="00C71413"/>
    <w:rsid w:val="00CE7C93"/>
    <w:rsid w:val="00D2473C"/>
    <w:rsid w:val="00E47B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C574"/>
  <w15:chartTrackingRefBased/>
  <w15:docId w15:val="{17653CA7-3049-4263-AE24-FD30B41B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4C"/>
    <w:pPr>
      <w:ind w:left="720"/>
      <w:contextualSpacing/>
    </w:pPr>
  </w:style>
  <w:style w:type="paragraph" w:styleId="Caption">
    <w:name w:val="caption"/>
    <w:basedOn w:val="Normal"/>
    <w:next w:val="Normal"/>
    <w:uiPriority w:val="35"/>
    <w:unhideWhenUsed/>
    <w:qFormat/>
    <w:rsid w:val="00C17C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91813">
      <w:bodyDiv w:val="1"/>
      <w:marLeft w:val="0"/>
      <w:marRight w:val="0"/>
      <w:marTop w:val="0"/>
      <w:marBottom w:val="0"/>
      <w:divBdr>
        <w:top w:val="none" w:sz="0" w:space="0" w:color="auto"/>
        <w:left w:val="none" w:sz="0" w:space="0" w:color="auto"/>
        <w:bottom w:val="none" w:sz="0" w:space="0" w:color="auto"/>
        <w:right w:val="none" w:sz="0" w:space="0" w:color="auto"/>
      </w:divBdr>
    </w:div>
    <w:div w:id="1006905267">
      <w:bodyDiv w:val="1"/>
      <w:marLeft w:val="0"/>
      <w:marRight w:val="0"/>
      <w:marTop w:val="0"/>
      <w:marBottom w:val="0"/>
      <w:divBdr>
        <w:top w:val="none" w:sz="0" w:space="0" w:color="auto"/>
        <w:left w:val="none" w:sz="0" w:space="0" w:color="auto"/>
        <w:bottom w:val="none" w:sz="0" w:space="0" w:color="auto"/>
        <w:right w:val="none" w:sz="0" w:space="0" w:color="auto"/>
      </w:divBdr>
    </w:div>
    <w:div w:id="1541939446">
      <w:bodyDiv w:val="1"/>
      <w:marLeft w:val="0"/>
      <w:marRight w:val="0"/>
      <w:marTop w:val="0"/>
      <w:marBottom w:val="0"/>
      <w:divBdr>
        <w:top w:val="none" w:sz="0" w:space="0" w:color="auto"/>
        <w:left w:val="none" w:sz="0" w:space="0" w:color="auto"/>
        <w:bottom w:val="none" w:sz="0" w:space="0" w:color="auto"/>
        <w:right w:val="none" w:sz="0" w:space="0" w:color="auto"/>
      </w:divBdr>
    </w:div>
    <w:div w:id="1869097088">
      <w:bodyDiv w:val="1"/>
      <w:marLeft w:val="0"/>
      <w:marRight w:val="0"/>
      <w:marTop w:val="0"/>
      <w:marBottom w:val="0"/>
      <w:divBdr>
        <w:top w:val="none" w:sz="0" w:space="0" w:color="auto"/>
        <w:left w:val="none" w:sz="0" w:space="0" w:color="auto"/>
        <w:bottom w:val="none" w:sz="0" w:space="0" w:color="auto"/>
        <w:right w:val="none" w:sz="0" w:space="0" w:color="auto"/>
      </w:divBdr>
      <w:divsChild>
        <w:div w:id="1613130222">
          <w:marLeft w:val="0"/>
          <w:marRight w:val="0"/>
          <w:marTop w:val="0"/>
          <w:marBottom w:val="0"/>
          <w:divBdr>
            <w:top w:val="none" w:sz="0" w:space="0" w:color="auto"/>
            <w:left w:val="none" w:sz="0" w:space="0" w:color="auto"/>
            <w:bottom w:val="none" w:sz="0" w:space="0" w:color="auto"/>
            <w:right w:val="none" w:sz="0" w:space="0" w:color="auto"/>
          </w:divBdr>
          <w:divsChild>
            <w:div w:id="658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728">
      <w:bodyDiv w:val="1"/>
      <w:marLeft w:val="0"/>
      <w:marRight w:val="0"/>
      <w:marTop w:val="0"/>
      <w:marBottom w:val="0"/>
      <w:divBdr>
        <w:top w:val="none" w:sz="0" w:space="0" w:color="auto"/>
        <w:left w:val="none" w:sz="0" w:space="0" w:color="auto"/>
        <w:bottom w:val="none" w:sz="0" w:space="0" w:color="auto"/>
        <w:right w:val="none" w:sz="0" w:space="0" w:color="auto"/>
      </w:divBdr>
    </w:div>
    <w:div w:id="2093232984">
      <w:bodyDiv w:val="1"/>
      <w:marLeft w:val="0"/>
      <w:marRight w:val="0"/>
      <w:marTop w:val="0"/>
      <w:marBottom w:val="0"/>
      <w:divBdr>
        <w:top w:val="none" w:sz="0" w:space="0" w:color="auto"/>
        <w:left w:val="none" w:sz="0" w:space="0" w:color="auto"/>
        <w:bottom w:val="none" w:sz="0" w:space="0" w:color="auto"/>
        <w:right w:val="none" w:sz="0" w:space="0" w:color="auto"/>
      </w:divBdr>
      <w:divsChild>
        <w:div w:id="475419610">
          <w:marLeft w:val="0"/>
          <w:marRight w:val="0"/>
          <w:marTop w:val="0"/>
          <w:marBottom w:val="0"/>
          <w:divBdr>
            <w:top w:val="none" w:sz="0" w:space="0" w:color="auto"/>
            <w:left w:val="none" w:sz="0" w:space="0" w:color="auto"/>
            <w:bottom w:val="none" w:sz="0" w:space="0" w:color="auto"/>
            <w:right w:val="none" w:sz="0" w:space="0" w:color="auto"/>
          </w:divBdr>
          <w:divsChild>
            <w:div w:id="4889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Lin\Desktop\excel_Star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ylvia/Desktop/Data_KL/Data/uci-irv-data-pt-11-2019-u-c-2/Homework/01-Excel/Instructions/excel_Star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ylvia/Desktop/Data_KL/Data/uci-irv-data-pt-11-2019-u-c-2/Homework/01-Excel/Instructions/excel_Star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ylvia/Desktop/Data_KL/Data/uci-irv-data-pt-11-2019-u-c-2/Homework/01-Excel/Instructions/excel_Starte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[excel_Starter.xlsx]ColumnPivotChart!PivotTable1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outerShdw blurRad="38100" dist="25400" dir="5400000" algn="ctr">
                    <a:srgbClr val="6E747A">
                      <a:alpha val="43000"/>
                    </a:srgbClr>
                  </a:outerShdw>
                </a:effectLst>
              </a:rPr>
              <a:t>Countries and Categories</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ColumnPivotChart!$B$3:$B$4</c:f>
              <c:strCache>
                <c:ptCount val="1"/>
                <c:pt idx="0">
                  <c:v>successful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ColumnPivotChart!$A$5:$A$14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ColumnPivotChart!$B$5:$B$14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2C6E-4A91-9D40-DB2C03EB814E}"/>
            </c:ext>
          </c:extLst>
        </c:ser>
        <c:ser>
          <c:idx val="1"/>
          <c:order val="1"/>
          <c:tx>
            <c:strRef>
              <c:f>ColumnPivotChart!$C$3:$C$4</c:f>
              <c:strCache>
                <c:ptCount val="1"/>
                <c:pt idx="0">
                  <c:v>failed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ColumnPivotChart!$A$5:$A$14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ColumnPivotChart!$C$5:$C$14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2C6E-4A91-9D40-DB2C03EB814E}"/>
            </c:ext>
          </c:extLst>
        </c:ser>
        <c:ser>
          <c:idx val="2"/>
          <c:order val="2"/>
          <c:tx>
            <c:strRef>
              <c:f>ColumnPivotChart!$D$3:$D$4</c:f>
              <c:strCache>
                <c:ptCount val="1"/>
                <c:pt idx="0">
                  <c:v>canceled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ColumnPivotChart!$A$5:$A$14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ColumnPivotChart!$D$5:$D$14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2C6E-4A91-9D40-DB2C03EB814E}"/>
            </c:ext>
          </c:extLst>
        </c:ser>
        <c:ser>
          <c:idx val="3"/>
          <c:order val="3"/>
          <c:tx>
            <c:strRef>
              <c:f>ColumnPivotChart!$E$3:$E$4</c:f>
              <c:strCache>
                <c:ptCount val="1"/>
                <c:pt idx="0">
                  <c:v>live</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ColumnPivotChart!$A$5:$A$14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ColumnPivotChart!$E$5:$E$14</c:f>
              <c:numCache>
                <c:formatCode>General</c:formatCode>
                <c:ptCount val="9"/>
                <c:pt idx="1">
                  <c:v>6</c:v>
                </c:pt>
                <c:pt idx="4">
                  <c:v>20</c:v>
                </c:pt>
                <c:pt idx="8">
                  <c:v>24</c:v>
                </c:pt>
              </c:numCache>
            </c:numRef>
          </c:val>
          <c:extLst>
            <c:ext xmlns:c16="http://schemas.microsoft.com/office/drawing/2014/chart" uri="{C3380CC4-5D6E-409C-BE32-E72D297353CC}">
              <c16:uniqueId val="{00000003-2C6E-4A91-9D40-DB2C03EB814E}"/>
            </c:ext>
          </c:extLst>
        </c:ser>
        <c:dLbls>
          <c:dLblPos val="ctr"/>
          <c:showLegendKey val="0"/>
          <c:showVal val="1"/>
          <c:showCatName val="0"/>
          <c:showSerName val="0"/>
          <c:showPercent val="0"/>
          <c:showBubbleSize val="0"/>
        </c:dLbls>
        <c:gapWidth val="150"/>
        <c:overlap val="100"/>
        <c:axId val="1903643263"/>
        <c:axId val="1903552175"/>
      </c:barChart>
      <c:catAx>
        <c:axId val="190364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552175"/>
        <c:crosses val="autoZero"/>
        <c:auto val="1"/>
        <c:lblAlgn val="ctr"/>
        <c:lblOffset val="100"/>
        <c:noMultiLvlLbl val="0"/>
      </c:catAx>
      <c:valAx>
        <c:axId val="1903552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643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[excel_Starter.xlsx]PivotSubCategory!PivotTable2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PivotSubCategory!$B$4:$B$5</c:f>
              <c:strCache>
                <c:ptCount val="1"/>
                <c:pt idx="0">
                  <c:v>canceled</c:v>
                </c:pt>
              </c:strCache>
            </c:strRef>
          </c:tx>
          <c:spPr>
            <a:solidFill>
              <a:schemeClr val="accent1"/>
            </a:solidFill>
            <a:ln>
              <a:noFill/>
            </a:ln>
            <a:effectLst/>
          </c:spPr>
          <c:invertIfNegative val="0"/>
          <c:cat>
            <c:strRef>
              <c:f>PivotSubCategory!$A$6:$A$47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592E-A446-893A-A3DF43B29B10}"/>
            </c:ext>
          </c:extLst>
        </c:ser>
        <c:ser>
          <c:idx val="1"/>
          <c:order val="1"/>
          <c:tx>
            <c:strRef>
              <c:f>PivotSubCategory!$C$4:$C$5</c:f>
              <c:strCache>
                <c:ptCount val="1"/>
                <c:pt idx="0">
                  <c:v>failed</c:v>
                </c:pt>
              </c:strCache>
            </c:strRef>
          </c:tx>
          <c:spPr>
            <a:solidFill>
              <a:schemeClr val="accent2"/>
            </a:solidFill>
            <a:ln>
              <a:noFill/>
            </a:ln>
            <a:effectLst/>
          </c:spPr>
          <c:invertIfNegative val="0"/>
          <c:cat>
            <c:strRef>
              <c:f>PivotSubCategory!$A$6:$A$47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92E-A446-893A-A3DF43B29B10}"/>
            </c:ext>
          </c:extLst>
        </c:ser>
        <c:ser>
          <c:idx val="2"/>
          <c:order val="2"/>
          <c:tx>
            <c:strRef>
              <c:f>PivotSubCategory!$D$4:$D$5</c:f>
              <c:strCache>
                <c:ptCount val="1"/>
                <c:pt idx="0">
                  <c:v>live</c:v>
                </c:pt>
              </c:strCache>
            </c:strRef>
          </c:tx>
          <c:spPr>
            <a:solidFill>
              <a:schemeClr val="accent3"/>
            </a:solidFill>
            <a:ln>
              <a:noFill/>
            </a:ln>
            <a:effectLst/>
          </c:spPr>
          <c:invertIfNegative val="0"/>
          <c:cat>
            <c:strRef>
              <c:f>PivotSubCategory!$A$6:$A$47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592E-A446-893A-A3DF43B29B10}"/>
            </c:ext>
          </c:extLst>
        </c:ser>
        <c:ser>
          <c:idx val="3"/>
          <c:order val="3"/>
          <c:tx>
            <c:strRef>
              <c:f>PivotSubCategory!$E$4:$E$5</c:f>
              <c:strCache>
                <c:ptCount val="1"/>
                <c:pt idx="0">
                  <c:v>successful</c:v>
                </c:pt>
              </c:strCache>
            </c:strRef>
          </c:tx>
          <c:spPr>
            <a:solidFill>
              <a:schemeClr val="accent4"/>
            </a:solidFill>
            <a:ln>
              <a:noFill/>
            </a:ln>
            <a:effectLst/>
          </c:spPr>
          <c:invertIfNegative val="0"/>
          <c:cat>
            <c:strRef>
              <c:f>PivotSubCategory!$A$6:$A$47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592E-A446-893A-A3DF43B29B10}"/>
            </c:ext>
          </c:extLst>
        </c:ser>
        <c:dLbls>
          <c:showLegendKey val="0"/>
          <c:showVal val="0"/>
          <c:showCatName val="0"/>
          <c:showSerName val="0"/>
          <c:showPercent val="0"/>
          <c:showBubbleSize val="0"/>
        </c:dLbls>
        <c:gapWidth val="150"/>
        <c:overlap val="100"/>
        <c:axId val="1965507151"/>
        <c:axId val="1963250895"/>
      </c:barChart>
      <c:catAx>
        <c:axId val="1965507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250895"/>
        <c:crosses val="autoZero"/>
        <c:auto val="1"/>
        <c:lblAlgn val="ctr"/>
        <c:lblOffset val="100"/>
        <c:noMultiLvlLbl val="0"/>
      </c:catAx>
      <c:valAx>
        <c:axId val="196325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507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[excel_Starter.xlsx]PivotYear!PivotTable4</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PivotYear!$B$4:$B$5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PivotYear!$B$6:$B$18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503A-D343-8993-58F8D9A27CFF}"/>
            </c:ext>
          </c:extLst>
        </c:ser>
        <c:ser>
          <c:idx val="1"/>
          <c:order val="1"/>
          <c:tx>
            <c:strRef>
              <c:f>PivotYear!$C$4:$C$5</c:f>
              <c:strCache>
                <c:ptCount val="1"/>
                <c:pt idx="0">
                  <c:v>live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PivotYear!$C$6:$C$18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503A-D343-8993-58F8D9A27CFF}"/>
            </c:ext>
          </c:extLst>
        </c:ser>
        <c:ser>
          <c:idx val="2"/>
          <c:order val="2"/>
          <c:tx>
            <c:strRef>
              <c:f>PivotYear!$D$4:$D$5</c:f>
              <c:strCache>
                <c:ptCount val="1"/>
                <c:pt idx="0">
                  <c:v>failed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PivotYear!$D$6:$D$18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503A-D343-8993-58F8D9A27CFF}"/>
            </c:ext>
          </c:extLst>
        </c:ser>
        <c:ser>
          <c:idx val="3"/>
          <c:order val="3"/>
          <c:tx>
            <c:strRef>
              <c:f>PivotYear!$E$4:$E$5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PivotYear!$E$6:$E$18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3-503A-D343-8993-58F8D9A27CFF}"/>
            </c:ext>
          </c:extLst>
        </c:ser>
        <c:dLbls>
          <c:showLegendKey val="0"/>
          <c:showVal val="0"/>
          <c:showCatName val="0"/>
          <c:showSerName val="0"/>
          <c:showPercent val="0"/>
          <c:showBubbleSize val="0"/>
        </c:dLbls>
        <c:marker val="1"/>
        <c:smooth val="0"/>
        <c:axId val="1991597551"/>
        <c:axId val="1945742911"/>
      </c:lineChart>
      <c:catAx>
        <c:axId val="199159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742911"/>
        <c:crosses val="autoZero"/>
        <c:auto val="1"/>
        <c:lblAlgn val="ctr"/>
        <c:lblOffset val="100"/>
        <c:noMultiLvlLbl val="0"/>
      </c:catAx>
      <c:valAx>
        <c:axId val="194574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5975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[excel_Starter.xlsx]Others!PivotTable4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Others!$B$71</c:f>
              <c:strCache>
                <c:ptCount val="1"/>
                <c:pt idx="0">
                  <c:v>Total</c:v>
                </c:pt>
              </c:strCache>
            </c:strRef>
          </c:tx>
          <c:spPr>
            <a:ln w="28575" cap="rnd">
              <a:solidFill>
                <a:schemeClr val="accent1"/>
              </a:solidFill>
              <a:round/>
            </a:ln>
            <a:effectLst/>
          </c:spPr>
          <c:marker>
            <c:symbol val="none"/>
          </c:marker>
          <c:cat>
            <c:strRef>
              <c:f>Others!$A$72:$A$81</c:f>
              <c:strCache>
                <c:ptCount val="9"/>
                <c:pt idx="0">
                  <c:v>2009</c:v>
                </c:pt>
                <c:pt idx="1">
                  <c:v>2010</c:v>
                </c:pt>
                <c:pt idx="2">
                  <c:v>2011</c:v>
                </c:pt>
                <c:pt idx="3">
                  <c:v>2012</c:v>
                </c:pt>
                <c:pt idx="4">
                  <c:v>2013</c:v>
                </c:pt>
                <c:pt idx="5">
                  <c:v>2014</c:v>
                </c:pt>
                <c:pt idx="6">
                  <c:v>2015</c:v>
                </c:pt>
                <c:pt idx="7">
                  <c:v>2016</c:v>
                </c:pt>
                <c:pt idx="8">
                  <c:v>2017</c:v>
                </c:pt>
              </c:strCache>
            </c:strRef>
          </c:cat>
          <c:val>
            <c:numRef>
              <c:f>Others!$B$72:$B$81</c:f>
              <c:numCache>
                <c:formatCode>General</c:formatCode>
                <c:ptCount val="9"/>
                <c:pt idx="0">
                  <c:v>14</c:v>
                </c:pt>
                <c:pt idx="1">
                  <c:v>65</c:v>
                </c:pt>
                <c:pt idx="2">
                  <c:v>171</c:v>
                </c:pt>
                <c:pt idx="3">
                  <c:v>282</c:v>
                </c:pt>
                <c:pt idx="4">
                  <c:v>274</c:v>
                </c:pt>
                <c:pt idx="5">
                  <c:v>976</c:v>
                </c:pt>
                <c:pt idx="6">
                  <c:v>1225</c:v>
                </c:pt>
                <c:pt idx="7">
                  <c:v>950</c:v>
                </c:pt>
                <c:pt idx="8">
                  <c:v>157</c:v>
                </c:pt>
              </c:numCache>
            </c:numRef>
          </c:val>
          <c:smooth val="0"/>
          <c:extLst>
            <c:ext xmlns:c16="http://schemas.microsoft.com/office/drawing/2014/chart" uri="{C3380CC4-5D6E-409C-BE32-E72D297353CC}">
              <c16:uniqueId val="{00000000-874B-3249-A7D0-F1FA6C87E716}"/>
            </c:ext>
          </c:extLst>
        </c:ser>
        <c:dLbls>
          <c:showLegendKey val="0"/>
          <c:showVal val="0"/>
          <c:showCatName val="0"/>
          <c:showSerName val="0"/>
          <c:showPercent val="0"/>
          <c:showBubbleSize val="0"/>
        </c:dLbls>
        <c:smooth val="0"/>
        <c:axId val="950833152"/>
        <c:axId val="950843136"/>
      </c:lineChart>
      <c:catAx>
        <c:axId val="950833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843136"/>
        <c:crosses val="autoZero"/>
        <c:auto val="1"/>
        <c:lblAlgn val="ctr"/>
        <c:lblOffset val="100"/>
        <c:noMultiLvlLbl val="0"/>
      </c:catAx>
      <c:valAx>
        <c:axId val="95084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Projects created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833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LinKeChing</dc:creator>
  <cp:keywords/>
  <dc:description/>
  <cp:lastModifiedBy>LinKeChing</cp:lastModifiedBy>
  <cp:revision>3</cp:revision>
  <dcterms:created xsi:type="dcterms:W3CDTF">2019-12-03T02:12:00Z</dcterms:created>
  <dcterms:modified xsi:type="dcterms:W3CDTF">2019-12-07T09:29:00Z</dcterms:modified>
</cp:coreProperties>
</file>