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CFAF" w14:textId="77777777" w:rsidR="00870EC9" w:rsidRDefault="00E01DF4" w:rsidP="002035DB">
      <w:pPr>
        <w:spacing w:after="720" w:line="276" w:lineRule="auto"/>
        <w:ind w:left="180"/>
        <w:jc w:val="both"/>
      </w:pPr>
      <w:r>
        <w:rPr>
          <w:b/>
        </w:rPr>
        <w:t>INTERNATIONAL UNIVERSITY - VIETNAM NATIONAL UNIVERSITY HCMC</w:t>
      </w:r>
    </w:p>
    <w:p w14:paraId="79334583" w14:textId="77777777" w:rsidR="00870EC9" w:rsidRDefault="00E01DF4" w:rsidP="002035DB">
      <w:pPr>
        <w:spacing w:after="674" w:line="276" w:lineRule="auto"/>
        <w:ind w:left="270"/>
        <w:jc w:val="both"/>
      </w:pPr>
      <w:r>
        <w:rPr>
          <w:b/>
        </w:rPr>
        <w:t>SCHOOL OF BUSINESS</w:t>
      </w:r>
    </w:p>
    <w:p w14:paraId="3EFEA3BB" w14:textId="77777777" w:rsidR="00870EC9" w:rsidRDefault="00E01DF4" w:rsidP="002035DB">
      <w:pPr>
        <w:spacing w:after="2162" w:line="276" w:lineRule="auto"/>
        <w:ind w:left="1260" w:hanging="1260"/>
        <w:jc w:val="both"/>
      </w:pPr>
      <w:r>
        <w:rPr>
          <w:noProof/>
        </w:rPr>
        <w:drawing>
          <wp:inline distT="0" distB="0" distL="0" distR="0" wp14:anchorId="7F7B1EC1">
            <wp:extent cx="3181350" cy="3171825"/>
            <wp:effectExtent l="0" t="0" r="0" b="0"/>
            <wp:docPr id="32" name="Picture 3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32" descr="A blue and white logo&#10;&#10;Description automatically generated"/>
                    <pic:cNvPicPr/>
                  </pic:nvPicPr>
                  <pic:blipFill>
                    <a:blip r:embed="rId10"/>
                    <a:stretch>
                      <a:fillRect/>
                    </a:stretch>
                  </pic:blipFill>
                  <pic:spPr>
                    <a:xfrm>
                      <a:off x="0" y="0"/>
                      <a:ext cx="3181350" cy="3171825"/>
                    </a:xfrm>
                    <a:prstGeom prst="rect">
                      <a:avLst/>
                    </a:prstGeom>
                  </pic:spPr>
                </pic:pic>
              </a:graphicData>
            </a:graphic>
          </wp:inline>
        </w:drawing>
      </w:r>
    </w:p>
    <w:p w14:paraId="49DC216A" w14:textId="77777777" w:rsidR="00870EC9" w:rsidRDefault="00E01DF4" w:rsidP="002035DB">
      <w:pPr>
        <w:spacing w:after="1899" w:line="276" w:lineRule="auto"/>
        <w:ind w:left="-90"/>
        <w:jc w:val="both"/>
        <w:rPr>
          <w:b/>
        </w:rPr>
      </w:pPr>
      <w:r>
        <w:rPr>
          <w:b/>
        </w:rPr>
        <w:t>PATTERNS, TRENDS, AND DYNAMICS OF FDI INFLOWS AMONG THE TOP 6 MAJOR ECONOMY IN SOUTH ASIA</w:t>
      </w:r>
    </w:p>
    <w:p w14:paraId="1CFAA93D" w14:textId="77777777" w:rsidR="00870EC9" w:rsidRDefault="00E01DF4" w:rsidP="002035DB">
      <w:pPr>
        <w:spacing w:after="748" w:line="276" w:lineRule="auto"/>
        <w:ind w:left="12"/>
        <w:jc w:val="both"/>
        <w:rPr>
          <w:lang w:val="vi-VN"/>
        </w:rPr>
      </w:pPr>
      <w:r>
        <w:rPr>
          <w:b/>
        </w:rPr>
        <w:t xml:space="preserve">Instructor: Mr. </w:t>
      </w:r>
      <w:r>
        <w:rPr>
          <w:b/>
          <w:lang w:val="vi-VN"/>
        </w:rPr>
        <w:t>Nguyen Ba Trung</w:t>
      </w:r>
    </w:p>
    <w:p w14:paraId="59480A68" w14:textId="3DA69A7D" w:rsidR="00870EC9" w:rsidRDefault="00E01DF4" w:rsidP="002035DB">
      <w:pPr>
        <w:spacing w:after="720" w:line="276" w:lineRule="auto"/>
        <w:ind w:left="180"/>
        <w:jc w:val="both"/>
        <w:rPr>
          <w:b/>
        </w:rPr>
      </w:pPr>
      <w:r>
        <w:rPr>
          <w:b/>
          <w:bCs/>
          <w:i/>
          <w:iCs/>
          <w:lang w:val="vi-VN"/>
        </w:rPr>
        <w:br w:type="page"/>
      </w:r>
    </w:p>
    <w:p w14:paraId="3BC41E49" w14:textId="01FF43C6" w:rsidR="00870EC9" w:rsidRPr="0003734A" w:rsidRDefault="0003734A" w:rsidP="002035DB">
      <w:pPr>
        <w:spacing w:line="276" w:lineRule="auto"/>
        <w:jc w:val="both"/>
        <w:rPr>
          <w:b/>
          <w:bCs/>
          <w:i/>
          <w:iCs/>
        </w:rPr>
      </w:pPr>
      <w:r>
        <w:rPr>
          <w:b/>
          <w:bCs/>
          <w:i/>
          <w:iCs/>
          <w:lang w:val="vi-VN"/>
        </w:rPr>
        <w:lastRenderedPageBreak/>
        <w:t>FACTOR DE</w:t>
      </w:r>
      <w:r>
        <w:rPr>
          <w:b/>
          <w:bCs/>
          <w:i/>
          <w:iCs/>
        </w:rPr>
        <w:t>TERMINANTS OF FDI INFLOWS</w:t>
      </w:r>
      <w:r w:rsidR="00D46BB4">
        <w:rPr>
          <w:b/>
          <w:bCs/>
          <w:i/>
          <w:iCs/>
        </w:rPr>
        <w:t xml:space="preserve"> INTO VIETNAM.</w:t>
      </w:r>
    </w:p>
    <w:sdt>
      <w:sdtPr>
        <w:rPr>
          <w:rFonts w:ascii="Times New Roman" w:eastAsia="Times New Roman" w:hAnsi="Times New Roman" w:cs="Times New Roman"/>
          <w:b/>
          <w:bCs/>
          <w:color w:val="auto"/>
          <w:sz w:val="24"/>
          <w:szCs w:val="24"/>
          <w:u w:val="single"/>
          <w:lang w:eastAsia="en-GB"/>
        </w:rPr>
        <w:id w:val="747546078"/>
        <w:docPartObj>
          <w:docPartGallery w:val="Table of Contents"/>
          <w:docPartUnique/>
        </w:docPartObj>
      </w:sdtPr>
      <w:sdtEndPr>
        <w:rPr>
          <w:u w:val="none"/>
        </w:rPr>
      </w:sdtEndPr>
      <w:sdtContent>
        <w:p w14:paraId="10E5AD3D" w14:textId="3A77A24D" w:rsidR="00870EC9" w:rsidRPr="004E1D81" w:rsidRDefault="00E01DF4" w:rsidP="002035DB">
          <w:pPr>
            <w:pStyle w:val="TOCHeading1"/>
            <w:spacing w:line="276" w:lineRule="auto"/>
            <w:jc w:val="both"/>
            <w:rPr>
              <w:rFonts w:ascii="Times New Roman" w:eastAsia="Times New Roman" w:hAnsi="Times New Roman" w:cs="Times New Roman"/>
              <w:b/>
              <w:bCs/>
              <w:color w:val="auto"/>
              <w:sz w:val="24"/>
              <w:szCs w:val="24"/>
              <w:u w:val="single"/>
              <w:lang w:eastAsia="en-GB"/>
            </w:rPr>
          </w:pPr>
          <w:r>
            <w:rPr>
              <w:rFonts w:ascii="Times New Roman" w:hAnsi="Times New Roman" w:cs="Times New Roman"/>
              <w:b/>
              <w:bCs/>
              <w:color w:val="auto"/>
              <w:sz w:val="24"/>
              <w:szCs w:val="24"/>
              <w:u w:val="single"/>
            </w:rPr>
            <w:t>Table of Contents</w:t>
          </w:r>
        </w:p>
        <w:p w14:paraId="5633BDF9" w14:textId="77777777" w:rsidR="00870EC9" w:rsidRDefault="00870EC9" w:rsidP="002035DB">
          <w:pPr>
            <w:spacing w:line="276" w:lineRule="auto"/>
            <w:jc w:val="both"/>
            <w:rPr>
              <w:lang w:eastAsia="en-US"/>
            </w:rPr>
          </w:pPr>
        </w:p>
        <w:p w14:paraId="1A0BD7DF" w14:textId="77777777" w:rsidR="00870EC9" w:rsidRDefault="00E01DF4" w:rsidP="002035DB">
          <w:pPr>
            <w:pStyle w:val="ListParagraph"/>
            <w:numPr>
              <w:ilvl w:val="0"/>
              <w:numId w:val="1"/>
            </w:numPr>
            <w:spacing w:line="276" w:lineRule="auto"/>
            <w:ind w:left="270" w:hanging="270"/>
            <w:jc w:val="both"/>
            <w:rPr>
              <w:rFonts w:ascii="Times New Roman" w:hAnsi="Times New Roman" w:cs="Times New Roman"/>
              <w:b/>
              <w:bCs/>
            </w:rPr>
          </w:pPr>
          <w:r>
            <w:rPr>
              <w:rFonts w:ascii="Times New Roman" w:hAnsi="Times New Roman" w:cs="Times New Roman"/>
              <w:b/>
              <w:bCs/>
            </w:rPr>
            <w:t>INTRODUCTION</w:t>
          </w:r>
        </w:p>
        <w:p w14:paraId="53653464" w14:textId="77777777" w:rsidR="00870EC9" w:rsidRDefault="00E01DF4" w:rsidP="002035DB">
          <w:pPr>
            <w:pStyle w:val="TOC1"/>
            <w:spacing w:line="276" w:lineRule="auto"/>
            <w:jc w:val="both"/>
            <w:rPr>
              <w:color w:val="0000FF"/>
              <w:u w:val="single"/>
            </w:rPr>
          </w:pPr>
          <w:r>
            <w:fldChar w:fldCharType="begin"/>
          </w:r>
          <w:r>
            <w:instrText xml:space="preserve"> TOC \o "1-3" \h \z \u </w:instrText>
          </w:r>
          <w:r>
            <w:fldChar w:fldCharType="separate"/>
          </w:r>
          <w:hyperlink w:anchor="_Toc157241245" w:history="1">
            <w:r>
              <w:rPr>
                <w:rStyle w:val="Hyperlink"/>
              </w:rPr>
              <w:t>ABSTRACT:</w:t>
            </w:r>
            <w:r>
              <w:tab/>
            </w:r>
            <w:r>
              <w:fldChar w:fldCharType="begin"/>
            </w:r>
            <w:r>
              <w:instrText xml:space="preserve"> PAGEREF _Toc157241245 \h </w:instrText>
            </w:r>
            <w:r>
              <w:fldChar w:fldCharType="separate"/>
            </w:r>
            <w:r>
              <w:t>4</w:t>
            </w:r>
            <w:r>
              <w:fldChar w:fldCharType="end"/>
            </w:r>
          </w:hyperlink>
        </w:p>
        <w:p w14:paraId="6C97CAE0"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46" w:history="1">
            <w:r>
              <w:rPr>
                <w:rStyle w:val="Hyperlink"/>
              </w:rPr>
              <w:t>1. REVIEW OF THE RELATED TOPIC.</w:t>
            </w:r>
            <w:r>
              <w:tab/>
            </w:r>
            <w:r>
              <w:fldChar w:fldCharType="begin"/>
            </w:r>
            <w:r>
              <w:instrText xml:space="preserve"> PAGEREF _Toc157241246 \h </w:instrText>
            </w:r>
            <w:r>
              <w:fldChar w:fldCharType="separate"/>
            </w:r>
            <w:r>
              <w:t>4</w:t>
            </w:r>
            <w:r>
              <w:fldChar w:fldCharType="end"/>
            </w:r>
          </w:hyperlink>
        </w:p>
        <w:p w14:paraId="164ED875"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47" w:history="1">
            <w:r>
              <w:rPr>
                <w:rStyle w:val="Hyperlink"/>
              </w:rPr>
              <w:t>1.1. Main factor affecting the FDI flow in the current context of integration.</w:t>
            </w:r>
            <w:r>
              <w:tab/>
            </w:r>
            <w:r>
              <w:fldChar w:fldCharType="begin"/>
            </w:r>
            <w:r>
              <w:instrText xml:space="preserve"> PAGEREF _Toc157241247 \h </w:instrText>
            </w:r>
            <w:r>
              <w:fldChar w:fldCharType="separate"/>
            </w:r>
            <w:r>
              <w:t>4</w:t>
            </w:r>
            <w:r>
              <w:fldChar w:fldCharType="end"/>
            </w:r>
          </w:hyperlink>
        </w:p>
        <w:p w14:paraId="69D2B553"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48" w:history="1">
            <w:r>
              <w:rPr>
                <w:rStyle w:val="Hyperlink"/>
              </w:rPr>
              <w:t>1.2. The case of 9 selected countries.</w:t>
            </w:r>
            <w:r>
              <w:tab/>
            </w:r>
            <w:r>
              <w:fldChar w:fldCharType="begin"/>
            </w:r>
            <w:r>
              <w:instrText xml:space="preserve"> PAGEREF _Toc157241248 \h </w:instrText>
            </w:r>
            <w:r>
              <w:fldChar w:fldCharType="separate"/>
            </w:r>
            <w:r>
              <w:t>5</w:t>
            </w:r>
            <w:r>
              <w:fldChar w:fldCharType="end"/>
            </w:r>
          </w:hyperlink>
        </w:p>
        <w:p w14:paraId="53833387"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49" w:history="1">
            <w:r>
              <w:rPr>
                <w:rStyle w:val="Hyperlink"/>
              </w:rPr>
              <w:t>2. THE PURPOSE OF THE REPORT.</w:t>
            </w:r>
            <w:r>
              <w:tab/>
            </w:r>
            <w:r>
              <w:fldChar w:fldCharType="begin"/>
            </w:r>
            <w:r>
              <w:instrText xml:space="preserve"> PAGEREF _Toc157241249 \h </w:instrText>
            </w:r>
            <w:r>
              <w:fldChar w:fldCharType="separate"/>
            </w:r>
            <w:r>
              <w:t>6</w:t>
            </w:r>
            <w:r>
              <w:fldChar w:fldCharType="end"/>
            </w:r>
          </w:hyperlink>
        </w:p>
        <w:p w14:paraId="6B5C9DFA"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50" w:history="1">
            <w:r>
              <w:rPr>
                <w:rStyle w:val="Hyperlink"/>
              </w:rPr>
              <w:t xml:space="preserve">2.1. </w:t>
            </w:r>
            <w:r>
              <w:rPr>
                <w:rStyle w:val="Hyperlink"/>
                <w:lang w:val="vi-VN"/>
              </w:rPr>
              <w:t xml:space="preserve"> </w:t>
            </w:r>
            <w:r>
              <w:rPr>
                <w:rStyle w:val="Hyperlink"/>
              </w:rPr>
              <w:t>Methodology/ Data collection:</w:t>
            </w:r>
            <w:r>
              <w:tab/>
            </w:r>
            <w:r>
              <w:fldChar w:fldCharType="begin"/>
            </w:r>
            <w:r>
              <w:instrText xml:space="preserve"> PAGEREF _Toc157241250 \h </w:instrText>
            </w:r>
            <w:r>
              <w:fldChar w:fldCharType="separate"/>
            </w:r>
            <w:r>
              <w:t>6</w:t>
            </w:r>
            <w:r>
              <w:fldChar w:fldCharType="end"/>
            </w:r>
          </w:hyperlink>
        </w:p>
        <w:p w14:paraId="5B257B27" w14:textId="77777777" w:rsidR="00870EC9" w:rsidRDefault="00E01DF4" w:rsidP="002035DB">
          <w:pPr>
            <w:pStyle w:val="TOC2"/>
            <w:tabs>
              <w:tab w:val="right" w:leader="dot" w:pos="9016"/>
            </w:tabs>
            <w:spacing w:line="276" w:lineRule="auto"/>
            <w:jc w:val="both"/>
            <w:rPr>
              <w:rStyle w:val="Hyperlink"/>
            </w:rPr>
          </w:pPr>
          <w:hyperlink w:anchor="_Toc157241251" w:history="1">
            <w:r>
              <w:rPr>
                <w:rStyle w:val="Hyperlink"/>
              </w:rPr>
              <w:t xml:space="preserve">2.2. </w:t>
            </w:r>
            <w:r>
              <w:rPr>
                <w:rStyle w:val="Hyperlink"/>
                <w:lang w:val="vi-VN"/>
              </w:rPr>
              <w:t xml:space="preserve"> </w:t>
            </w:r>
            <w:r>
              <w:rPr>
                <w:rStyle w:val="Hyperlink"/>
              </w:rPr>
              <w:t>Scope of the report.</w:t>
            </w:r>
            <w:r>
              <w:tab/>
            </w:r>
            <w:r>
              <w:fldChar w:fldCharType="begin"/>
            </w:r>
            <w:r>
              <w:instrText xml:space="preserve"> PAGEREF _Toc157241251 \h </w:instrText>
            </w:r>
            <w:r>
              <w:fldChar w:fldCharType="separate"/>
            </w:r>
            <w:r>
              <w:t>6</w:t>
            </w:r>
            <w:r>
              <w:fldChar w:fldCharType="end"/>
            </w:r>
          </w:hyperlink>
        </w:p>
        <w:p w14:paraId="47F26042" w14:textId="77777777" w:rsidR="00870EC9" w:rsidRDefault="00870EC9" w:rsidP="002035DB">
          <w:pPr>
            <w:spacing w:line="276" w:lineRule="auto"/>
            <w:jc w:val="both"/>
          </w:pPr>
        </w:p>
        <w:p w14:paraId="38639CB1" w14:textId="77777777" w:rsidR="00870EC9" w:rsidRDefault="00E01DF4" w:rsidP="002035DB">
          <w:pPr>
            <w:spacing w:line="276" w:lineRule="auto"/>
            <w:jc w:val="both"/>
            <w:rPr>
              <w:rFonts w:eastAsiaTheme="minorEastAsia"/>
              <w:b/>
              <w:bCs/>
              <w:lang w:val="vi-VN"/>
            </w:rPr>
          </w:pPr>
          <w:r>
            <w:rPr>
              <w:rFonts w:eastAsiaTheme="minorEastAsia"/>
              <w:b/>
              <w:bCs/>
            </w:rPr>
            <w:t>II</w:t>
          </w:r>
          <w:r>
            <w:rPr>
              <w:rFonts w:eastAsiaTheme="minorEastAsia"/>
              <w:b/>
              <w:bCs/>
              <w:lang w:val="vi-VN"/>
            </w:rPr>
            <w:t>. EMPERICAL FINDING</w:t>
          </w:r>
        </w:p>
        <w:p w14:paraId="607F0E89"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52" w:history="1">
            <w:r>
              <w:rPr>
                <w:rStyle w:val="Hyperlink"/>
              </w:rPr>
              <w:t>descriptive analysis</w:t>
            </w:r>
            <w:r>
              <w:tab/>
            </w:r>
            <w:r>
              <w:fldChar w:fldCharType="begin"/>
            </w:r>
            <w:r>
              <w:instrText xml:space="preserve"> PAGEREF _Toc157241252 \h </w:instrText>
            </w:r>
            <w:r>
              <w:fldChar w:fldCharType="separate"/>
            </w:r>
            <w:r>
              <w:t>7</w:t>
            </w:r>
            <w:r>
              <w:fldChar w:fldCharType="end"/>
            </w:r>
          </w:hyperlink>
        </w:p>
        <w:p w14:paraId="055D8E9E"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53" w:history="1">
            <w:r>
              <w:rPr>
                <w:rStyle w:val="Hyperlink"/>
              </w:rPr>
              <w:t>1. SITUATION OF FDI IN VIET NAM OVER THE PAST FEW DECADES</w:t>
            </w:r>
            <w:r>
              <w:tab/>
            </w:r>
            <w:r>
              <w:fldChar w:fldCharType="begin"/>
            </w:r>
            <w:r>
              <w:instrText xml:space="preserve"> PAGEREF _Toc157241253 \h </w:instrText>
            </w:r>
            <w:r>
              <w:fldChar w:fldCharType="separate"/>
            </w:r>
            <w:r>
              <w:t>7</w:t>
            </w:r>
            <w:r>
              <w:fldChar w:fldCharType="end"/>
            </w:r>
          </w:hyperlink>
        </w:p>
        <w:p w14:paraId="7134E5A3"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54" w:history="1">
            <w:r>
              <w:rPr>
                <w:rStyle w:val="Hyperlink"/>
              </w:rPr>
              <w:t>2. FDI FLOW OF SELECTED COUNTRIES IN THE CURRENT CONTEXT</w:t>
            </w:r>
            <w:r>
              <w:tab/>
            </w:r>
            <w:r>
              <w:fldChar w:fldCharType="begin"/>
            </w:r>
            <w:r>
              <w:instrText xml:space="preserve"> PAGEREF _Toc157241254 \h </w:instrText>
            </w:r>
            <w:r>
              <w:fldChar w:fldCharType="separate"/>
            </w:r>
            <w:r>
              <w:t>7</w:t>
            </w:r>
            <w:r>
              <w:fldChar w:fldCharType="end"/>
            </w:r>
          </w:hyperlink>
        </w:p>
        <w:p w14:paraId="155A9ECB"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55" w:history="1">
            <w:r>
              <w:rPr>
                <w:rStyle w:val="Hyperlink"/>
              </w:rPr>
              <w:t>2.1. FDI flow in ASEAN Nations.</w:t>
            </w:r>
            <w:r>
              <w:tab/>
            </w:r>
            <w:r>
              <w:fldChar w:fldCharType="begin"/>
            </w:r>
            <w:r>
              <w:instrText xml:space="preserve"> PAGEREF _Toc157241255 \h </w:instrText>
            </w:r>
            <w:r>
              <w:fldChar w:fldCharType="separate"/>
            </w:r>
            <w:r>
              <w:t>7</w:t>
            </w:r>
            <w:r>
              <w:fldChar w:fldCharType="end"/>
            </w:r>
          </w:hyperlink>
        </w:p>
        <w:p w14:paraId="508A9FE5"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56" w:history="1">
            <w:r>
              <w:rPr>
                <w:rStyle w:val="Hyperlink"/>
                <w:iCs/>
              </w:rPr>
              <w:t>2.</w:t>
            </w:r>
            <w:r>
              <w:rPr>
                <w:rStyle w:val="Hyperlink"/>
                <w:iCs/>
                <w:lang w:val="vi-VN"/>
              </w:rPr>
              <w:t>2</w:t>
            </w:r>
            <w:r>
              <w:rPr>
                <w:rStyle w:val="Hyperlink"/>
                <w:iCs/>
              </w:rPr>
              <w:t>.</w:t>
            </w:r>
            <w:r>
              <w:rPr>
                <w:rStyle w:val="Hyperlink"/>
                <w:iCs/>
                <w:lang w:val="vi-VN"/>
              </w:rPr>
              <w:t xml:space="preserve"> Comparision between</w:t>
            </w:r>
            <w:r>
              <w:rPr>
                <w:rStyle w:val="Hyperlink"/>
                <w:iCs/>
              </w:rPr>
              <w:t xml:space="preserve"> Viet</w:t>
            </w:r>
            <w:r>
              <w:rPr>
                <w:rStyle w:val="Hyperlink"/>
                <w:iCs/>
                <w:lang w:val="vi-VN"/>
              </w:rPr>
              <w:t xml:space="preserve"> Nam and Indonesia</w:t>
            </w:r>
            <w:r>
              <w:tab/>
            </w:r>
            <w:r>
              <w:fldChar w:fldCharType="begin"/>
            </w:r>
            <w:r>
              <w:instrText xml:space="preserve"> PAGEREF _Toc157241256 \h </w:instrText>
            </w:r>
            <w:r>
              <w:fldChar w:fldCharType="separate"/>
            </w:r>
            <w:r>
              <w:t>9</w:t>
            </w:r>
            <w:r>
              <w:fldChar w:fldCharType="end"/>
            </w:r>
          </w:hyperlink>
        </w:p>
        <w:p w14:paraId="7124FF56"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57" w:history="1">
            <w:r>
              <w:rPr>
                <w:rStyle w:val="Hyperlink"/>
                <w:iCs/>
                <w:lang w:val="vi-VN"/>
              </w:rPr>
              <w:t>2.3</w:t>
            </w:r>
            <w:r>
              <w:rPr>
                <w:rStyle w:val="Hyperlink"/>
                <w:iCs/>
              </w:rPr>
              <w:t>.</w:t>
            </w:r>
            <w:r>
              <w:rPr>
                <w:rStyle w:val="Hyperlink"/>
                <w:iCs/>
                <w:lang w:val="vi-VN"/>
              </w:rPr>
              <w:t xml:space="preserve"> Comparision between</w:t>
            </w:r>
            <w:r>
              <w:rPr>
                <w:rStyle w:val="Hyperlink"/>
                <w:iCs/>
              </w:rPr>
              <w:t xml:space="preserve"> Viet</w:t>
            </w:r>
            <w:r>
              <w:rPr>
                <w:rStyle w:val="Hyperlink"/>
                <w:iCs/>
                <w:lang w:val="vi-VN"/>
              </w:rPr>
              <w:t xml:space="preserve"> Nam and Lao.</w:t>
            </w:r>
            <w:r>
              <w:tab/>
            </w:r>
            <w:r>
              <w:fldChar w:fldCharType="begin"/>
            </w:r>
            <w:r>
              <w:instrText xml:space="preserve"> PAGEREF _Toc157241257 \h </w:instrText>
            </w:r>
            <w:r>
              <w:fldChar w:fldCharType="separate"/>
            </w:r>
            <w:r>
              <w:t>11</w:t>
            </w:r>
            <w:r>
              <w:fldChar w:fldCharType="end"/>
            </w:r>
          </w:hyperlink>
        </w:p>
        <w:p w14:paraId="33647CB4" w14:textId="77777777" w:rsidR="00870EC9" w:rsidRDefault="00E01DF4" w:rsidP="002035DB">
          <w:pPr>
            <w:pStyle w:val="TOC2"/>
            <w:tabs>
              <w:tab w:val="right" w:leader="dot" w:pos="9016"/>
            </w:tabs>
            <w:spacing w:line="276" w:lineRule="auto"/>
            <w:jc w:val="both"/>
            <w:rPr>
              <w:rStyle w:val="Hyperlink"/>
            </w:rPr>
          </w:pPr>
          <w:hyperlink w:anchor="_Toc157241258" w:history="1">
            <w:r>
              <w:rPr>
                <w:rStyle w:val="Hyperlink"/>
                <w:iCs/>
                <w:lang w:val="vi-VN"/>
              </w:rPr>
              <w:t>2.4</w:t>
            </w:r>
            <w:r>
              <w:rPr>
                <w:rStyle w:val="Hyperlink"/>
                <w:iCs/>
              </w:rPr>
              <w:t>.</w:t>
            </w:r>
            <w:r>
              <w:rPr>
                <w:rStyle w:val="Hyperlink"/>
                <w:iCs/>
                <w:lang w:val="vi-VN"/>
              </w:rPr>
              <w:t xml:space="preserve"> Comparision between</w:t>
            </w:r>
            <w:r>
              <w:rPr>
                <w:rStyle w:val="Hyperlink"/>
                <w:iCs/>
              </w:rPr>
              <w:t xml:space="preserve"> Viet</w:t>
            </w:r>
            <w:r>
              <w:rPr>
                <w:rStyle w:val="Hyperlink"/>
                <w:iCs/>
                <w:lang w:val="vi-VN"/>
              </w:rPr>
              <w:t xml:space="preserve"> Nam and Thailand.</w:t>
            </w:r>
            <w:r>
              <w:tab/>
            </w:r>
            <w:r>
              <w:fldChar w:fldCharType="begin"/>
            </w:r>
            <w:r>
              <w:instrText xml:space="preserve"> PAGEREF _Toc157241258 \h </w:instrText>
            </w:r>
            <w:r>
              <w:fldChar w:fldCharType="separate"/>
            </w:r>
            <w:r>
              <w:t>13</w:t>
            </w:r>
            <w:r>
              <w:fldChar w:fldCharType="end"/>
            </w:r>
          </w:hyperlink>
        </w:p>
        <w:p w14:paraId="3110E5F9" w14:textId="77777777" w:rsidR="00870EC9" w:rsidRDefault="00870EC9" w:rsidP="002035DB">
          <w:pPr>
            <w:spacing w:line="276" w:lineRule="auto"/>
            <w:jc w:val="both"/>
            <w:rPr>
              <w:rFonts w:eastAsiaTheme="minorEastAsia"/>
            </w:rPr>
          </w:pPr>
        </w:p>
        <w:p w14:paraId="70536077"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59" w:history="1">
            <w:r>
              <w:rPr>
                <w:rStyle w:val="Hyperlink"/>
              </w:rPr>
              <w:t>inferential statistic</w:t>
            </w:r>
            <w:r>
              <w:tab/>
            </w:r>
            <w:r>
              <w:fldChar w:fldCharType="begin"/>
            </w:r>
            <w:r>
              <w:instrText xml:space="preserve"> PAGEREF _Toc157241259 \h </w:instrText>
            </w:r>
            <w:r>
              <w:fldChar w:fldCharType="separate"/>
            </w:r>
            <w:r>
              <w:t>16</w:t>
            </w:r>
            <w:r>
              <w:fldChar w:fldCharType="end"/>
            </w:r>
          </w:hyperlink>
        </w:p>
        <w:p w14:paraId="49A89B5C"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60" w:history="1">
            <w:r>
              <w:rPr>
                <w:rStyle w:val="Hyperlink"/>
              </w:rPr>
              <w:t>1.MULTIPLE RE</w:t>
            </w:r>
            <w:r>
              <w:rPr>
                <w:rStyle w:val="Hyperlink"/>
              </w:rPr>
              <w:t>G</w:t>
            </w:r>
            <w:r>
              <w:rPr>
                <w:rStyle w:val="Hyperlink"/>
              </w:rPr>
              <w:t>RESSION</w:t>
            </w:r>
            <w:r>
              <w:tab/>
            </w:r>
            <w:r>
              <w:fldChar w:fldCharType="begin"/>
            </w:r>
            <w:r>
              <w:instrText xml:space="preserve"> PAGEREF _Toc157241260 \h </w:instrText>
            </w:r>
            <w:r>
              <w:fldChar w:fldCharType="separate"/>
            </w:r>
            <w:r>
              <w:t>16</w:t>
            </w:r>
            <w:r>
              <w:fldChar w:fldCharType="end"/>
            </w:r>
          </w:hyperlink>
        </w:p>
        <w:p w14:paraId="645CE213"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61" w:history="1">
            <w:r>
              <w:rPr>
                <w:rStyle w:val="Hyperlink"/>
              </w:rPr>
              <w:t>2.RESEARCH RESULT</w:t>
            </w:r>
            <w:r>
              <w:tab/>
            </w:r>
            <w:r>
              <w:fldChar w:fldCharType="begin"/>
            </w:r>
            <w:r>
              <w:instrText xml:space="preserve"> PAGEREF _Toc157241261 \h </w:instrText>
            </w:r>
            <w:r>
              <w:fldChar w:fldCharType="separate"/>
            </w:r>
            <w:r>
              <w:t>17</w:t>
            </w:r>
            <w:r>
              <w:fldChar w:fldCharType="end"/>
            </w:r>
          </w:hyperlink>
        </w:p>
        <w:p w14:paraId="5A59E1F2" w14:textId="77777777" w:rsidR="00870EC9" w:rsidRDefault="00E01DF4" w:rsidP="002035DB">
          <w:pPr>
            <w:pStyle w:val="TOC2"/>
            <w:tabs>
              <w:tab w:val="right" w:leader="dot" w:pos="9016"/>
            </w:tabs>
            <w:spacing w:line="276" w:lineRule="auto"/>
            <w:jc w:val="both"/>
            <w:rPr>
              <w:rFonts w:asciiTheme="minorHAnsi" w:eastAsiaTheme="minorEastAsia" w:hAnsiTheme="minorHAnsi" w:cstheme="minorBidi"/>
              <w:kern w:val="2"/>
              <w:sz w:val="22"/>
              <w:szCs w:val="22"/>
              <w:lang w:eastAsia="en-US"/>
              <w14:ligatures w14:val="standardContextual"/>
            </w:rPr>
          </w:pPr>
          <w:hyperlink w:anchor="_Toc157241262" w:history="1">
            <w:r>
              <w:rPr>
                <w:rStyle w:val="Hyperlink"/>
                <w:lang w:val="vi-VN"/>
              </w:rPr>
              <w:t>2.1 Group of the</w:t>
            </w:r>
            <w:r>
              <w:rPr>
                <w:rStyle w:val="Hyperlink"/>
              </w:rPr>
              <w:t>se factors which have an estimated positive impact on FDI Flow in Vietnam.</w:t>
            </w:r>
            <w:r>
              <w:tab/>
            </w:r>
            <w:r>
              <w:fldChar w:fldCharType="begin"/>
            </w:r>
            <w:r>
              <w:instrText xml:space="preserve"> PAGEREF _Toc157241262 \h </w:instrText>
            </w:r>
            <w:r>
              <w:fldChar w:fldCharType="separate"/>
            </w:r>
            <w:r>
              <w:t>17</w:t>
            </w:r>
            <w:r>
              <w:fldChar w:fldCharType="end"/>
            </w:r>
          </w:hyperlink>
        </w:p>
        <w:p w14:paraId="453DE219" w14:textId="77777777" w:rsidR="00870EC9" w:rsidRDefault="00E01DF4" w:rsidP="002035DB">
          <w:pPr>
            <w:pStyle w:val="TOC2"/>
            <w:tabs>
              <w:tab w:val="right" w:leader="dot" w:pos="9016"/>
            </w:tabs>
            <w:spacing w:line="276" w:lineRule="auto"/>
            <w:jc w:val="both"/>
            <w:rPr>
              <w:rStyle w:val="Hyperlink"/>
            </w:rPr>
          </w:pPr>
          <w:hyperlink w:anchor="_Toc157241263" w:history="1">
            <w:r>
              <w:rPr>
                <w:rStyle w:val="Hyperlink"/>
                <w:lang w:val="vi-VN"/>
              </w:rPr>
              <w:t>2.2 Group of the</w:t>
            </w:r>
            <w:r>
              <w:rPr>
                <w:rStyle w:val="Hyperlink"/>
              </w:rPr>
              <w:t>se factors which have an estimated negative impact on FDI Flow in Vietnam.</w:t>
            </w:r>
            <w:r>
              <w:tab/>
            </w:r>
            <w:r>
              <w:fldChar w:fldCharType="begin"/>
            </w:r>
            <w:r>
              <w:instrText xml:space="preserve"> PAGEREF _Toc157241263 \h </w:instrText>
            </w:r>
            <w:r>
              <w:fldChar w:fldCharType="separate"/>
            </w:r>
            <w:r>
              <w:t>19</w:t>
            </w:r>
            <w:r>
              <w:fldChar w:fldCharType="end"/>
            </w:r>
          </w:hyperlink>
        </w:p>
        <w:p w14:paraId="7217A31C" w14:textId="77777777" w:rsidR="00870EC9" w:rsidRDefault="00870EC9" w:rsidP="002035DB">
          <w:pPr>
            <w:spacing w:line="276" w:lineRule="auto"/>
            <w:jc w:val="both"/>
            <w:rPr>
              <w:rFonts w:eastAsiaTheme="minorEastAsia"/>
              <w:b/>
              <w:bCs/>
            </w:rPr>
          </w:pPr>
        </w:p>
        <w:p w14:paraId="0FD954B2" w14:textId="77777777" w:rsidR="00870EC9" w:rsidRDefault="00E01DF4" w:rsidP="002035DB">
          <w:pPr>
            <w:spacing w:line="276" w:lineRule="auto"/>
            <w:jc w:val="both"/>
            <w:rPr>
              <w:rFonts w:eastAsiaTheme="minorEastAsia"/>
              <w:b/>
              <w:bCs/>
              <w:lang w:val="vi-VN"/>
            </w:rPr>
          </w:pPr>
          <w:r>
            <w:rPr>
              <w:rFonts w:eastAsiaTheme="minorEastAsia"/>
              <w:b/>
              <w:bCs/>
            </w:rPr>
            <w:t>III. CONCLUSION</w:t>
          </w:r>
          <w:r>
            <w:rPr>
              <w:rFonts w:eastAsiaTheme="minorEastAsia"/>
              <w:b/>
              <w:bCs/>
              <w:lang w:val="vi-VN"/>
            </w:rPr>
            <w:t xml:space="preserve"> AND POLICY IMPLICATION</w:t>
          </w:r>
        </w:p>
        <w:p w14:paraId="1F92FD51" w14:textId="77777777" w:rsidR="00870EC9" w:rsidRDefault="00E01DF4" w:rsidP="002035DB">
          <w:pPr>
            <w:pStyle w:val="TOC1"/>
            <w:tabs>
              <w:tab w:val="left" w:pos="440"/>
            </w:tabs>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64" w:history="1">
            <w:r>
              <w:rPr>
                <w:rStyle w:val="Hyperlink"/>
              </w:rPr>
              <w:t>1.</w:t>
            </w:r>
            <w:r>
              <w:rPr>
                <w:rFonts w:asciiTheme="minorHAnsi" w:eastAsiaTheme="minorEastAsia" w:hAnsiTheme="minorHAnsi" w:cstheme="minorBidi"/>
                <w:smallCaps w:val="0"/>
                <w:kern w:val="2"/>
                <w:sz w:val="22"/>
                <w:szCs w:val="22"/>
                <w:lang w:val="en-US" w:eastAsia="en-US"/>
                <w14:ligatures w14:val="standardContextual"/>
              </w:rPr>
              <w:t xml:space="preserve"> </w:t>
            </w:r>
            <w:r>
              <w:rPr>
                <w:rStyle w:val="Hyperlink"/>
              </w:rPr>
              <w:t>CONCLUSION</w:t>
            </w:r>
            <w:r>
              <w:tab/>
            </w:r>
            <w:r>
              <w:fldChar w:fldCharType="begin"/>
            </w:r>
            <w:r>
              <w:instrText xml:space="preserve"> PAGEREF _Toc157241264 \h </w:instrText>
            </w:r>
            <w:r>
              <w:fldChar w:fldCharType="separate"/>
            </w:r>
            <w:r>
              <w:t>22</w:t>
            </w:r>
            <w:r>
              <w:fldChar w:fldCharType="end"/>
            </w:r>
          </w:hyperlink>
        </w:p>
        <w:p w14:paraId="650CDF4B"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65" w:history="1">
            <w:r>
              <w:rPr>
                <w:rStyle w:val="Hyperlink"/>
              </w:rPr>
              <w:t>2. RECOMMENDATION</w:t>
            </w:r>
            <w:r>
              <w:tab/>
            </w:r>
            <w:r>
              <w:fldChar w:fldCharType="begin"/>
            </w:r>
            <w:r>
              <w:instrText xml:space="preserve"> PAGEREF _Toc157241265 \h </w:instrText>
            </w:r>
            <w:r>
              <w:fldChar w:fldCharType="separate"/>
            </w:r>
            <w:r>
              <w:t>23</w:t>
            </w:r>
            <w:r>
              <w:fldChar w:fldCharType="end"/>
            </w:r>
          </w:hyperlink>
        </w:p>
        <w:p w14:paraId="39DF3C67" w14:textId="77777777" w:rsidR="00870EC9" w:rsidRDefault="00E01DF4" w:rsidP="002035DB">
          <w:pPr>
            <w:pStyle w:val="TOC1"/>
            <w:spacing w:line="276" w:lineRule="auto"/>
            <w:jc w:val="both"/>
            <w:rPr>
              <w:rFonts w:asciiTheme="minorHAnsi" w:eastAsiaTheme="minorEastAsia" w:hAnsiTheme="minorHAnsi" w:cstheme="minorBidi"/>
              <w:smallCaps w:val="0"/>
              <w:kern w:val="2"/>
              <w:sz w:val="22"/>
              <w:szCs w:val="22"/>
              <w:lang w:val="en-US" w:eastAsia="en-US"/>
              <w14:ligatures w14:val="standardContextual"/>
            </w:rPr>
          </w:pPr>
          <w:hyperlink w:anchor="_Toc157241266" w:history="1">
            <w:r>
              <w:rPr>
                <w:rStyle w:val="Hyperlink"/>
                <w:lang w:eastAsia="en-US"/>
              </w:rPr>
              <w:t>REFERENCES</w:t>
            </w:r>
            <w:r>
              <w:tab/>
            </w:r>
            <w:r>
              <w:fldChar w:fldCharType="begin"/>
            </w:r>
            <w:r>
              <w:instrText xml:space="preserve"> PAGEREF _Toc157241266 \h </w:instrText>
            </w:r>
            <w:r>
              <w:fldChar w:fldCharType="separate"/>
            </w:r>
            <w:r>
              <w:t>25</w:t>
            </w:r>
            <w:r>
              <w:fldChar w:fldCharType="end"/>
            </w:r>
          </w:hyperlink>
        </w:p>
        <w:p w14:paraId="441D146F" w14:textId="77777777" w:rsidR="00870EC9" w:rsidRDefault="00E01DF4" w:rsidP="002035DB">
          <w:pPr>
            <w:spacing w:line="276" w:lineRule="auto"/>
            <w:jc w:val="both"/>
          </w:pPr>
          <w:r>
            <w:rPr>
              <w:b/>
              <w:bCs/>
            </w:rPr>
            <w:fldChar w:fldCharType="end"/>
          </w:r>
        </w:p>
      </w:sdtContent>
    </w:sdt>
    <w:p w14:paraId="2AA5B813" w14:textId="77777777" w:rsidR="00870EC9" w:rsidRDefault="00870EC9" w:rsidP="002035DB">
      <w:pPr>
        <w:spacing w:line="276" w:lineRule="auto"/>
        <w:jc w:val="both"/>
        <w:rPr>
          <w:b/>
          <w:bCs/>
          <w:i/>
          <w:iCs/>
          <w:lang w:val="vi-VN"/>
        </w:rPr>
      </w:pPr>
    </w:p>
    <w:p w14:paraId="32936AE6" w14:textId="77777777" w:rsidR="00870EC9" w:rsidRDefault="00870EC9" w:rsidP="002035DB">
      <w:pPr>
        <w:spacing w:line="276" w:lineRule="auto"/>
        <w:jc w:val="both"/>
        <w:rPr>
          <w:lang w:val="vi-VN"/>
        </w:rPr>
      </w:pPr>
    </w:p>
    <w:p w14:paraId="5C78C3A8" w14:textId="77777777" w:rsidR="00870EC9" w:rsidRDefault="00870EC9" w:rsidP="002035DB">
      <w:pPr>
        <w:spacing w:line="276" w:lineRule="auto"/>
        <w:jc w:val="both"/>
        <w:rPr>
          <w:lang w:val="vi-VN"/>
        </w:rPr>
      </w:pPr>
    </w:p>
    <w:p w14:paraId="1FF6F686" w14:textId="77777777" w:rsidR="00870EC9" w:rsidRDefault="00870EC9" w:rsidP="002035DB">
      <w:pPr>
        <w:spacing w:line="276" w:lineRule="auto"/>
        <w:jc w:val="both"/>
        <w:rPr>
          <w:lang w:val="vi-VN"/>
        </w:rPr>
      </w:pPr>
    </w:p>
    <w:p w14:paraId="605C3B22" w14:textId="77777777" w:rsidR="00870EC9" w:rsidRDefault="00870EC9" w:rsidP="002035DB">
      <w:pPr>
        <w:spacing w:line="276" w:lineRule="auto"/>
        <w:jc w:val="both"/>
        <w:rPr>
          <w:b/>
          <w:bCs/>
          <w:i/>
          <w:iCs/>
          <w:lang w:val="vi-VN"/>
        </w:rPr>
      </w:pPr>
    </w:p>
    <w:p w14:paraId="2438F328" w14:textId="77777777" w:rsidR="00870EC9" w:rsidRDefault="00E01DF4" w:rsidP="002035DB">
      <w:pPr>
        <w:tabs>
          <w:tab w:val="center" w:pos="4513"/>
        </w:tabs>
        <w:spacing w:line="276" w:lineRule="auto"/>
        <w:jc w:val="both"/>
        <w:rPr>
          <w:lang w:val="vi-VN"/>
        </w:rPr>
        <w:sectPr w:rsidR="00870EC9" w:rsidSect="00146B15">
          <w:footerReference w:type="even" r:id="rId11"/>
          <w:footerReference w:type="default" r:id="rId12"/>
          <w:pgSz w:w="11906" w:h="16838"/>
          <w:pgMar w:top="1440" w:right="1440" w:bottom="1440" w:left="1440" w:header="709" w:footer="709" w:gutter="0"/>
          <w:cols w:space="708"/>
          <w:titlePg/>
          <w:docGrid w:linePitch="360"/>
        </w:sectPr>
      </w:pPr>
      <w:r>
        <w:rPr>
          <w:lang w:val="vi-VN"/>
        </w:rPr>
        <w:tab/>
      </w:r>
    </w:p>
    <w:p w14:paraId="37D51CAC" w14:textId="77777777" w:rsidR="00870EC9" w:rsidRPr="009C72B2" w:rsidRDefault="00E01DF4" w:rsidP="002035DB">
      <w:pPr>
        <w:spacing w:line="276" w:lineRule="auto"/>
        <w:jc w:val="both"/>
        <w:rPr>
          <w:color w:val="4472C4" w:themeColor="accent1"/>
        </w:rPr>
      </w:pPr>
      <w:r w:rsidRPr="009C72B2">
        <w:rPr>
          <w:b/>
          <w:bCs/>
          <w:color w:val="4472C4" w:themeColor="accent1"/>
          <w:lang w:val="vi-VN"/>
        </w:rPr>
        <w:lastRenderedPageBreak/>
        <w:t>S</w:t>
      </w:r>
      <w:r w:rsidR="0009384C" w:rsidRPr="009C72B2">
        <w:rPr>
          <w:b/>
          <w:bCs/>
          <w:color w:val="4472C4" w:themeColor="accent1"/>
          <w:lang w:val="vi-VN"/>
        </w:rPr>
        <w:t>ECTION</w:t>
      </w:r>
      <w:r w:rsidRPr="009C72B2">
        <w:rPr>
          <w:b/>
          <w:bCs/>
          <w:color w:val="4472C4" w:themeColor="accent1"/>
          <w:lang w:val="vi-VN"/>
        </w:rPr>
        <w:t xml:space="preserve"> 1: I</w:t>
      </w:r>
      <w:r w:rsidR="0009384C" w:rsidRPr="009C72B2">
        <w:rPr>
          <w:b/>
          <w:bCs/>
          <w:color w:val="4472C4" w:themeColor="accent1"/>
          <w:lang w:val="vi-VN"/>
        </w:rPr>
        <w:t>NTRODUCTION</w:t>
      </w:r>
      <w:r w:rsidRPr="009C72B2">
        <w:rPr>
          <w:b/>
          <w:bCs/>
          <w:color w:val="4472C4" w:themeColor="accent1"/>
          <w:lang w:val="vi-VN"/>
        </w:rPr>
        <w:t>.</w:t>
      </w:r>
    </w:p>
    <w:p w14:paraId="05B9D5D8" w14:textId="77777777" w:rsidR="00870EC9" w:rsidRDefault="00E01DF4" w:rsidP="002035DB">
      <w:pPr>
        <w:pStyle w:val="Heading1"/>
        <w:spacing w:line="276" w:lineRule="auto"/>
        <w:jc w:val="both"/>
        <w:rPr>
          <w:rFonts w:cs="Times New Roman"/>
          <w:color w:val="auto"/>
          <w:szCs w:val="24"/>
        </w:rPr>
      </w:pPr>
      <w:bookmarkStart w:id="0" w:name="_Toc157241245"/>
      <w:r>
        <w:rPr>
          <w:rFonts w:cs="Times New Roman"/>
          <w:color w:val="auto"/>
          <w:szCs w:val="24"/>
        </w:rPr>
        <w:t>ABSTRACT:</w:t>
      </w:r>
      <w:bookmarkEnd w:id="0"/>
    </w:p>
    <w:p w14:paraId="62A4FB49" w14:textId="77777777" w:rsidR="009C72B2" w:rsidRPr="009C72B2" w:rsidRDefault="009C72B2" w:rsidP="002035DB">
      <w:pPr>
        <w:spacing w:line="276" w:lineRule="auto"/>
      </w:pPr>
    </w:p>
    <w:p w14:paraId="454D6D66" w14:textId="4B74A8B9" w:rsidR="00870EC9" w:rsidRDefault="00E01DF4" w:rsidP="002035DB">
      <w:pPr>
        <w:spacing w:line="276" w:lineRule="auto"/>
        <w:jc w:val="both"/>
      </w:pPr>
      <w:r>
        <w:t>Each</w:t>
      </w:r>
      <w:r>
        <w:rPr>
          <w:lang w:val="vi-VN"/>
        </w:rPr>
        <w:t xml:space="preserve"> country and each economy zone </w:t>
      </w:r>
      <w:r w:rsidR="008877AB">
        <w:rPr>
          <w:lang w:val="vi-VN"/>
        </w:rPr>
        <w:t>have</w:t>
      </w:r>
      <w:r>
        <w:rPr>
          <w:lang w:val="vi-VN"/>
        </w:rPr>
        <w:t xml:space="preserve"> its own different adva</w:t>
      </w:r>
      <w:proofErr w:type="spellStart"/>
      <w:r>
        <w:t>nt</w:t>
      </w:r>
      <w:proofErr w:type="spellEnd"/>
      <w:r>
        <w:rPr>
          <w:lang w:val="vi-VN"/>
        </w:rPr>
        <w:t>ag</w:t>
      </w:r>
      <w:r>
        <w:t>es</w:t>
      </w:r>
      <w:r>
        <w:rPr>
          <w:lang w:val="vi-VN"/>
        </w:rPr>
        <w:t xml:space="preserve"> in location, natural resources and soci</w:t>
      </w:r>
      <w:r>
        <w:t>e</w:t>
      </w:r>
      <w:r>
        <w:rPr>
          <w:lang w:val="vi-VN"/>
        </w:rPr>
        <w:t>-econ</w:t>
      </w:r>
      <w:r>
        <w:t xml:space="preserve">omics features that able to attract enormous investment capital flow from huge global investors, therefore, each of them also has a certain competitive advantage.  Since </w:t>
      </w:r>
      <w:r w:rsidR="008877AB">
        <w:t>Vietnam</w:t>
      </w:r>
      <w:r>
        <w:t>' accession to the World Trade Organization (2007), it has marked its new position in the global community as a committed and sustainable trade partner. FDI attractiveness closely belonging with sustainable economic development has become an essential strategy in recent years.</w:t>
      </w:r>
    </w:p>
    <w:p w14:paraId="466AC928" w14:textId="77777777" w:rsidR="00870EC9" w:rsidRPr="008877AB" w:rsidRDefault="00E01DF4" w:rsidP="002035DB">
      <w:pPr>
        <w:spacing w:line="276" w:lineRule="auto"/>
        <w:jc w:val="both"/>
        <w:rPr>
          <w:b/>
          <w:bCs/>
          <w:i/>
          <w:iCs/>
        </w:rPr>
      </w:pPr>
      <w:r w:rsidRPr="008877AB">
        <w:rPr>
          <w:b/>
          <w:bCs/>
          <w:i/>
          <w:iCs/>
          <w:u w:val="single"/>
          <w:lang w:val="vi-VN"/>
        </w:rPr>
        <w:t>Key findings</w:t>
      </w:r>
      <w:r w:rsidRPr="008877AB">
        <w:rPr>
          <w:b/>
          <w:bCs/>
          <w:i/>
          <w:iCs/>
          <w:lang w:val="vi-VN"/>
        </w:rPr>
        <w:t xml:space="preserve">: </w:t>
      </w:r>
      <w:r w:rsidRPr="008877AB">
        <w:rPr>
          <w:b/>
          <w:bCs/>
          <w:i/>
          <w:iCs/>
        </w:rPr>
        <w:t xml:space="preserve">economic zone, </w:t>
      </w:r>
      <w:r w:rsidRPr="008877AB">
        <w:rPr>
          <w:b/>
          <w:bCs/>
          <w:i/>
          <w:iCs/>
          <w:lang w:val="vi-VN"/>
        </w:rPr>
        <w:t>World Trade Organization, global</w:t>
      </w:r>
      <w:r w:rsidRPr="008877AB">
        <w:rPr>
          <w:b/>
          <w:bCs/>
          <w:i/>
          <w:iCs/>
        </w:rPr>
        <w:t xml:space="preserve"> investor</w:t>
      </w:r>
      <w:r w:rsidRPr="008877AB">
        <w:rPr>
          <w:b/>
          <w:bCs/>
          <w:i/>
          <w:iCs/>
          <w:lang w:val="vi-VN"/>
        </w:rPr>
        <w:t xml:space="preserve">, </w:t>
      </w:r>
      <w:r w:rsidRPr="008877AB">
        <w:rPr>
          <w:b/>
          <w:bCs/>
          <w:i/>
          <w:iCs/>
        </w:rPr>
        <w:t>Foreign Direct Investment, sustainable.</w:t>
      </w:r>
    </w:p>
    <w:p w14:paraId="09B3DAFA" w14:textId="77777777" w:rsidR="00870EC9" w:rsidRDefault="00870EC9" w:rsidP="002035DB">
      <w:pPr>
        <w:spacing w:line="276" w:lineRule="auto"/>
        <w:jc w:val="both"/>
        <w:rPr>
          <w:i/>
          <w:iCs/>
        </w:rPr>
      </w:pPr>
    </w:p>
    <w:p w14:paraId="53E45B52" w14:textId="77777777" w:rsidR="0009384C" w:rsidRDefault="00E01DF4" w:rsidP="002035DB">
      <w:pPr>
        <w:pStyle w:val="Heading1"/>
        <w:spacing w:line="276" w:lineRule="auto"/>
        <w:jc w:val="both"/>
        <w:rPr>
          <w:rFonts w:cs="Times New Roman"/>
          <w:color w:val="auto"/>
          <w:szCs w:val="24"/>
        </w:rPr>
      </w:pPr>
      <w:r>
        <w:rPr>
          <w:rFonts w:cs="Times New Roman"/>
          <w:color w:val="auto"/>
          <w:szCs w:val="24"/>
        </w:rPr>
        <w:t xml:space="preserve">1. </w:t>
      </w:r>
      <w:bookmarkStart w:id="1" w:name="_Toc157241246"/>
      <w:r>
        <w:rPr>
          <w:rFonts w:cs="Times New Roman"/>
          <w:color w:val="auto"/>
          <w:szCs w:val="24"/>
        </w:rPr>
        <w:t>REVIEW OF THE RELATED TOPIC.</w:t>
      </w:r>
      <w:bookmarkEnd w:id="1"/>
      <w:r>
        <w:rPr>
          <w:rFonts w:cs="Times New Roman"/>
          <w:color w:val="auto"/>
          <w:szCs w:val="24"/>
        </w:rPr>
        <w:t xml:space="preserve"> </w:t>
      </w:r>
    </w:p>
    <w:p w14:paraId="27AD03FB" w14:textId="77777777" w:rsidR="004E1D81" w:rsidRPr="004E1D81" w:rsidRDefault="004E1D81" w:rsidP="002035DB">
      <w:pPr>
        <w:spacing w:line="276" w:lineRule="auto"/>
        <w:jc w:val="both"/>
      </w:pPr>
    </w:p>
    <w:p w14:paraId="7A9042F6" w14:textId="263323C3" w:rsidR="00870EC9" w:rsidRPr="009C72B2" w:rsidRDefault="00E01DF4" w:rsidP="002035DB">
      <w:pPr>
        <w:pStyle w:val="Heading2"/>
        <w:numPr>
          <w:ilvl w:val="1"/>
          <w:numId w:val="7"/>
        </w:numPr>
        <w:spacing w:line="276" w:lineRule="auto"/>
        <w:jc w:val="both"/>
        <w:rPr>
          <w:rFonts w:cs="Times New Roman"/>
          <w:sz w:val="24"/>
          <w:szCs w:val="24"/>
          <w:u w:val="single"/>
        </w:rPr>
      </w:pPr>
      <w:bookmarkStart w:id="2" w:name="_Toc157241247"/>
      <w:r w:rsidRPr="009C72B2">
        <w:rPr>
          <w:rFonts w:cs="Times New Roman"/>
          <w:sz w:val="24"/>
          <w:szCs w:val="24"/>
          <w:u w:val="single"/>
        </w:rPr>
        <w:t xml:space="preserve">Main factor affecting the FDI flow in the </w:t>
      </w:r>
      <w:r w:rsidRPr="009C72B2">
        <w:rPr>
          <w:rFonts w:cs="Times New Roman"/>
          <w:sz w:val="24"/>
          <w:szCs w:val="24"/>
          <w:u w:val="single"/>
        </w:rPr>
        <w:t>context of integration.</w:t>
      </w:r>
      <w:bookmarkEnd w:id="2"/>
      <w:r w:rsidRPr="009C72B2">
        <w:rPr>
          <w:rFonts w:cs="Times New Roman"/>
          <w:sz w:val="24"/>
          <w:szCs w:val="24"/>
          <w:u w:val="single"/>
        </w:rPr>
        <w:t xml:space="preserve"> </w:t>
      </w:r>
    </w:p>
    <w:p w14:paraId="593A21E5" w14:textId="77777777" w:rsidR="009C72B2" w:rsidRPr="009C72B2" w:rsidRDefault="009C72B2" w:rsidP="002035DB">
      <w:pPr>
        <w:spacing w:line="276" w:lineRule="auto"/>
        <w:jc w:val="both"/>
      </w:pPr>
    </w:p>
    <w:p w14:paraId="0B65BFF8" w14:textId="724F0C8A" w:rsidR="00870EC9" w:rsidRDefault="00E01DF4" w:rsidP="002035DB">
      <w:pPr>
        <w:pStyle w:val="NormalWeb"/>
        <w:spacing w:before="0" w:beforeAutospacing="0" w:after="0" w:afterAutospacing="0" w:line="276" w:lineRule="auto"/>
        <w:jc w:val="both"/>
      </w:pPr>
      <w:r>
        <w:t xml:space="preserve">There are the two factors including </w:t>
      </w:r>
      <w:r w:rsidRPr="009C72B2">
        <w:rPr>
          <w:b/>
          <w:bCs/>
          <w:i/>
          <w:iCs/>
          <w:color w:val="FF0000"/>
        </w:rPr>
        <w:t>external and internal</w:t>
      </w:r>
      <w:r w:rsidRPr="009C72B2">
        <w:rPr>
          <w:color w:val="FF0000"/>
        </w:rPr>
        <w:t xml:space="preserve"> </w:t>
      </w:r>
      <w:r>
        <w:t xml:space="preserve">factors that could affect the FDI flow in </w:t>
      </w:r>
      <w:r w:rsidR="008877AB">
        <w:t>Vietnam</w:t>
      </w:r>
      <w:r>
        <w:t xml:space="preserve"> and ASEAN in general. In our study, we are mainly focus on </w:t>
      </w:r>
      <w:r>
        <w:rPr>
          <w:i/>
          <w:iCs/>
        </w:rPr>
        <w:t xml:space="preserve">the </w:t>
      </w:r>
      <w:r>
        <w:rPr>
          <w:b/>
          <w:bCs/>
          <w:i/>
          <w:iCs/>
        </w:rPr>
        <w:t>group of inside factors</w:t>
      </w:r>
      <w:r>
        <w:t xml:space="preserve"> within an economic region.  Each region has different characteristics and the various level of impact of factors attracting on FDI flow as a whole capital:</w:t>
      </w:r>
    </w:p>
    <w:p w14:paraId="59825673" w14:textId="6CD1A149" w:rsidR="00870EC9" w:rsidRDefault="00E01DF4" w:rsidP="002035DB">
      <w:pPr>
        <w:pStyle w:val="NormalWeb"/>
        <w:spacing w:before="0" w:beforeAutospacing="0" w:after="0" w:afterAutospacing="0" w:line="276" w:lineRule="auto"/>
        <w:jc w:val="both"/>
      </w:pPr>
      <w:r>
        <w:t xml:space="preserve">The primarily internal important factors affecting FDI are </w:t>
      </w:r>
      <w:r>
        <w:rPr>
          <w:i/>
          <w:iCs/>
        </w:rPr>
        <w:t>‘</w:t>
      </w:r>
      <w:r w:rsidRPr="009C72B2">
        <w:rPr>
          <w:b/>
          <w:bCs/>
          <w:i/>
          <w:iCs/>
        </w:rPr>
        <w:t>Investment climate’</w:t>
      </w:r>
      <w:r w:rsidRPr="009C72B2">
        <w:rPr>
          <w:b/>
          <w:bCs/>
        </w:rPr>
        <w:t xml:space="preserve"> </w:t>
      </w:r>
      <w:r>
        <w:t xml:space="preserve">includes overall conditions and policies that affect the ease of doing business in a country (corruption, macroeconomic environment, legal system, infrastructure) and </w:t>
      </w:r>
      <w:r w:rsidRPr="009C72B2">
        <w:rPr>
          <w:b/>
          <w:bCs/>
          <w:i/>
          <w:iCs/>
        </w:rPr>
        <w:t>‘Market potential for growth’</w:t>
      </w:r>
      <w:r>
        <w:t xml:space="preserve"> which affects the supply and demand of the market, like investing in countries with growing markets and abundant resources can boost sales and revenue for investors and reduce dependence on foreign markets. </w:t>
      </w:r>
      <w:r w:rsidRPr="009C72B2">
        <w:rPr>
          <w:b/>
          <w:bCs/>
          <w:i/>
          <w:iCs/>
        </w:rPr>
        <w:t>‘Political and security</w:t>
      </w:r>
      <w:r w:rsidRPr="009C72B2">
        <w:rPr>
          <w:b/>
          <w:bCs/>
        </w:rPr>
        <w:t>’</w:t>
      </w:r>
      <w:r>
        <w:t xml:space="preserve"> factors are related to the stability and transparency of the political and legal system in the country (Political Stability and Absence of Violence/Terrorism: Percentile Rank</w:t>
      </w:r>
      <w:r>
        <w:rPr>
          <w:lang w:val="vi-VN"/>
        </w:rPr>
        <w:t>; …</w:t>
      </w:r>
      <w:r>
        <w:t xml:space="preserve">); association of the unstainable political in specific region affect the efficiency of using FDI capital. However, some factors are less important than those mentioned but also play a significant role in the FDI flow of Viet Nam like </w:t>
      </w:r>
      <w:r w:rsidRPr="009C72B2">
        <w:rPr>
          <w:b/>
          <w:bCs/>
          <w:i/>
          <w:iCs/>
        </w:rPr>
        <w:t>‘Tax rates’</w:t>
      </w:r>
      <w:r>
        <w:t xml:space="preserve">, affecting the profitability of the investment in the country (lower corporate tax rates, as well as other tax incentives and exemptions), </w:t>
      </w:r>
      <w:r w:rsidRPr="009C72B2">
        <w:rPr>
          <w:b/>
          <w:bCs/>
          <w:i/>
          <w:iCs/>
        </w:rPr>
        <w:t>‘Labor costs and skills’</w:t>
      </w:r>
      <w:r>
        <w:t xml:space="preserve"> is the quality (education, training, and skill) and availability of human capital in the country, </w:t>
      </w:r>
      <w:r w:rsidRPr="009C72B2">
        <w:rPr>
          <w:b/>
          <w:bCs/>
        </w:rPr>
        <w:t>‘</w:t>
      </w:r>
      <w:r w:rsidRPr="009C72B2">
        <w:rPr>
          <w:b/>
          <w:bCs/>
          <w:i/>
          <w:iCs/>
        </w:rPr>
        <w:t>Exchange rate</w:t>
      </w:r>
      <w:r w:rsidRPr="009C72B2">
        <w:rPr>
          <w:b/>
          <w:bCs/>
        </w:rPr>
        <w:t>’</w:t>
      </w:r>
      <w:r>
        <w:t xml:space="preserve"> illustrates how the impact on the value of the currency in the country (low inflation and interest rates). </w:t>
      </w:r>
    </w:p>
    <w:p w14:paraId="783B4CF2" w14:textId="77777777" w:rsidR="0009384C" w:rsidRDefault="00E01DF4" w:rsidP="002035DB">
      <w:pPr>
        <w:pStyle w:val="Heading2"/>
        <w:spacing w:line="276" w:lineRule="auto"/>
        <w:jc w:val="both"/>
        <w:rPr>
          <w:rFonts w:cs="Times New Roman"/>
          <w:sz w:val="24"/>
          <w:szCs w:val="24"/>
        </w:rPr>
      </w:pPr>
      <w:bookmarkStart w:id="3" w:name="_Toc157241248"/>
      <w:r>
        <w:rPr>
          <w:rFonts w:cs="Times New Roman"/>
          <w:sz w:val="24"/>
          <w:szCs w:val="24"/>
        </w:rPr>
        <w:t>1.2. The case of 9 selected countries.</w:t>
      </w:r>
      <w:bookmarkEnd w:id="3"/>
      <w:r>
        <w:rPr>
          <w:rFonts w:cs="Times New Roman"/>
          <w:sz w:val="24"/>
          <w:szCs w:val="24"/>
        </w:rPr>
        <w:t xml:space="preserve"> </w:t>
      </w:r>
    </w:p>
    <w:p w14:paraId="1603D195" w14:textId="77777777" w:rsidR="0009384C" w:rsidRPr="0009384C" w:rsidRDefault="0009384C" w:rsidP="002035DB">
      <w:pPr>
        <w:spacing w:line="276" w:lineRule="auto"/>
        <w:jc w:val="both"/>
      </w:pPr>
    </w:p>
    <w:p w14:paraId="7B58F2DE" w14:textId="77777777" w:rsidR="009C72B2" w:rsidRDefault="00E01DF4" w:rsidP="002035DB">
      <w:pPr>
        <w:spacing w:line="276" w:lineRule="auto"/>
        <w:jc w:val="both"/>
        <w:textAlignment w:val="baseline"/>
        <w:rPr>
          <w:shd w:val="clear" w:color="auto" w:fill="FFFFFF"/>
        </w:rPr>
      </w:pPr>
      <w:r>
        <w:rPr>
          <w:b/>
          <w:bCs/>
          <w:i/>
          <w:iCs/>
          <w:shd w:val="clear" w:color="auto" w:fill="FFFFFF"/>
        </w:rPr>
        <w:t>Argentina</w:t>
      </w:r>
      <w:r>
        <w:rPr>
          <w:shd w:val="clear" w:color="auto" w:fill="FFFFFF"/>
        </w:rPr>
        <w:t xml:space="preserve"> have been </w:t>
      </w:r>
      <w:r w:rsidR="00B037BA">
        <w:rPr>
          <w:shd w:val="clear" w:color="auto" w:fill="FFFFFF"/>
        </w:rPr>
        <w:t>floatable</w:t>
      </w:r>
      <w:r>
        <w:rPr>
          <w:shd w:val="clear" w:color="auto" w:fill="FFFFFF"/>
        </w:rPr>
        <w:t xml:space="preserve"> for recent years. Argentina has seen a substantial increase in M&amp;A in recent years, with a total of USD 1.1 billion expected in 2021, primarily driven by investments in technology firms. </w:t>
      </w:r>
    </w:p>
    <w:p w14:paraId="6C771D37" w14:textId="77777777" w:rsidR="009C72B2" w:rsidRDefault="00E01DF4" w:rsidP="002035DB">
      <w:pPr>
        <w:spacing w:line="276" w:lineRule="auto"/>
        <w:jc w:val="both"/>
        <w:textAlignment w:val="baseline"/>
        <w:rPr>
          <w:shd w:val="clear" w:color="auto" w:fill="FFFFFF"/>
          <w:lang w:val="vi-VN"/>
        </w:rPr>
      </w:pPr>
      <w:r>
        <w:rPr>
          <w:b/>
          <w:bCs/>
          <w:i/>
          <w:iCs/>
          <w:shd w:val="clear" w:color="auto" w:fill="FFFFFF"/>
        </w:rPr>
        <w:t>Chile</w:t>
      </w:r>
      <w:r>
        <w:rPr>
          <w:shd w:val="clear" w:color="auto" w:fill="FFFFFF"/>
        </w:rPr>
        <w:t xml:space="preserve"> had an increase in FDI inflow in 2021, primarily due to investments in mining and hydrocarbons. FDI flows to Chile increased by 32% to USD 13 billion (from USD 8.4 billion </w:t>
      </w:r>
      <w:r>
        <w:rPr>
          <w:shd w:val="clear" w:color="auto" w:fill="FFFFFF"/>
        </w:rPr>
        <w:lastRenderedPageBreak/>
        <w:t xml:space="preserve">in 2020), owing to several big acquisitions and revived interest in the mining </w:t>
      </w:r>
      <w:r w:rsidR="00B037BA">
        <w:rPr>
          <w:shd w:val="clear" w:color="auto" w:fill="FFFFFF"/>
        </w:rPr>
        <w:t>industry. One</w:t>
      </w:r>
      <w:r>
        <w:rPr>
          <w:shd w:val="clear" w:color="auto" w:fill="FFFFFF"/>
        </w:rPr>
        <w:t xml:space="preserve"> of the greatest of these projects is the USD 3 billion ammonia production plant with onshore wind farm, </w:t>
      </w:r>
      <w:r w:rsidR="00B037BA">
        <w:rPr>
          <w:shd w:val="clear" w:color="auto" w:fill="FFFFFF"/>
        </w:rPr>
        <w:t>electrolysis</w:t>
      </w:r>
      <w:r>
        <w:rPr>
          <w:shd w:val="clear" w:color="auto" w:fill="FFFFFF"/>
        </w:rPr>
        <w:t>, and port facilities.</w:t>
      </w:r>
      <w:r>
        <w:rPr>
          <w:shd w:val="clear" w:color="auto" w:fill="FFFFFF"/>
          <w:lang w:val="vi-VN"/>
        </w:rPr>
        <w:t xml:space="preserve"> </w:t>
      </w:r>
    </w:p>
    <w:p w14:paraId="50E381D0" w14:textId="77777777" w:rsidR="009C72B2" w:rsidRDefault="00E01DF4" w:rsidP="002035DB">
      <w:pPr>
        <w:spacing w:line="276" w:lineRule="auto"/>
        <w:jc w:val="both"/>
        <w:textAlignment w:val="baseline"/>
        <w:rPr>
          <w:shd w:val="clear" w:color="auto" w:fill="FFFFFF"/>
          <w:lang w:val="vi-VN"/>
        </w:rPr>
      </w:pPr>
      <w:r>
        <w:rPr>
          <w:b/>
          <w:bCs/>
          <w:i/>
          <w:iCs/>
          <w:shd w:val="clear" w:color="auto" w:fill="FFFFFF"/>
        </w:rPr>
        <w:t>India</w:t>
      </w:r>
      <w:r>
        <w:rPr>
          <w:shd w:val="clear" w:color="auto" w:fill="FFFFFF"/>
        </w:rPr>
        <w:t xml:space="preserve"> is the biggest host in the sub-region and is ranked fifth out of the top 20 nations that attract FDI. Historically, India has attracted 70–80% of all FDI into the area. While the construction and industrial sectors saw significant investments, the renewable energy sector had the greatest number of projects.</w:t>
      </w:r>
      <w:r>
        <w:rPr>
          <w:shd w:val="clear" w:color="auto" w:fill="FFFFFF"/>
          <w:lang w:val="vi-VN"/>
        </w:rPr>
        <w:t xml:space="preserve"> </w:t>
      </w:r>
    </w:p>
    <w:p w14:paraId="2B8C09BC" w14:textId="30A8A58B" w:rsidR="00870EC9" w:rsidRDefault="00E01DF4" w:rsidP="002035DB">
      <w:pPr>
        <w:spacing w:line="276" w:lineRule="auto"/>
        <w:jc w:val="both"/>
        <w:textAlignment w:val="baseline"/>
        <w:rPr>
          <w:shd w:val="clear" w:color="auto" w:fill="FFFFFF"/>
        </w:rPr>
      </w:pPr>
      <w:r>
        <w:rPr>
          <w:shd w:val="clear" w:color="auto" w:fill="FFFFFF"/>
        </w:rPr>
        <w:t xml:space="preserve">FDI flows to </w:t>
      </w:r>
      <w:r>
        <w:rPr>
          <w:b/>
          <w:bCs/>
          <w:i/>
          <w:iCs/>
          <w:shd w:val="clear" w:color="auto" w:fill="FFFFFF"/>
        </w:rPr>
        <w:t>Saudi Arabia</w:t>
      </w:r>
      <w:r>
        <w:rPr>
          <w:shd w:val="clear" w:color="auto" w:fill="FFFFFF"/>
        </w:rPr>
        <w:t xml:space="preserve"> had gradually declined due to political factors and lower oil prices; however, economic diversification and new projects outside the oil and gas sector helped reverse the trend. The investments are mainly oriented towards the chemical industry, real estate, fossil fuels, automobiles, tourism, </w:t>
      </w:r>
      <w:r w:rsidR="00B037BA">
        <w:rPr>
          <w:shd w:val="clear" w:color="auto" w:fill="FFFFFF"/>
        </w:rPr>
        <w:t>plastics,</w:t>
      </w:r>
      <w:r>
        <w:rPr>
          <w:shd w:val="clear" w:color="auto" w:fill="FFFFFF"/>
        </w:rPr>
        <w:t xml:space="preserve"> and machinery. </w:t>
      </w:r>
    </w:p>
    <w:p w14:paraId="3BFA2C7A" w14:textId="77777777" w:rsidR="009C72B2" w:rsidRDefault="00E01DF4" w:rsidP="002035DB">
      <w:pPr>
        <w:spacing w:line="276" w:lineRule="auto"/>
        <w:jc w:val="both"/>
        <w:textAlignment w:val="baseline"/>
        <w:rPr>
          <w:shd w:val="clear" w:color="auto" w:fill="FFFFFF"/>
          <w:lang w:val="vi-VN"/>
        </w:rPr>
      </w:pPr>
      <w:r>
        <w:rPr>
          <w:shd w:val="clear" w:color="auto" w:fill="FFFFFF"/>
        </w:rPr>
        <w:t xml:space="preserve">The United States, China, the United Kingdom, Singapore, and Japan are traditionally the main investors in the </w:t>
      </w:r>
      <w:r>
        <w:rPr>
          <w:b/>
          <w:bCs/>
          <w:i/>
          <w:iCs/>
          <w:shd w:val="clear" w:color="auto" w:fill="FFFFFF"/>
        </w:rPr>
        <w:t>Philippines</w:t>
      </w:r>
      <w:r>
        <w:rPr>
          <w:shd w:val="clear" w:color="auto" w:fill="FFFFFF"/>
        </w:rPr>
        <w:t>, while inflows are concentrated in the transportation and storage, electricity, real estate, manufacturing, and construction. Other sectors that attract the highest levels of investment are information and communication, and administrative and business support services activities. Moreover, the country relaxed the local employment requirement for workers of foreign investors.</w:t>
      </w:r>
      <w:r>
        <w:rPr>
          <w:shd w:val="clear" w:color="auto" w:fill="FFFFFF"/>
          <w:lang w:val="vi-VN"/>
        </w:rPr>
        <w:t xml:space="preserve"> </w:t>
      </w:r>
    </w:p>
    <w:p w14:paraId="31798687" w14:textId="77777777" w:rsidR="009C72B2" w:rsidRDefault="00E01DF4" w:rsidP="002035DB">
      <w:pPr>
        <w:spacing w:line="276" w:lineRule="auto"/>
        <w:jc w:val="both"/>
        <w:textAlignment w:val="baseline"/>
        <w:rPr>
          <w:shd w:val="clear" w:color="auto" w:fill="FFFFFF"/>
          <w:lang w:val="vi-VN"/>
        </w:rPr>
      </w:pPr>
      <w:r>
        <w:rPr>
          <w:shd w:val="clear" w:color="auto" w:fill="FFFFFF"/>
        </w:rPr>
        <w:t xml:space="preserve">FDI inflows into </w:t>
      </w:r>
      <w:r>
        <w:rPr>
          <w:b/>
          <w:bCs/>
          <w:i/>
          <w:iCs/>
          <w:shd w:val="clear" w:color="auto" w:fill="FFFFFF"/>
        </w:rPr>
        <w:t>Laos</w:t>
      </w:r>
      <w:r>
        <w:rPr>
          <w:shd w:val="clear" w:color="auto" w:fill="FFFFFF"/>
        </w:rPr>
        <w:t xml:space="preserve"> rose to USD 1,072 million in 2021, up from USD 968 million the previous year, but remained below the three-year average prior to the epidemic (USD 1,267 million in 2017-19). Projects in hydraulic energy production and mining resource exploitation account for almost 80% of total foreign investment during the last ten years.</w:t>
      </w:r>
      <w:r>
        <w:rPr>
          <w:shd w:val="clear" w:color="auto" w:fill="FFFFFF"/>
          <w:lang w:val="vi-VN"/>
        </w:rPr>
        <w:t xml:space="preserve"> </w:t>
      </w:r>
    </w:p>
    <w:p w14:paraId="6541BAC9" w14:textId="77777777" w:rsidR="009C72B2" w:rsidRDefault="00E01DF4" w:rsidP="002035DB">
      <w:pPr>
        <w:spacing w:line="276" w:lineRule="auto"/>
        <w:jc w:val="both"/>
        <w:textAlignment w:val="baseline"/>
        <w:rPr>
          <w:shd w:val="clear" w:color="auto" w:fill="FFFFFF"/>
          <w:lang w:val="vi-VN"/>
        </w:rPr>
      </w:pPr>
      <w:r>
        <w:rPr>
          <w:shd w:val="clear" w:color="auto" w:fill="FFFFFF"/>
        </w:rPr>
        <w:t xml:space="preserve">The shift in foreign direct investment (FDI) in </w:t>
      </w:r>
      <w:r>
        <w:rPr>
          <w:b/>
          <w:bCs/>
          <w:i/>
          <w:iCs/>
          <w:shd w:val="clear" w:color="auto" w:fill="FFFFFF"/>
        </w:rPr>
        <w:t>Malaysia</w:t>
      </w:r>
      <w:r>
        <w:rPr>
          <w:shd w:val="clear" w:color="auto" w:fill="FFFFFF"/>
        </w:rPr>
        <w:t xml:space="preserve"> from the colonial pattern of primary product dominance to export-oriented manufacturing has highlighted the role of government policy in influencing FDI and its impact on structural transformation and economic growth. Country-specific advantages in mineral and agricultural resources were the main source of foreign direct investment during the colonial era.</w:t>
      </w:r>
      <w:r>
        <w:rPr>
          <w:shd w:val="clear" w:color="auto" w:fill="FFFFFF"/>
          <w:lang w:val="vi-VN"/>
        </w:rPr>
        <w:t xml:space="preserve"> </w:t>
      </w:r>
    </w:p>
    <w:p w14:paraId="5A83AEBD" w14:textId="1CE7DAD5" w:rsidR="00870EC9" w:rsidRDefault="00E01DF4" w:rsidP="002035DB">
      <w:pPr>
        <w:spacing w:line="276" w:lineRule="auto"/>
        <w:jc w:val="both"/>
        <w:textAlignment w:val="baseline"/>
        <w:rPr>
          <w:shd w:val="clear" w:color="auto" w:fill="FFFFFF"/>
        </w:rPr>
      </w:pPr>
      <w:r>
        <w:rPr>
          <w:shd w:val="clear" w:color="auto" w:fill="FFFFFF"/>
        </w:rPr>
        <w:t xml:space="preserve">Foreign direct investment is an important element of </w:t>
      </w:r>
      <w:r>
        <w:rPr>
          <w:b/>
          <w:bCs/>
          <w:i/>
          <w:iCs/>
          <w:shd w:val="clear" w:color="auto" w:fill="FFFFFF"/>
        </w:rPr>
        <w:t>Thailand's</w:t>
      </w:r>
      <w:r>
        <w:rPr>
          <w:shd w:val="clear" w:color="auto" w:fill="FFFFFF"/>
        </w:rPr>
        <w:t xml:space="preserve"> economic development, and the country is one of the major FDI destinations in its region. However, the global economic crisis triggered by the Covid-19 pandemic has affected the country's attractiveness. Manufacturing and financial and insurance activities attract almost 70% of all FDI inflows. </w:t>
      </w:r>
    </w:p>
    <w:p w14:paraId="51FAFA75" w14:textId="62EE4353" w:rsidR="009C72B2" w:rsidRDefault="00E01DF4" w:rsidP="002035DB">
      <w:pPr>
        <w:pStyle w:val="Heading1"/>
        <w:numPr>
          <w:ilvl w:val="0"/>
          <w:numId w:val="7"/>
        </w:numPr>
        <w:spacing w:line="276" w:lineRule="auto"/>
        <w:jc w:val="both"/>
        <w:rPr>
          <w:rFonts w:cs="Times New Roman"/>
          <w:color w:val="auto"/>
          <w:szCs w:val="24"/>
        </w:rPr>
      </w:pPr>
      <w:bookmarkStart w:id="4" w:name="_Toc157241249"/>
      <w:r>
        <w:rPr>
          <w:rFonts w:cs="Times New Roman"/>
          <w:color w:val="auto"/>
          <w:szCs w:val="24"/>
        </w:rPr>
        <w:t>THE PURPOSE OF THE REPORT.</w:t>
      </w:r>
      <w:bookmarkEnd w:id="4"/>
      <w:r>
        <w:rPr>
          <w:rFonts w:cs="Times New Roman"/>
          <w:color w:val="auto"/>
          <w:szCs w:val="24"/>
        </w:rPr>
        <w:t xml:space="preserve"> </w:t>
      </w:r>
    </w:p>
    <w:p w14:paraId="485FC3D0" w14:textId="77777777" w:rsidR="00785FAD" w:rsidRPr="00785FAD" w:rsidRDefault="00785FAD" w:rsidP="002035DB">
      <w:pPr>
        <w:spacing w:line="276" w:lineRule="auto"/>
      </w:pPr>
    </w:p>
    <w:p w14:paraId="528EF01E" w14:textId="79C1926D" w:rsidR="00870EC9" w:rsidRDefault="00E01DF4" w:rsidP="002035DB">
      <w:pPr>
        <w:pStyle w:val="Heading2"/>
        <w:numPr>
          <w:ilvl w:val="1"/>
          <w:numId w:val="7"/>
        </w:numPr>
        <w:spacing w:line="276" w:lineRule="auto"/>
        <w:jc w:val="both"/>
        <w:rPr>
          <w:rFonts w:cs="Times New Roman"/>
          <w:sz w:val="24"/>
          <w:szCs w:val="24"/>
        </w:rPr>
      </w:pPr>
      <w:bookmarkStart w:id="5" w:name="_Toc157241250"/>
      <w:r>
        <w:rPr>
          <w:rFonts w:cs="Times New Roman"/>
          <w:sz w:val="24"/>
          <w:szCs w:val="24"/>
        </w:rPr>
        <w:t>M</w:t>
      </w:r>
      <w:r>
        <w:rPr>
          <w:rFonts w:cs="Times New Roman"/>
          <w:sz w:val="24"/>
          <w:szCs w:val="24"/>
        </w:rPr>
        <w:t>ethodology/ Data collection:</w:t>
      </w:r>
      <w:bookmarkEnd w:id="5"/>
    </w:p>
    <w:p w14:paraId="5DB81319" w14:textId="77777777" w:rsidR="009C72B2" w:rsidRPr="009C72B2" w:rsidRDefault="009C72B2" w:rsidP="002035DB">
      <w:pPr>
        <w:spacing w:line="276" w:lineRule="auto"/>
      </w:pPr>
    </w:p>
    <w:p w14:paraId="254D6FC2" w14:textId="2B8EDD2B" w:rsidR="009C72B2" w:rsidRDefault="00E01DF4" w:rsidP="002035DB">
      <w:pPr>
        <w:spacing w:line="276" w:lineRule="auto"/>
        <w:jc w:val="both"/>
      </w:pPr>
      <w:r>
        <w:t>T</w:t>
      </w:r>
      <w:r>
        <w:t>he dataset that was served</w:t>
      </w:r>
      <w:r>
        <w:rPr>
          <w:lang w:val="vi-VN"/>
        </w:rPr>
        <w:t xml:space="preserve"> </w:t>
      </w:r>
      <w:r>
        <w:t xml:space="preserve">this report was gained from </w:t>
      </w:r>
      <w:r>
        <w:rPr>
          <w:lang w:val="vi-VN"/>
        </w:rPr>
        <w:t>World Bank</w:t>
      </w:r>
      <w:r>
        <w:t xml:space="preserve">. Due to some missing values from data features in the source, </w:t>
      </w:r>
      <w:proofErr w:type="spellStart"/>
      <w:r w:rsidR="009C72B2">
        <w:t>ou</w:t>
      </w:r>
      <w:proofErr w:type="spellEnd"/>
      <w:r w:rsidR="009C72B2">
        <w:rPr>
          <w:lang w:val="vi-VN"/>
        </w:rPr>
        <w:t>r team</w:t>
      </w:r>
      <w:r>
        <w:t xml:space="preserve"> decided to select 10 countries that have a huge available source as well as being closely related to </w:t>
      </w:r>
      <w:r w:rsidR="00B037BA">
        <w:t>Vietnam</w:t>
      </w:r>
      <w:r>
        <w:t xml:space="preserve"> FDI correlation at some point. This report would not be a fully comprehensive view of the surveyed </w:t>
      </w:r>
      <w:r w:rsidR="00B037BA">
        <w:t>literature,</w:t>
      </w:r>
      <w:r>
        <w:t xml:space="preserve"> but it provides</w:t>
      </w:r>
      <w:r>
        <w:rPr>
          <w:lang w:val="vi-VN"/>
        </w:rPr>
        <w:t xml:space="preserve"> </w:t>
      </w:r>
      <w:r>
        <w:t>broad perspective</w:t>
      </w:r>
      <w:r>
        <w:rPr>
          <w:lang w:val="vi-VN"/>
        </w:rPr>
        <w:t>s</w:t>
      </w:r>
      <w:r>
        <w:t xml:space="preserve"> of the topic. </w:t>
      </w:r>
    </w:p>
    <w:p w14:paraId="382230FD" w14:textId="59E1D43E" w:rsidR="009C72B2" w:rsidRDefault="00E01DF4" w:rsidP="002035DB">
      <w:pPr>
        <w:pStyle w:val="Heading2"/>
        <w:numPr>
          <w:ilvl w:val="1"/>
          <w:numId w:val="7"/>
        </w:numPr>
        <w:spacing w:line="276" w:lineRule="auto"/>
        <w:jc w:val="both"/>
        <w:rPr>
          <w:rFonts w:cs="Times New Roman"/>
          <w:sz w:val="24"/>
          <w:szCs w:val="24"/>
        </w:rPr>
      </w:pPr>
      <w:bookmarkStart w:id="6" w:name="_Toc157241251"/>
      <w:r>
        <w:rPr>
          <w:rFonts w:cs="Times New Roman"/>
          <w:sz w:val="24"/>
          <w:szCs w:val="24"/>
        </w:rPr>
        <w:t>Scope of the report</w:t>
      </w:r>
      <w:bookmarkEnd w:id="6"/>
      <w:r w:rsidR="00785FAD">
        <w:rPr>
          <w:rFonts w:cs="Times New Roman"/>
          <w:sz w:val="24"/>
          <w:szCs w:val="24"/>
        </w:rPr>
        <w:t>:</w:t>
      </w:r>
    </w:p>
    <w:p w14:paraId="34653D0B" w14:textId="77777777" w:rsidR="00785FAD" w:rsidRPr="00785FAD" w:rsidRDefault="00785FAD" w:rsidP="002035DB">
      <w:pPr>
        <w:spacing w:line="276" w:lineRule="auto"/>
      </w:pPr>
    </w:p>
    <w:p w14:paraId="0CAA84E5" w14:textId="198C21E7" w:rsidR="00870EC9" w:rsidRDefault="00E01DF4" w:rsidP="002035DB">
      <w:pPr>
        <w:spacing w:line="276" w:lineRule="auto"/>
        <w:jc w:val="both"/>
      </w:pPr>
      <w:r>
        <w:t>T</w:t>
      </w:r>
      <w:r>
        <w:t xml:space="preserve">he </w:t>
      </w:r>
      <w:r w:rsidR="00B037BA">
        <w:t>focus</w:t>
      </w:r>
      <w:r>
        <w:t xml:space="preserve"> on this topic is the FDI flows in the </w:t>
      </w:r>
      <w:r w:rsidR="00B037BA">
        <w:t>Vietnam</w:t>
      </w:r>
      <w:r>
        <w:t xml:space="preserve"> market and relevant aspects over the past decades from 1990 to 2022, although few available data does not cover the entire period. </w:t>
      </w:r>
      <w:r>
        <w:lastRenderedPageBreak/>
        <w:t>Whenever the term “FDI Flow'' is mentioned, it is in reference</w:t>
      </w:r>
      <w:r>
        <w:t xml:space="preserve"> Vietnam’ FDI flow. When the information refers to another </w:t>
      </w:r>
      <w:r w:rsidR="00B037BA">
        <w:t>state</w:t>
      </w:r>
      <w:r>
        <w:t xml:space="preserve">, it will be noticed. In this case, our group will alter </w:t>
      </w:r>
      <w:r w:rsidR="00B037BA">
        <w:t>Singapore</w:t>
      </w:r>
      <w:r>
        <w:rPr>
          <w:lang w:val="vi-VN"/>
        </w:rPr>
        <w:t xml:space="preserve"> </w:t>
      </w:r>
      <w:r>
        <w:t>performances to Lao</w:t>
      </w:r>
      <w:r>
        <w:rPr>
          <w:lang w:val="vi-VN"/>
        </w:rPr>
        <w:t xml:space="preserve"> PDR </w:t>
      </w:r>
      <w:r>
        <w:t>ones due to uncovered data sources in Singapore. </w:t>
      </w:r>
      <w:bookmarkStart w:id="7" w:name="OLE_LINK1"/>
      <w:bookmarkStart w:id="8" w:name="OLE_LINK2"/>
      <w:bookmarkStart w:id="9" w:name="OLE_LINK3"/>
      <w:bookmarkStart w:id="10" w:name="OLE_LINK4"/>
    </w:p>
    <w:p w14:paraId="1C29812F" w14:textId="2B37AB98" w:rsidR="00785FAD" w:rsidRDefault="00785FAD" w:rsidP="002035DB">
      <w:pPr>
        <w:spacing w:line="276" w:lineRule="auto"/>
        <w:jc w:val="both"/>
        <w:rPr>
          <w:b/>
          <w:bCs/>
          <w:i/>
          <w:iCs/>
        </w:rPr>
      </w:pPr>
      <w:r w:rsidRPr="00785FAD">
        <w:rPr>
          <w:b/>
          <w:bCs/>
          <w:i/>
          <w:iCs/>
          <w:lang w:val="vi-VN"/>
        </w:rPr>
        <w:t>2.3 Main question</w:t>
      </w:r>
      <w:r w:rsidRPr="00785FAD">
        <w:rPr>
          <w:b/>
          <w:bCs/>
          <w:i/>
          <w:iCs/>
        </w:rPr>
        <w:t>:</w:t>
      </w:r>
    </w:p>
    <w:p w14:paraId="71BD63BA" w14:textId="45D03997" w:rsidR="00785FAD" w:rsidRPr="00785FAD" w:rsidRDefault="00785FAD" w:rsidP="002035DB">
      <w:pPr>
        <w:spacing w:line="276" w:lineRule="auto"/>
        <w:jc w:val="both"/>
        <w:rPr>
          <w:u w:val="single"/>
        </w:rPr>
      </w:pPr>
      <w:r w:rsidRPr="00785FAD">
        <w:rPr>
          <w:u w:val="single"/>
        </w:rPr>
        <w:t xml:space="preserve">Part 1: General FDI patterns: </w:t>
      </w:r>
    </w:p>
    <w:p w14:paraId="14E428F5" w14:textId="77777777" w:rsidR="00785FAD" w:rsidRDefault="00785FAD" w:rsidP="002035DB">
      <w:pPr>
        <w:spacing w:line="276" w:lineRule="auto"/>
        <w:jc w:val="both"/>
      </w:pPr>
      <w:r>
        <w:t xml:space="preserve">- </w:t>
      </w:r>
      <w:r w:rsidRPr="00785FAD">
        <w:t xml:space="preserve">What are the general trends of FDI inflows into Vietnam from 1990 to 2022? </w:t>
      </w:r>
    </w:p>
    <w:p w14:paraId="3B575DCB" w14:textId="77777777" w:rsidR="00785FAD" w:rsidRDefault="00785FAD" w:rsidP="002035DB">
      <w:pPr>
        <w:spacing w:line="276" w:lineRule="auto"/>
        <w:jc w:val="both"/>
      </w:pPr>
      <w:r>
        <w:t xml:space="preserve">- </w:t>
      </w:r>
      <w:r w:rsidRPr="00785FAD">
        <w:t xml:space="preserve">How has Vietnam’s accession to the WTO in 2007 impacted its FDI inflows? </w:t>
      </w:r>
    </w:p>
    <w:p w14:paraId="1DAAF50B" w14:textId="604922F0" w:rsidR="00785FAD" w:rsidRDefault="00785FAD" w:rsidP="002035DB">
      <w:pPr>
        <w:spacing w:line="276" w:lineRule="auto"/>
        <w:jc w:val="both"/>
      </w:pPr>
      <w:r>
        <w:t xml:space="preserve">- </w:t>
      </w:r>
      <w:r w:rsidRPr="00785FAD">
        <w:t>What are the most significant sectors attracting FDI in Vietnam over recent decades?</w:t>
      </w:r>
    </w:p>
    <w:p w14:paraId="333D3B5C" w14:textId="70C87C16" w:rsidR="00785FAD" w:rsidRPr="00785FAD" w:rsidRDefault="00785FAD" w:rsidP="002035DB">
      <w:pPr>
        <w:spacing w:line="276" w:lineRule="auto"/>
        <w:jc w:val="both"/>
        <w:rPr>
          <w:u w:val="single"/>
        </w:rPr>
      </w:pPr>
      <w:r w:rsidRPr="00785FAD">
        <w:rPr>
          <w:u w:val="single"/>
        </w:rPr>
        <w:t>Part 2: Comparative analysis:</w:t>
      </w:r>
    </w:p>
    <w:p w14:paraId="3AB8D975" w14:textId="77777777" w:rsidR="00785FAD" w:rsidRDefault="00785FAD" w:rsidP="002035DB">
      <w:pPr>
        <w:spacing w:line="276" w:lineRule="auto"/>
        <w:jc w:val="both"/>
      </w:pPr>
      <w:r>
        <w:t xml:space="preserve">- </w:t>
      </w:r>
      <w:r w:rsidRPr="00785FAD">
        <w:t xml:space="preserve">How does Vietnam’s FDI inflow compare to that of other ASEAN countries like Indonesia, Laos, Malaysia, the Philippines, and Thailand? </w:t>
      </w:r>
    </w:p>
    <w:p w14:paraId="6567A838" w14:textId="77777777" w:rsidR="00785FAD" w:rsidRDefault="00785FAD" w:rsidP="002035DB">
      <w:pPr>
        <w:spacing w:line="276" w:lineRule="auto"/>
        <w:jc w:val="both"/>
      </w:pPr>
      <w:r>
        <w:t xml:space="preserve">- </w:t>
      </w:r>
      <w:r w:rsidRPr="00785FAD">
        <w:t xml:space="preserve">Why does Vietnam attract more FDI than Laos despite Laos having higher political stability in some indexes? </w:t>
      </w:r>
    </w:p>
    <w:p w14:paraId="6E491E69" w14:textId="77777777" w:rsidR="00785FAD" w:rsidRDefault="00785FAD" w:rsidP="002035DB">
      <w:pPr>
        <w:spacing w:line="276" w:lineRule="auto"/>
        <w:jc w:val="both"/>
      </w:pPr>
      <w:r>
        <w:t xml:space="preserve">- </w:t>
      </w:r>
      <w:r w:rsidRPr="00785FAD">
        <w:t>What advantages has Vietnam had over Thailand in attracting FDI in recent years?</w:t>
      </w:r>
    </w:p>
    <w:p w14:paraId="49D4AB03" w14:textId="5A749FEE" w:rsidR="00870EC9" w:rsidRDefault="00785FAD" w:rsidP="002035DB">
      <w:pPr>
        <w:spacing w:line="276" w:lineRule="auto"/>
        <w:jc w:val="both"/>
      </w:pPr>
      <w:r>
        <w:t>- Which factors that might possibly be influent to the FDI’s flow?</w:t>
      </w:r>
      <w:r w:rsidR="00E01DF4">
        <w:br w:type="page"/>
      </w:r>
    </w:p>
    <w:p w14:paraId="7EB17C1C" w14:textId="0E915C51" w:rsidR="00870EC9" w:rsidRPr="009C72B2" w:rsidRDefault="00E01DF4" w:rsidP="002035DB">
      <w:pPr>
        <w:spacing w:line="276" w:lineRule="auto"/>
        <w:jc w:val="both"/>
        <w:rPr>
          <w:color w:val="4472C4" w:themeColor="accent1"/>
        </w:rPr>
      </w:pPr>
      <w:r w:rsidRPr="009C72B2">
        <w:rPr>
          <w:b/>
          <w:bCs/>
          <w:color w:val="4472C4" w:themeColor="accent1"/>
          <w:lang w:val="vi-VN"/>
        </w:rPr>
        <w:lastRenderedPageBreak/>
        <w:t>S</w:t>
      </w:r>
      <w:r w:rsidR="0009384C" w:rsidRPr="009C72B2">
        <w:rPr>
          <w:b/>
          <w:bCs/>
          <w:color w:val="4472C4" w:themeColor="accent1"/>
          <w:lang w:val="vi-VN"/>
        </w:rPr>
        <w:t>ECTION</w:t>
      </w:r>
      <w:r w:rsidRPr="009C72B2">
        <w:rPr>
          <w:b/>
          <w:bCs/>
          <w:color w:val="4472C4" w:themeColor="accent1"/>
          <w:lang w:val="vi-VN"/>
        </w:rPr>
        <w:t xml:space="preserve"> 2: </w:t>
      </w:r>
      <w:r w:rsidR="006509B1">
        <w:rPr>
          <w:b/>
          <w:bCs/>
          <w:color w:val="4472C4" w:themeColor="accent1"/>
          <w:lang w:val="vi-VN"/>
        </w:rPr>
        <w:t>EM</w:t>
      </w:r>
      <w:r w:rsidR="0009384C" w:rsidRPr="009C72B2">
        <w:rPr>
          <w:b/>
          <w:bCs/>
          <w:color w:val="4472C4" w:themeColor="accent1"/>
          <w:lang w:val="vi-VN"/>
        </w:rPr>
        <w:t>PERICAL</w:t>
      </w:r>
      <w:r w:rsidRPr="009C72B2">
        <w:rPr>
          <w:b/>
          <w:bCs/>
          <w:color w:val="4472C4" w:themeColor="accent1"/>
          <w:lang w:val="vi-VN"/>
        </w:rPr>
        <w:t xml:space="preserve"> F</w:t>
      </w:r>
      <w:r w:rsidR="0009384C" w:rsidRPr="009C72B2">
        <w:rPr>
          <w:b/>
          <w:bCs/>
          <w:color w:val="4472C4" w:themeColor="accent1"/>
          <w:lang w:val="vi-VN"/>
        </w:rPr>
        <w:t>INDINGS</w:t>
      </w:r>
      <w:r w:rsidRPr="009C72B2">
        <w:rPr>
          <w:b/>
          <w:bCs/>
          <w:color w:val="4472C4" w:themeColor="accent1"/>
          <w:lang w:val="vi-VN"/>
        </w:rPr>
        <w:t>.</w:t>
      </w:r>
    </w:p>
    <w:p w14:paraId="4F63206D" w14:textId="76B4C766" w:rsidR="00B037BA" w:rsidRPr="00B037BA" w:rsidRDefault="00E01DF4" w:rsidP="002035DB">
      <w:pPr>
        <w:pStyle w:val="Heading1"/>
        <w:spacing w:line="276" w:lineRule="auto"/>
        <w:jc w:val="both"/>
        <w:rPr>
          <w:rFonts w:cs="Times New Roman"/>
          <w:smallCaps/>
          <w:color w:val="auto"/>
          <w:sz w:val="28"/>
          <w:szCs w:val="28"/>
        </w:rPr>
      </w:pPr>
      <w:bookmarkStart w:id="11" w:name="_Toc157241252"/>
      <w:r w:rsidRPr="00B037BA">
        <w:rPr>
          <w:rStyle w:val="SubtleReference1"/>
          <w:rFonts w:cs="Times New Roman"/>
          <w:color w:val="auto"/>
          <w:sz w:val="28"/>
          <w:szCs w:val="28"/>
        </w:rPr>
        <w:t>descriptive analysis</w:t>
      </w:r>
      <w:bookmarkEnd w:id="11"/>
    </w:p>
    <w:p w14:paraId="30B2247E" w14:textId="77777777" w:rsidR="00B037BA" w:rsidRPr="00B037BA" w:rsidRDefault="00B037BA" w:rsidP="002035DB">
      <w:pPr>
        <w:spacing w:line="276" w:lineRule="auto"/>
        <w:jc w:val="both"/>
      </w:pPr>
    </w:p>
    <w:p w14:paraId="03CC5921" w14:textId="77777777" w:rsidR="00870EC9" w:rsidRDefault="00E01DF4" w:rsidP="002035DB">
      <w:pPr>
        <w:spacing w:line="276" w:lineRule="auto"/>
        <w:jc w:val="both"/>
        <w:rPr>
          <w:b/>
          <w:bCs/>
        </w:rPr>
      </w:pPr>
      <w:r>
        <w:rPr>
          <w:noProof/>
        </w:rPr>
        <w:drawing>
          <wp:inline distT="0" distB="0" distL="0" distR="0" wp14:anchorId="130969B5" wp14:editId="227AAA0B">
            <wp:extent cx="5638800" cy="2601686"/>
            <wp:effectExtent l="0" t="0" r="12700" b="14605"/>
            <wp:docPr id="1164165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83F31F" w14:textId="35863550" w:rsidR="00870EC9" w:rsidRPr="009C72B2" w:rsidRDefault="00E01DF4" w:rsidP="002035DB">
      <w:pPr>
        <w:spacing w:line="276" w:lineRule="auto"/>
        <w:jc w:val="both"/>
        <w:rPr>
          <w:i/>
          <w:iCs/>
          <w:color w:val="4472C4" w:themeColor="accent1"/>
        </w:rPr>
      </w:pPr>
      <w:r w:rsidRPr="009C72B2">
        <w:rPr>
          <w:i/>
          <w:iCs/>
          <w:color w:val="C45911" w:themeColor="accent2" w:themeShade="BF"/>
        </w:rPr>
        <w:t>Figure</w:t>
      </w:r>
      <w:r w:rsidRPr="009C72B2">
        <w:rPr>
          <w:i/>
          <w:iCs/>
          <w:color w:val="C45911" w:themeColor="accent2" w:themeShade="BF"/>
          <w:lang w:val="vi-VN"/>
        </w:rPr>
        <w:t xml:space="preserve"> 1</w:t>
      </w:r>
      <w:r w:rsidRPr="009C72B2">
        <w:rPr>
          <w:i/>
          <w:iCs/>
          <w:color w:val="C45911" w:themeColor="accent2" w:themeShade="BF"/>
        </w:rPr>
        <w:t xml:space="preserve">: Foreign direct </w:t>
      </w:r>
      <w:r w:rsidRPr="009C72B2">
        <w:rPr>
          <w:i/>
          <w:iCs/>
          <w:color w:val="C45911" w:themeColor="accent2" w:themeShade="BF"/>
        </w:rPr>
        <w:t>investment, net inflow in Viet Nam (1990-2022).</w:t>
      </w:r>
    </w:p>
    <w:p w14:paraId="4E12C593" w14:textId="256D789B" w:rsidR="00870EC9" w:rsidRDefault="00E01DF4" w:rsidP="002035DB">
      <w:pPr>
        <w:pStyle w:val="NormalWeb"/>
        <w:spacing w:before="0" w:beforeAutospacing="0" w:after="0" w:afterAutospacing="0" w:line="276" w:lineRule="auto"/>
        <w:jc w:val="both"/>
        <w:textAlignment w:val="baseline"/>
      </w:pPr>
      <w:r>
        <w:t xml:space="preserve">Vietnam started economic reforms in the 1990s, open its nation doors to foreign investment since the promulgation of Foreign Investment Law (1987). FDI inflows into Vietnam were very low at this time </w:t>
      </w:r>
      <w:r>
        <w:t>(1990 – 2006) following the chart,</w:t>
      </w:r>
      <w:r w:rsidR="000F0ED3">
        <w:t xml:space="preserve"> </w:t>
      </w:r>
      <w:r w:rsidR="000F0ED3" w:rsidRPr="000F0ED3">
        <w:rPr>
          <w:i/>
          <w:iCs/>
        </w:rPr>
        <w:t xml:space="preserve">reaching </w:t>
      </w:r>
      <w:r w:rsidRPr="000F0ED3">
        <w:rPr>
          <w:i/>
          <w:iCs/>
        </w:rPr>
        <w:t>2.395</w:t>
      </w:r>
      <w:r w:rsidRPr="000F0ED3">
        <w:rPr>
          <w:i/>
          <w:iCs/>
          <w:lang w:val="vi-VN"/>
        </w:rPr>
        <w:t xml:space="preserve"> billion</w:t>
      </w:r>
      <w:r w:rsidRPr="000F0ED3">
        <w:rPr>
          <w:i/>
          <w:iCs/>
        </w:rPr>
        <w:t xml:space="preserve"> in 1996</w:t>
      </w:r>
      <w:r>
        <w:t xml:space="preserve"> and eventually started to increase significantly near the end of the decade. Clearly, FDI in this period do not really affect the socio-economic situation at this stage when the mean FDI flow only accounts for 4,97% of the total Vietnam’ GDP </w:t>
      </w:r>
    </w:p>
    <w:p w14:paraId="217A59DC" w14:textId="77777777" w:rsidR="009C72B2" w:rsidRDefault="009C72B2" w:rsidP="002035DB">
      <w:pPr>
        <w:pStyle w:val="NormalWeb"/>
        <w:spacing w:before="0" w:beforeAutospacing="0" w:after="0" w:afterAutospacing="0" w:line="276" w:lineRule="auto"/>
        <w:jc w:val="both"/>
        <w:textAlignment w:val="baseline"/>
      </w:pPr>
    </w:p>
    <w:tbl>
      <w:tblPr>
        <w:tblW w:w="4308" w:type="dxa"/>
        <w:tblLook w:val="04A0" w:firstRow="1" w:lastRow="0" w:firstColumn="1" w:lastColumn="0" w:noHBand="0" w:noVBand="1"/>
      </w:tblPr>
      <w:tblGrid>
        <w:gridCol w:w="2481"/>
        <w:gridCol w:w="1827"/>
      </w:tblGrid>
      <w:tr w:rsidR="00870EC9" w14:paraId="4A4C640E" w14:textId="77777777" w:rsidTr="009C72B2">
        <w:trPr>
          <w:trHeight w:val="371"/>
        </w:trPr>
        <w:tc>
          <w:tcPr>
            <w:tcW w:w="4308" w:type="dxa"/>
            <w:gridSpan w:val="2"/>
            <w:tcBorders>
              <w:top w:val="single" w:sz="8" w:space="0" w:color="auto"/>
              <w:left w:val="nil"/>
              <w:bottom w:val="single" w:sz="4" w:space="0" w:color="auto"/>
              <w:right w:val="nil"/>
            </w:tcBorders>
            <w:shd w:val="clear" w:color="auto" w:fill="auto"/>
            <w:noWrap/>
            <w:vAlign w:val="bottom"/>
          </w:tcPr>
          <w:p w14:paraId="41328606" w14:textId="77777777" w:rsidR="00870EC9" w:rsidRDefault="00E01DF4" w:rsidP="002035DB">
            <w:pPr>
              <w:spacing w:line="276" w:lineRule="auto"/>
              <w:jc w:val="both"/>
              <w:rPr>
                <w:b/>
                <w:bCs/>
                <w:i/>
                <w:iCs/>
              </w:rPr>
            </w:pPr>
            <w:r>
              <w:rPr>
                <w:b/>
                <w:bCs/>
                <w:i/>
                <w:iCs/>
              </w:rPr>
              <w:t>FDI (% GDP) - (1988 - 2006)</w:t>
            </w:r>
          </w:p>
        </w:tc>
      </w:tr>
      <w:tr w:rsidR="00870EC9" w14:paraId="33189EBB" w14:textId="77777777" w:rsidTr="009C72B2">
        <w:trPr>
          <w:trHeight w:val="371"/>
        </w:trPr>
        <w:tc>
          <w:tcPr>
            <w:tcW w:w="2481" w:type="dxa"/>
            <w:tcBorders>
              <w:top w:val="nil"/>
              <w:left w:val="nil"/>
              <w:bottom w:val="nil"/>
              <w:right w:val="nil"/>
            </w:tcBorders>
            <w:shd w:val="clear" w:color="auto" w:fill="auto"/>
            <w:noWrap/>
            <w:vAlign w:val="bottom"/>
          </w:tcPr>
          <w:p w14:paraId="6FA738B0" w14:textId="77777777" w:rsidR="00870EC9" w:rsidRDefault="00E01DF4" w:rsidP="002035DB">
            <w:pPr>
              <w:spacing w:line="276" w:lineRule="auto"/>
              <w:jc w:val="both"/>
            </w:pPr>
            <w:r>
              <w:t>Mean</w:t>
            </w:r>
          </w:p>
        </w:tc>
        <w:tc>
          <w:tcPr>
            <w:tcW w:w="1826" w:type="dxa"/>
            <w:tcBorders>
              <w:top w:val="nil"/>
              <w:left w:val="nil"/>
              <w:bottom w:val="nil"/>
              <w:right w:val="nil"/>
            </w:tcBorders>
            <w:shd w:val="clear" w:color="auto" w:fill="auto"/>
            <w:noWrap/>
            <w:vAlign w:val="bottom"/>
          </w:tcPr>
          <w:p w14:paraId="7D369C57" w14:textId="77777777" w:rsidR="00870EC9" w:rsidRDefault="00E01DF4" w:rsidP="002035DB">
            <w:pPr>
              <w:spacing w:line="276" w:lineRule="auto"/>
              <w:jc w:val="both"/>
            </w:pPr>
            <w:r>
              <w:t>4,975415165</w:t>
            </w:r>
          </w:p>
        </w:tc>
      </w:tr>
      <w:tr w:rsidR="00870EC9" w14:paraId="27C56C15" w14:textId="77777777" w:rsidTr="009C72B2">
        <w:trPr>
          <w:trHeight w:val="371"/>
        </w:trPr>
        <w:tc>
          <w:tcPr>
            <w:tcW w:w="2481" w:type="dxa"/>
            <w:tcBorders>
              <w:top w:val="nil"/>
              <w:left w:val="nil"/>
              <w:bottom w:val="nil"/>
              <w:right w:val="nil"/>
            </w:tcBorders>
            <w:shd w:val="clear" w:color="auto" w:fill="auto"/>
            <w:noWrap/>
            <w:vAlign w:val="bottom"/>
          </w:tcPr>
          <w:p w14:paraId="528E3FC7" w14:textId="77777777" w:rsidR="00870EC9" w:rsidRDefault="00E01DF4" w:rsidP="002035DB">
            <w:pPr>
              <w:spacing w:line="276" w:lineRule="auto"/>
              <w:jc w:val="both"/>
            </w:pPr>
            <w:r>
              <w:t>Standard deviation</w:t>
            </w:r>
          </w:p>
        </w:tc>
        <w:tc>
          <w:tcPr>
            <w:tcW w:w="1826" w:type="dxa"/>
            <w:tcBorders>
              <w:top w:val="nil"/>
              <w:left w:val="nil"/>
              <w:bottom w:val="nil"/>
              <w:right w:val="nil"/>
            </w:tcBorders>
            <w:shd w:val="clear" w:color="auto" w:fill="auto"/>
            <w:noWrap/>
            <w:vAlign w:val="bottom"/>
          </w:tcPr>
          <w:p w14:paraId="363198F3" w14:textId="77777777" w:rsidR="00870EC9" w:rsidRDefault="00E01DF4" w:rsidP="002035DB">
            <w:pPr>
              <w:spacing w:line="276" w:lineRule="auto"/>
              <w:jc w:val="both"/>
            </w:pPr>
            <w:r>
              <w:t>3,0342179</w:t>
            </w:r>
          </w:p>
        </w:tc>
      </w:tr>
    </w:tbl>
    <w:p w14:paraId="5BD0383F" w14:textId="77777777" w:rsidR="00870EC9" w:rsidRDefault="00870EC9" w:rsidP="002035DB">
      <w:pPr>
        <w:pStyle w:val="NormalWeb"/>
        <w:spacing w:before="0" w:beforeAutospacing="0" w:after="0" w:afterAutospacing="0" w:line="276" w:lineRule="auto"/>
        <w:jc w:val="both"/>
        <w:textAlignment w:val="baseline"/>
        <w:rPr>
          <w:shd w:val="clear" w:color="auto" w:fill="FFFFFF"/>
        </w:rPr>
      </w:pPr>
    </w:p>
    <w:p w14:paraId="5E0AA1D3" w14:textId="77777777" w:rsidR="00870EC9" w:rsidRDefault="00E01DF4" w:rsidP="002035DB">
      <w:pPr>
        <w:pStyle w:val="NormalWeb"/>
        <w:spacing w:before="0" w:beforeAutospacing="0" w:after="0" w:afterAutospacing="0" w:line="276" w:lineRule="auto"/>
        <w:jc w:val="both"/>
        <w:textAlignment w:val="baseline"/>
      </w:pPr>
      <w:r>
        <w:rPr>
          <w:shd w:val="clear" w:color="auto" w:fill="FFFFFF"/>
        </w:rPr>
        <w:t>During the first decade of the new reformation, economic structural transformation in Vietnam still took place modestly compared to developing countries including Argentina, Chile, and India (</w:t>
      </w:r>
      <w:r w:rsidRPr="000F0ED3">
        <w:rPr>
          <w:i/>
          <w:iCs/>
          <w:shd w:val="clear" w:color="auto" w:fill="FFFFFF"/>
        </w:rPr>
        <w:t xml:space="preserve">Figure </w:t>
      </w:r>
      <w:r w:rsidR="00BA1379" w:rsidRPr="000F0ED3">
        <w:rPr>
          <w:i/>
          <w:iCs/>
          <w:shd w:val="clear" w:color="auto" w:fill="FFFFFF"/>
        </w:rPr>
        <w:t>1</w:t>
      </w:r>
      <w:r w:rsidRPr="000F0ED3">
        <w:rPr>
          <w:i/>
          <w:iCs/>
          <w:shd w:val="clear" w:color="auto" w:fill="FFFFFF"/>
          <w:lang w:val="vi-VN"/>
        </w:rPr>
        <w:t>.</w:t>
      </w:r>
      <w:r w:rsidR="00BA1379" w:rsidRPr="000F0ED3">
        <w:rPr>
          <w:i/>
          <w:iCs/>
          <w:shd w:val="clear" w:color="auto" w:fill="FFFFFF"/>
          <w:lang w:val="vi-VN"/>
        </w:rPr>
        <w:t>1</w:t>
      </w:r>
      <w:r>
        <w:rPr>
          <w:shd w:val="clear" w:color="auto" w:fill="FFFFFF"/>
        </w:rPr>
        <w:t>)</w:t>
      </w:r>
      <w:r>
        <w:rPr>
          <w:shd w:val="clear" w:color="auto" w:fill="FFFFFF"/>
          <w:lang w:val="vi-VN"/>
        </w:rPr>
        <w:t>; t</w:t>
      </w:r>
      <w:r>
        <w:rPr>
          <w:shd w:val="clear" w:color="auto" w:fill="FFFFFF"/>
        </w:rPr>
        <w:t>he investment structure of FDI was also</w:t>
      </w:r>
      <w:r>
        <w:rPr>
          <w:shd w:val="clear" w:color="auto" w:fill="FFFFFF"/>
          <w:lang w:val="vi-VN"/>
        </w:rPr>
        <w:t xml:space="preserve"> </w:t>
      </w:r>
      <w:r>
        <w:rPr>
          <w:shd w:val="clear" w:color="auto" w:fill="FFFFFF"/>
        </w:rPr>
        <w:t xml:space="preserve">in that state, and investment priorities in high technology (Access to electricity), logistic technology (Railways, goods transported), high quality services (Employers), education and training (Expenditure on primary education), research and development do not meet expectations. </w:t>
      </w:r>
      <w:r>
        <w:rPr>
          <w:shd w:val="clear" w:color="auto" w:fill="FFFFFF"/>
          <w:lang w:val="vi-VN"/>
        </w:rPr>
        <w:t>*</w:t>
      </w:r>
    </w:p>
    <w:p w14:paraId="58EF0CCB" w14:textId="77777777" w:rsidR="00870EC9" w:rsidRDefault="00E01DF4" w:rsidP="002035DB">
      <w:pPr>
        <w:pStyle w:val="NormalWeb"/>
        <w:spacing w:before="0" w:beforeAutospacing="0" w:after="0" w:afterAutospacing="0" w:line="276" w:lineRule="auto"/>
        <w:jc w:val="both"/>
        <w:textAlignment w:val="baseline"/>
      </w:pPr>
      <w:r>
        <w:rPr>
          <w:noProof/>
          <w14:ligatures w14:val="standardContextual"/>
        </w:rPr>
        <w:lastRenderedPageBreak/>
        <w:drawing>
          <wp:inline distT="0" distB="0" distL="0" distR="0" wp14:anchorId="6B290531" wp14:editId="09442998">
            <wp:extent cx="5736590" cy="2514600"/>
            <wp:effectExtent l="0" t="0" r="16510" b="12700"/>
            <wp:docPr id="9476546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CAAC39" w14:textId="7420C1C8" w:rsidR="00870EC9" w:rsidRDefault="00E01DF4" w:rsidP="002035DB">
      <w:pPr>
        <w:pStyle w:val="NormalWeb"/>
        <w:spacing w:before="0" w:beforeAutospacing="0" w:after="0" w:afterAutospacing="0" w:line="276" w:lineRule="auto"/>
        <w:jc w:val="both"/>
        <w:textAlignment w:val="baseline"/>
        <w:rPr>
          <w:i/>
          <w:iCs/>
        </w:rPr>
      </w:pPr>
      <w:r w:rsidRPr="000F0ED3">
        <w:rPr>
          <w:i/>
          <w:iCs/>
          <w:color w:val="C45911" w:themeColor="accent2" w:themeShade="BF"/>
        </w:rPr>
        <w:t xml:space="preserve">Figure </w:t>
      </w:r>
      <w:r w:rsidR="000F0ED3">
        <w:rPr>
          <w:i/>
          <w:iCs/>
          <w:color w:val="C45911" w:themeColor="accent2" w:themeShade="BF"/>
        </w:rPr>
        <w:t>2</w:t>
      </w:r>
      <w:r w:rsidRPr="000F0ED3">
        <w:rPr>
          <w:i/>
          <w:iCs/>
          <w:color w:val="C45911" w:themeColor="accent2" w:themeShade="BF"/>
        </w:rPr>
        <w:t>: Economic structural transformation context in 2000.</w:t>
      </w:r>
    </w:p>
    <w:p w14:paraId="4083E3F3" w14:textId="5D6E8F55" w:rsidR="00870EC9" w:rsidRDefault="00D906F0" w:rsidP="002035DB">
      <w:pPr>
        <w:pStyle w:val="Heading1"/>
        <w:spacing w:line="276" w:lineRule="auto"/>
        <w:jc w:val="both"/>
        <w:rPr>
          <w:color w:val="auto"/>
        </w:rPr>
      </w:pPr>
      <w:bookmarkStart w:id="12" w:name="_Toc157241253"/>
      <w:r>
        <w:rPr>
          <w:color w:val="auto"/>
        </w:rPr>
        <w:t>1.</w:t>
      </w:r>
      <w:r w:rsidR="00E01DF4" w:rsidRPr="0009384C">
        <w:rPr>
          <w:color w:val="auto"/>
        </w:rPr>
        <w:t>SITUATION OF FDI IN VIET NAM OVER THE PAST FEW DECADES</w:t>
      </w:r>
      <w:bookmarkEnd w:id="12"/>
    </w:p>
    <w:p w14:paraId="2E5029CA" w14:textId="77777777" w:rsidR="004E1D81" w:rsidRDefault="004E1D81" w:rsidP="002035DB">
      <w:pPr>
        <w:spacing w:line="276" w:lineRule="auto"/>
        <w:jc w:val="both"/>
      </w:pPr>
    </w:p>
    <w:p w14:paraId="2B3DF6CD" w14:textId="77777777" w:rsidR="00D906F0" w:rsidRPr="004E1D81" w:rsidRDefault="00D906F0" w:rsidP="002035DB">
      <w:pPr>
        <w:spacing w:line="276" w:lineRule="auto"/>
        <w:jc w:val="both"/>
        <w:sectPr w:rsidR="00D906F0" w:rsidRPr="004E1D81" w:rsidSect="00146B15">
          <w:pgSz w:w="11906" w:h="16838"/>
          <w:pgMar w:top="1440" w:right="1440" w:bottom="1440" w:left="1440" w:header="709" w:footer="709" w:gutter="0"/>
          <w:cols w:space="708"/>
          <w:docGrid w:linePitch="360"/>
        </w:sectPr>
      </w:pPr>
    </w:p>
    <w:tbl>
      <w:tblPr>
        <w:tblStyle w:val="GridTable2-Accent21"/>
        <w:tblW w:w="4488" w:type="dxa"/>
        <w:tblLook w:val="04A0" w:firstRow="1" w:lastRow="0" w:firstColumn="1" w:lastColumn="0" w:noHBand="0" w:noVBand="1"/>
      </w:tblPr>
      <w:tblGrid>
        <w:gridCol w:w="1882"/>
        <w:gridCol w:w="2746"/>
      </w:tblGrid>
      <w:tr w:rsidR="00870EC9" w:rsidRPr="00D906F0" w14:paraId="7CBD0A8E" w14:textId="77777777" w:rsidTr="00870E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2" w:type="dxa"/>
            <w:noWrap/>
          </w:tcPr>
          <w:p w14:paraId="0331E620" w14:textId="77777777" w:rsidR="00870EC9" w:rsidRPr="00D906F0" w:rsidRDefault="00E01DF4" w:rsidP="002035DB">
            <w:pPr>
              <w:spacing w:line="276" w:lineRule="auto"/>
              <w:jc w:val="both"/>
              <w:rPr>
                <w:i/>
                <w:iCs/>
                <w:sz w:val="22"/>
                <w:szCs w:val="22"/>
              </w:rPr>
            </w:pPr>
            <w:r w:rsidRPr="00D906F0">
              <w:rPr>
                <w:i/>
                <w:iCs/>
                <w:sz w:val="22"/>
                <w:szCs w:val="22"/>
              </w:rPr>
              <w:t>FDI Flow (billion)</w:t>
            </w:r>
          </w:p>
        </w:tc>
        <w:tc>
          <w:tcPr>
            <w:tcW w:w="2606" w:type="dxa"/>
            <w:noWrap/>
          </w:tcPr>
          <w:p w14:paraId="2C561053" w14:textId="77777777" w:rsidR="00870EC9" w:rsidRPr="00D906F0"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rPr>
                <w:i/>
                <w:iCs/>
                <w:sz w:val="22"/>
                <w:szCs w:val="22"/>
              </w:rPr>
            </w:pPr>
            <w:r w:rsidRPr="00D906F0">
              <w:rPr>
                <w:i/>
                <w:iCs/>
                <w:sz w:val="22"/>
                <w:szCs w:val="22"/>
              </w:rPr>
              <w:t>Descriptive statistic</w:t>
            </w:r>
          </w:p>
        </w:tc>
      </w:tr>
      <w:tr w:rsidR="00870EC9" w:rsidRPr="00D906F0" w14:paraId="6D92802B"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tcPr>
          <w:p w14:paraId="7B4AE896" w14:textId="77777777" w:rsidR="00870EC9" w:rsidRPr="00D906F0" w:rsidRDefault="00E01DF4" w:rsidP="002035DB">
            <w:pPr>
              <w:spacing w:line="276" w:lineRule="auto"/>
              <w:jc w:val="both"/>
              <w:rPr>
                <w:i/>
                <w:iCs/>
                <w:sz w:val="22"/>
                <w:szCs w:val="22"/>
              </w:rPr>
            </w:pPr>
            <w:r w:rsidRPr="00D906F0">
              <w:rPr>
                <w:i/>
                <w:iCs/>
                <w:sz w:val="22"/>
                <w:szCs w:val="22"/>
              </w:rPr>
              <w:t>Mean</w:t>
            </w:r>
          </w:p>
        </w:tc>
        <w:tc>
          <w:tcPr>
            <w:tcW w:w="2606" w:type="dxa"/>
            <w:shd w:val="clear" w:color="auto" w:fill="FBE4D5" w:themeFill="accent2" w:themeFillTint="33"/>
            <w:noWrap/>
          </w:tcPr>
          <w:p w14:paraId="03C9BE34"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6.001.688.737</w:t>
            </w:r>
          </w:p>
        </w:tc>
      </w:tr>
      <w:tr w:rsidR="00870EC9" w:rsidRPr="00D906F0" w14:paraId="3A3BB615"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noWrap/>
          </w:tcPr>
          <w:p w14:paraId="284BE310"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Standard Error</w:t>
            </w:r>
          </w:p>
        </w:tc>
        <w:tc>
          <w:tcPr>
            <w:tcW w:w="2606" w:type="dxa"/>
            <w:noWrap/>
          </w:tcPr>
          <w:p w14:paraId="0252B6CE"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979.727.710</w:t>
            </w:r>
          </w:p>
        </w:tc>
      </w:tr>
      <w:tr w:rsidR="00870EC9" w:rsidRPr="00D906F0" w14:paraId="2E6CC513"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tcPr>
          <w:p w14:paraId="1FC514C8"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Median</w:t>
            </w:r>
          </w:p>
        </w:tc>
        <w:tc>
          <w:tcPr>
            <w:tcW w:w="2606" w:type="dxa"/>
            <w:shd w:val="clear" w:color="auto" w:fill="FBE4D5" w:themeFill="accent2" w:themeFillTint="33"/>
            <w:noWrap/>
          </w:tcPr>
          <w:p w14:paraId="66BAFC45"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2.395.000.000</w:t>
            </w:r>
          </w:p>
        </w:tc>
      </w:tr>
      <w:tr w:rsidR="00870EC9" w:rsidRPr="00D906F0" w14:paraId="2C98523C"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noWrap/>
          </w:tcPr>
          <w:p w14:paraId="1DD133DC"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Mode</w:t>
            </w:r>
          </w:p>
        </w:tc>
        <w:tc>
          <w:tcPr>
            <w:tcW w:w="2606" w:type="dxa"/>
            <w:noWrap/>
          </w:tcPr>
          <w:p w14:paraId="7DBF3D1C"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#N/A</w:t>
            </w:r>
          </w:p>
        </w:tc>
      </w:tr>
      <w:tr w:rsidR="00870EC9" w:rsidRPr="00D906F0" w14:paraId="689235A0"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tcPr>
          <w:p w14:paraId="6A979366"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Standard Deviation</w:t>
            </w:r>
          </w:p>
        </w:tc>
        <w:tc>
          <w:tcPr>
            <w:tcW w:w="2606" w:type="dxa"/>
            <w:shd w:val="clear" w:color="auto" w:fill="FBE4D5" w:themeFill="accent2" w:themeFillTint="33"/>
            <w:noWrap/>
          </w:tcPr>
          <w:p w14:paraId="53FE9475"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5.796.147.297</w:t>
            </w:r>
          </w:p>
        </w:tc>
      </w:tr>
      <w:tr w:rsidR="00870EC9" w:rsidRPr="00D906F0" w14:paraId="6A54A4AE"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noWrap/>
          </w:tcPr>
          <w:p w14:paraId="4C203542"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Sample Variance</w:t>
            </w:r>
          </w:p>
        </w:tc>
        <w:tc>
          <w:tcPr>
            <w:tcW w:w="2606" w:type="dxa"/>
            <w:noWrap/>
          </w:tcPr>
          <w:p w14:paraId="0AA801AB"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33.595.323.490.950.300.000</w:t>
            </w:r>
          </w:p>
        </w:tc>
      </w:tr>
      <w:tr w:rsidR="00870EC9" w:rsidRPr="00D906F0" w14:paraId="41816659"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tcPr>
          <w:p w14:paraId="4C3EA3D1"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Range</w:t>
            </w:r>
          </w:p>
        </w:tc>
        <w:tc>
          <w:tcPr>
            <w:tcW w:w="2606" w:type="dxa"/>
            <w:shd w:val="clear" w:color="auto" w:fill="FBE4D5" w:themeFill="accent2" w:themeFillTint="33"/>
            <w:noWrap/>
          </w:tcPr>
          <w:p w14:paraId="1A1F6564"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17.895.930.000</w:t>
            </w:r>
          </w:p>
        </w:tc>
      </w:tr>
      <w:tr w:rsidR="00870EC9" w:rsidRPr="00D906F0" w14:paraId="172E3EA2"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noWrap/>
          </w:tcPr>
          <w:p w14:paraId="1C4046F1"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Minimum</w:t>
            </w:r>
          </w:p>
        </w:tc>
        <w:tc>
          <w:tcPr>
            <w:tcW w:w="2606" w:type="dxa"/>
            <w:noWrap/>
          </w:tcPr>
          <w:p w14:paraId="68EE4086"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4.070.000</w:t>
            </w:r>
          </w:p>
        </w:tc>
      </w:tr>
      <w:tr w:rsidR="00870EC9" w:rsidRPr="00D906F0" w14:paraId="372267CB"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tcPr>
          <w:p w14:paraId="64257A2E"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Maximum</w:t>
            </w:r>
          </w:p>
        </w:tc>
        <w:tc>
          <w:tcPr>
            <w:tcW w:w="2606" w:type="dxa"/>
            <w:shd w:val="clear" w:color="auto" w:fill="FBE4D5" w:themeFill="accent2" w:themeFillTint="33"/>
            <w:noWrap/>
          </w:tcPr>
          <w:p w14:paraId="0CCD32CC"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17.900.000.000</w:t>
            </w:r>
          </w:p>
        </w:tc>
      </w:tr>
      <w:tr w:rsidR="00870EC9" w:rsidRPr="00D906F0" w14:paraId="7AA80470" w14:textId="77777777" w:rsidTr="00870EC9">
        <w:trPr>
          <w:trHeight w:val="323"/>
        </w:trPr>
        <w:tc>
          <w:tcPr>
            <w:cnfStyle w:val="001000000000" w:firstRow="0" w:lastRow="0" w:firstColumn="1" w:lastColumn="0" w:oddVBand="0" w:evenVBand="0" w:oddHBand="0" w:evenHBand="0" w:firstRowFirstColumn="0" w:firstRowLastColumn="0" w:lastRowFirstColumn="0" w:lastRowLastColumn="0"/>
            <w:tcW w:w="1882" w:type="dxa"/>
            <w:noWrap/>
          </w:tcPr>
          <w:p w14:paraId="3DF4AC9D"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Sum</w:t>
            </w:r>
          </w:p>
        </w:tc>
        <w:tc>
          <w:tcPr>
            <w:tcW w:w="2606" w:type="dxa"/>
            <w:noWrap/>
          </w:tcPr>
          <w:p w14:paraId="6E8EE304"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210.059.105.785</w:t>
            </w:r>
          </w:p>
        </w:tc>
      </w:tr>
      <w:tr w:rsidR="00870EC9" w:rsidRPr="00D906F0" w14:paraId="095C9DB4" w14:textId="77777777" w:rsidTr="00870EC9">
        <w:trPr>
          <w:trHeight w:val="339"/>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tcPr>
          <w:p w14:paraId="1ABF43C9"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Count</w:t>
            </w:r>
          </w:p>
        </w:tc>
        <w:tc>
          <w:tcPr>
            <w:tcW w:w="2606" w:type="dxa"/>
            <w:shd w:val="clear" w:color="auto" w:fill="FBE4D5" w:themeFill="accent2" w:themeFillTint="33"/>
            <w:noWrap/>
          </w:tcPr>
          <w:p w14:paraId="36983CAE"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35</w:t>
            </w:r>
          </w:p>
        </w:tc>
      </w:tr>
      <w:tr w:rsidR="00870EC9" w:rsidRPr="00D906F0" w14:paraId="6377A6D8" w14:textId="77777777" w:rsidTr="00870EC9">
        <w:trPr>
          <w:trHeight w:val="339"/>
        </w:trPr>
        <w:tc>
          <w:tcPr>
            <w:cnfStyle w:val="001000000000" w:firstRow="0" w:lastRow="0" w:firstColumn="1" w:lastColumn="0" w:oddVBand="0" w:evenVBand="0" w:oddHBand="0" w:evenHBand="0" w:firstRowFirstColumn="0" w:firstRowLastColumn="0" w:lastRowFirstColumn="0" w:lastRowLastColumn="0"/>
            <w:tcW w:w="1882" w:type="dxa"/>
            <w:noWrap/>
          </w:tcPr>
          <w:p w14:paraId="411AC899" w14:textId="77777777" w:rsidR="00870EC9" w:rsidRPr="00D906F0" w:rsidRDefault="00E01DF4" w:rsidP="002035DB">
            <w:pPr>
              <w:spacing w:line="276" w:lineRule="auto"/>
              <w:jc w:val="both"/>
              <w:rPr>
                <w:b w:val="0"/>
                <w:bCs w:val="0"/>
                <w:i/>
                <w:iCs/>
                <w:sz w:val="22"/>
                <w:szCs w:val="22"/>
              </w:rPr>
            </w:pPr>
            <w:r w:rsidRPr="00D906F0">
              <w:rPr>
                <w:b w:val="0"/>
                <w:bCs w:val="0"/>
                <w:i/>
                <w:iCs/>
                <w:sz w:val="22"/>
                <w:szCs w:val="22"/>
              </w:rPr>
              <w:t>Confidence level (95%)</w:t>
            </w:r>
          </w:p>
        </w:tc>
        <w:tc>
          <w:tcPr>
            <w:tcW w:w="2606" w:type="dxa"/>
            <w:noWrap/>
          </w:tcPr>
          <w:p w14:paraId="3B8E76FD" w14:textId="77777777" w:rsidR="00870EC9" w:rsidRPr="00D906F0"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D906F0">
              <w:rPr>
                <w:sz w:val="22"/>
                <w:szCs w:val="22"/>
              </w:rPr>
              <w:t>1.991.046.259</w:t>
            </w:r>
          </w:p>
        </w:tc>
      </w:tr>
    </w:tbl>
    <w:p w14:paraId="7DFF51AF" w14:textId="77777777" w:rsidR="00D906F0" w:rsidRDefault="00D906F0" w:rsidP="002035DB">
      <w:pPr>
        <w:shd w:val="clear" w:color="auto" w:fill="FFFFFF"/>
        <w:spacing w:line="276" w:lineRule="auto"/>
        <w:rPr>
          <w:i/>
          <w:iCs/>
          <w:color w:val="C45911" w:themeColor="accent2" w:themeShade="BF"/>
        </w:rPr>
      </w:pPr>
    </w:p>
    <w:p w14:paraId="00488BA2" w14:textId="54528D30" w:rsidR="00870EC9" w:rsidRPr="000F0ED3" w:rsidRDefault="00E01DF4" w:rsidP="002035DB">
      <w:pPr>
        <w:shd w:val="clear" w:color="auto" w:fill="FFFFFF"/>
        <w:spacing w:line="276" w:lineRule="auto"/>
        <w:rPr>
          <w:i/>
          <w:iCs/>
          <w:color w:val="C45911" w:themeColor="accent2" w:themeShade="BF"/>
        </w:rPr>
      </w:pPr>
      <w:r w:rsidRPr="000F0ED3">
        <w:rPr>
          <w:i/>
          <w:iCs/>
          <w:color w:val="C45911" w:themeColor="accent2" w:themeShade="BF"/>
        </w:rPr>
        <w:t>Table</w:t>
      </w:r>
      <w:r w:rsidR="000F0ED3" w:rsidRPr="000F0ED3">
        <w:rPr>
          <w:i/>
          <w:iCs/>
          <w:color w:val="C45911" w:themeColor="accent2" w:themeShade="BF"/>
        </w:rPr>
        <w:t xml:space="preserve"> 1</w:t>
      </w:r>
      <w:r w:rsidRPr="000F0ED3">
        <w:rPr>
          <w:i/>
          <w:iCs/>
          <w:color w:val="C45911" w:themeColor="accent2" w:themeShade="BF"/>
        </w:rPr>
        <w:t xml:space="preserve"> shows the set 36 data from the value export of the external trade export in</w:t>
      </w:r>
    </w:p>
    <w:p w14:paraId="7A216D30" w14:textId="77777777" w:rsidR="00870EC9" w:rsidRPr="000F0ED3" w:rsidRDefault="00E01DF4" w:rsidP="002035DB">
      <w:pPr>
        <w:shd w:val="clear" w:color="auto" w:fill="FFFFFF"/>
        <w:spacing w:line="276" w:lineRule="auto"/>
        <w:rPr>
          <w:i/>
          <w:iCs/>
          <w:color w:val="C45911" w:themeColor="accent2" w:themeShade="BF"/>
        </w:rPr>
      </w:pPr>
      <w:r w:rsidRPr="000F0ED3">
        <w:rPr>
          <w:i/>
          <w:iCs/>
          <w:color w:val="C45911" w:themeColor="accent2" w:themeShade="BF"/>
        </w:rPr>
        <w:t>Malaysia from year 2018 to 2020.</w:t>
      </w:r>
    </w:p>
    <w:p w14:paraId="3BB760A3" w14:textId="77777777" w:rsidR="00870EC9" w:rsidRDefault="00E01DF4" w:rsidP="002035DB">
      <w:pPr>
        <w:pStyle w:val="NormalWeb"/>
        <w:spacing w:before="0" w:beforeAutospacing="0" w:after="0" w:afterAutospacing="0" w:line="276" w:lineRule="auto"/>
        <w:jc w:val="both"/>
        <w:textAlignment w:val="baseline"/>
        <w:rPr>
          <w:lang w:val="vi-VN"/>
        </w:rPr>
      </w:pPr>
      <w:r>
        <w:t xml:space="preserve">From 1985-2022, FDI </w:t>
      </w:r>
      <w:r>
        <w:t>inflows into Vietnam have surpassed all previous records. Vietnam attracted almost $</w:t>
      </w:r>
      <w:r>
        <w:rPr>
          <w:lang w:val="vi-VN"/>
        </w:rPr>
        <w:t>6</w:t>
      </w:r>
      <w:r>
        <w:t xml:space="preserve"> billion</w:t>
      </w:r>
      <w:r>
        <w:rPr>
          <w:lang w:val="vi-VN"/>
        </w:rPr>
        <w:t xml:space="preserve"> on average</w:t>
      </w:r>
      <w:r>
        <w:t xml:space="preserve"> with</w:t>
      </w:r>
      <w:r>
        <w:rPr>
          <w:lang w:val="vi-VN"/>
        </w:rPr>
        <w:t xml:space="preserve">: </w:t>
      </w:r>
    </w:p>
    <w:p w14:paraId="05032961" w14:textId="77777777" w:rsidR="00870EC9" w:rsidRDefault="00E01DF4" w:rsidP="002035DB">
      <w:pPr>
        <w:pStyle w:val="NormalWeb"/>
        <w:spacing w:before="0" w:beforeAutospacing="0" w:after="0" w:afterAutospacing="0" w:line="276" w:lineRule="auto"/>
        <w:jc w:val="both"/>
        <w:textAlignment w:val="baseline"/>
      </w:pPr>
      <w:r>
        <w:sym w:font="Symbol" w:char="F073"/>
      </w:r>
      <w:r>
        <w:t xml:space="preserve"> = 5.8 billion.</w:t>
      </w:r>
    </w:p>
    <w:p w14:paraId="655731BF" w14:textId="77777777" w:rsidR="00870EC9" w:rsidRDefault="00E01DF4" w:rsidP="002035DB">
      <w:pPr>
        <w:pStyle w:val="NormalWeb"/>
        <w:spacing w:before="0" w:beforeAutospacing="0" w:after="0" w:afterAutospacing="0" w:line="276" w:lineRule="auto"/>
        <w:jc w:val="both"/>
        <w:textAlignment w:val="baseline"/>
      </w:pPr>
      <w:r>
        <w:t xml:space="preserve">The lower and upper limit of interval: </w:t>
      </w:r>
    </w:p>
    <w:p w14:paraId="5D1C5F7A" w14:textId="77777777" w:rsidR="00870EC9" w:rsidRDefault="00E01DF4" w:rsidP="002035DB">
      <w:pPr>
        <w:pStyle w:val="NormalWeb"/>
        <w:spacing w:before="0" w:beforeAutospacing="0" w:after="0" w:afterAutospacing="0" w:line="276" w:lineRule="auto"/>
        <w:ind w:left="502"/>
        <w:jc w:val="both"/>
        <w:textAlignment w:val="baseline"/>
      </w:pPr>
      <m:oMathPara>
        <m:oMath>
          <m:r>
            <w:rPr>
              <w:rFonts w:ascii="Cambria Math" w:hAnsi="Cambria Math"/>
            </w:rPr>
            <m:t>μ</m:t>
          </m:r>
          <m:r>
            <w:rPr>
              <w:rFonts w:ascii="Cambria Math" w:hAnsi="Cambria Math"/>
            </w:rPr>
            <m:t>±</m:t>
          </m:r>
          <m:r>
            <w:rPr>
              <w:rFonts w:ascii="Cambria Math" w:hAnsi="Cambria Math"/>
            </w:rPr>
            <m:t>z</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2</m:t>
                  </m:r>
                </m:den>
              </m:f>
            </m:e>
          </m:d>
          <m:r>
            <w:rPr>
              <w:rFonts w:ascii="Cambria Math" w:hAnsi="Cambria Math"/>
            </w:rPr>
            <m:t>s</m:t>
          </m:r>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2487A529" w14:textId="4EFCE307" w:rsidR="00870EC9" w:rsidRDefault="00E01DF4" w:rsidP="002035DB">
      <w:pPr>
        <w:pStyle w:val="NormalWeb"/>
        <w:spacing w:before="0" w:beforeAutospacing="0" w:after="0" w:afterAutospacing="0" w:line="276" w:lineRule="auto"/>
        <w:jc w:val="center"/>
        <w:textAlignment w:val="baseline"/>
      </w:pPr>
      <w:r>
        <w:t>Interval =</w:t>
      </w:r>
      <w:r w:rsidR="00D906F0">
        <w:t xml:space="preserve">   </w:t>
      </w:r>
      <m:oMath>
        <m:r>
          <m:rPr>
            <m:sty m:val="p"/>
          </m:rPr>
          <w:rPr>
            <w:rFonts w:ascii="Cambria Math" w:hAnsi="Cambria Math"/>
          </w:rPr>
          <m:t xml:space="preserve">6.001.688.737±1.96 </m:t>
        </m:r>
        <m:f>
          <m:fPr>
            <m:ctrlPr>
              <w:rPr>
                <w:rFonts w:ascii="Cambria Math" w:hAnsi="Cambria Math"/>
              </w:rPr>
            </m:ctrlPr>
          </m:fPr>
          <m:num>
            <m:r>
              <m:rPr>
                <m:sty m:val="p"/>
              </m:rPr>
              <w:rPr>
                <w:rFonts w:ascii="Cambria Math" w:hAnsi="Cambria Math"/>
              </w:rPr>
              <m:t>5.796.147.297</m:t>
            </m:r>
          </m:num>
          <m:den>
            <m:rad>
              <m:radPr>
                <m:degHide m:val="1"/>
                <m:ctrlPr>
                  <w:rPr>
                    <w:rFonts w:ascii="Cambria Math" w:hAnsi="Cambria Math"/>
                    <w:i/>
                  </w:rPr>
                </m:ctrlPr>
              </m:radPr>
              <m:deg/>
              <m:e>
                <m:r>
                  <w:rPr>
                    <w:rFonts w:ascii="Cambria Math" w:hAnsi="Cambria Math"/>
                  </w:rPr>
                  <m:t>35</m:t>
                </m:r>
              </m:e>
            </m:rad>
          </m:den>
        </m:f>
      </m:oMath>
    </w:p>
    <w:p w14:paraId="02D7E792" w14:textId="77777777" w:rsidR="00870EC9" w:rsidRDefault="00E01DF4" w:rsidP="002035DB">
      <w:pPr>
        <w:spacing w:line="276" w:lineRule="auto"/>
        <w:rPr>
          <w:lang w:val="vi-VN"/>
        </w:rPr>
      </w:pPr>
      <w:r>
        <w:rPr>
          <w:lang w:val="vi-VN"/>
        </w:rPr>
        <w:t xml:space="preserve">          </w:t>
      </w:r>
      <w:r>
        <w:t xml:space="preserve">Interval = </w:t>
      </w:r>
      <w:r>
        <w:rPr>
          <w:lang w:val="vi-VN"/>
        </w:rPr>
        <w:t>(</w:t>
      </w:r>
      <w:r>
        <w:t>4</w:t>
      </w:r>
      <w:r>
        <w:rPr>
          <w:lang w:val="vi-VN"/>
        </w:rPr>
        <w:t>.</w:t>
      </w:r>
      <w:r>
        <w:t>081422426</w:t>
      </w:r>
      <w:r>
        <w:rPr>
          <w:lang w:val="vi-VN"/>
        </w:rPr>
        <w:t xml:space="preserve">; </w:t>
      </w:r>
      <w:r>
        <w:t>7</w:t>
      </w:r>
      <w:r>
        <w:rPr>
          <w:lang w:val="vi-VN"/>
        </w:rPr>
        <w:t>.</w:t>
      </w:r>
      <w:r>
        <w:t>921955048</w:t>
      </w:r>
      <w:r>
        <w:rPr>
          <w:lang w:val="vi-VN"/>
        </w:rPr>
        <w:t>)</w:t>
      </w:r>
    </w:p>
    <w:p w14:paraId="614666D9" w14:textId="77777777" w:rsidR="00D906F0" w:rsidRDefault="00D906F0" w:rsidP="002035DB">
      <w:pPr>
        <w:spacing w:line="276" w:lineRule="auto"/>
        <w:rPr>
          <w:lang w:val="vi-VN"/>
        </w:rPr>
      </w:pPr>
    </w:p>
    <w:p w14:paraId="2FDB7F11" w14:textId="77777777" w:rsidR="00870EC9" w:rsidRDefault="00E01DF4" w:rsidP="002035DB">
      <w:pPr>
        <w:pStyle w:val="NormalWeb"/>
        <w:spacing w:before="0" w:beforeAutospacing="0" w:after="0" w:afterAutospacing="0" w:line="276" w:lineRule="auto"/>
        <w:jc w:val="both"/>
        <w:textAlignment w:val="baseline"/>
      </w:pPr>
      <w:r>
        <w:t>For the value 95% confidence level</w:t>
      </w:r>
      <w:r>
        <w:rPr>
          <w:lang w:val="vi-VN"/>
        </w:rPr>
        <w:t>,</w:t>
      </w:r>
      <w:r>
        <w:t xml:space="preserve"> FDI flow Vietnam falls between</w:t>
      </w:r>
      <w:r>
        <w:rPr>
          <w:lang w:val="vi-VN"/>
        </w:rPr>
        <w:t xml:space="preserve"> 4.08</w:t>
      </w:r>
      <w:r>
        <w:t xml:space="preserve"> and </w:t>
      </w:r>
      <w:r>
        <w:rPr>
          <w:lang w:val="vi-VN"/>
        </w:rPr>
        <w:t>7.92</w:t>
      </w:r>
      <w:r>
        <w:t xml:space="preserve">. 95% of all mean FDI in Vietnam value of 35 sample years are between that calculated lower an upper value. </w:t>
      </w:r>
    </w:p>
    <w:p w14:paraId="12A67D68" w14:textId="77777777" w:rsidR="00870EC9" w:rsidRDefault="00870EC9" w:rsidP="002035DB">
      <w:pPr>
        <w:pStyle w:val="NormalWeb"/>
        <w:spacing w:before="0" w:beforeAutospacing="0" w:after="0" w:afterAutospacing="0" w:line="276" w:lineRule="auto"/>
        <w:jc w:val="both"/>
        <w:textAlignment w:val="baseline"/>
      </w:pPr>
    </w:p>
    <w:p w14:paraId="1825BB2D" w14:textId="77777777" w:rsidR="00870EC9" w:rsidRDefault="00870EC9" w:rsidP="002035DB">
      <w:pPr>
        <w:spacing w:line="276" w:lineRule="auto"/>
        <w:jc w:val="both"/>
        <w:rPr>
          <w:i/>
          <w:iCs/>
        </w:rPr>
        <w:sectPr w:rsidR="00870EC9" w:rsidSect="00146B15">
          <w:type w:val="continuous"/>
          <w:pgSz w:w="11906" w:h="16838"/>
          <w:pgMar w:top="1440" w:right="1440" w:bottom="1440" w:left="1440" w:header="709" w:footer="709" w:gutter="0"/>
          <w:cols w:num="2" w:space="709"/>
          <w:docGrid w:linePitch="360"/>
        </w:sectPr>
      </w:pPr>
    </w:p>
    <w:p w14:paraId="7A8A7041" w14:textId="0E634BA4" w:rsidR="00870EC9" w:rsidRDefault="00E01DF4" w:rsidP="002035DB">
      <w:pPr>
        <w:pStyle w:val="Heading1"/>
        <w:numPr>
          <w:ilvl w:val="0"/>
          <w:numId w:val="10"/>
        </w:numPr>
        <w:spacing w:line="276" w:lineRule="auto"/>
        <w:jc w:val="both"/>
        <w:rPr>
          <w:rFonts w:cs="Times New Roman"/>
          <w:color w:val="auto"/>
          <w:szCs w:val="24"/>
        </w:rPr>
      </w:pPr>
      <w:bookmarkStart w:id="13" w:name="_Toc157241254"/>
      <w:bookmarkEnd w:id="7"/>
      <w:bookmarkEnd w:id="8"/>
      <w:r>
        <w:rPr>
          <w:rFonts w:cs="Times New Roman"/>
          <w:color w:val="auto"/>
          <w:szCs w:val="24"/>
        </w:rPr>
        <w:t>FDI FLOW OF SELECTED COUNTRIES IN THE CURRENT CONTEXT</w:t>
      </w:r>
      <w:bookmarkEnd w:id="13"/>
    </w:p>
    <w:p w14:paraId="2BBF21EC" w14:textId="77777777" w:rsidR="00D906F0" w:rsidRPr="00D906F0" w:rsidRDefault="00D906F0" w:rsidP="002035DB">
      <w:pPr>
        <w:spacing w:line="276" w:lineRule="auto"/>
      </w:pPr>
    </w:p>
    <w:p w14:paraId="2C0175AF" w14:textId="5B28DA18" w:rsidR="00870EC9" w:rsidRDefault="00E01DF4" w:rsidP="002035DB">
      <w:pPr>
        <w:pStyle w:val="Heading2"/>
        <w:numPr>
          <w:ilvl w:val="1"/>
          <w:numId w:val="10"/>
        </w:numPr>
        <w:spacing w:line="276" w:lineRule="auto"/>
        <w:jc w:val="both"/>
        <w:rPr>
          <w:rFonts w:cs="Times New Roman"/>
          <w:sz w:val="24"/>
          <w:szCs w:val="24"/>
        </w:rPr>
      </w:pPr>
      <w:bookmarkStart w:id="14" w:name="_Toc157241255"/>
      <w:r>
        <w:rPr>
          <w:rFonts w:cs="Times New Roman"/>
          <w:sz w:val="24"/>
          <w:szCs w:val="24"/>
        </w:rPr>
        <w:t>FDI flow in ASEAN Nations.</w:t>
      </w:r>
      <w:bookmarkEnd w:id="14"/>
      <w:r>
        <w:rPr>
          <w:rFonts w:cs="Times New Roman"/>
          <w:sz w:val="24"/>
          <w:szCs w:val="24"/>
        </w:rPr>
        <w:t xml:space="preserve"> </w:t>
      </w:r>
    </w:p>
    <w:p w14:paraId="6D5B1B07" w14:textId="77777777" w:rsidR="00D906F0" w:rsidRPr="00D906F0" w:rsidRDefault="00D906F0" w:rsidP="002035DB">
      <w:pPr>
        <w:spacing w:line="276" w:lineRule="auto"/>
        <w:ind w:left="360"/>
      </w:pPr>
    </w:p>
    <w:p w14:paraId="4F0C8F05" w14:textId="77777777" w:rsidR="00870EC9" w:rsidRDefault="00E01DF4" w:rsidP="002035DB">
      <w:pPr>
        <w:pStyle w:val="NormalWeb"/>
        <w:spacing w:before="0" w:beforeAutospacing="0" w:after="0" w:afterAutospacing="0" w:line="276" w:lineRule="auto"/>
        <w:jc w:val="both"/>
        <w:textAlignment w:val="baseline"/>
      </w:pPr>
      <w:r>
        <w:t>T</w:t>
      </w:r>
      <w:r>
        <w:t xml:space="preserve">he milestone points in attracting FDI in Vietnam should be counted when joining the World Trade Agreement (WTO) since 2007, because at that time, FDI in Vietnam increase very </w:t>
      </w:r>
      <w:r>
        <w:lastRenderedPageBreak/>
        <w:t xml:space="preserve">significantly and quickly, making Vietnam become one of the largest FDI attracting nation in Southeast Asia (ASEAN) region. </w:t>
      </w:r>
    </w:p>
    <w:p w14:paraId="2FD7817E" w14:textId="77777777" w:rsidR="00870EC9" w:rsidRDefault="00E01DF4" w:rsidP="002035DB">
      <w:pPr>
        <w:pStyle w:val="NormalWeb"/>
        <w:spacing w:before="0" w:beforeAutospacing="0" w:after="0" w:afterAutospacing="0" w:line="276" w:lineRule="auto"/>
        <w:jc w:val="both"/>
        <w:textAlignment w:val="baseline"/>
        <w:rPr>
          <w:lang w:val="vi-VN"/>
        </w:rPr>
      </w:pPr>
      <w:r>
        <w:rPr>
          <w:noProof/>
          <w14:ligatures w14:val="standardContextual"/>
        </w:rPr>
        <w:drawing>
          <wp:inline distT="0" distB="0" distL="0" distR="0" wp14:anchorId="1FB90ABC" wp14:editId="2FB811B9">
            <wp:extent cx="5736590" cy="2656115"/>
            <wp:effectExtent l="0" t="0" r="16510" b="11430"/>
            <wp:docPr id="14262615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8F8DF8" w14:textId="2491DEF8" w:rsidR="00870EC9" w:rsidRDefault="00E01DF4" w:rsidP="002035DB">
      <w:pPr>
        <w:pStyle w:val="NormalWeb"/>
        <w:spacing w:before="0" w:beforeAutospacing="0" w:after="0" w:afterAutospacing="0" w:line="276" w:lineRule="auto"/>
        <w:jc w:val="both"/>
        <w:textAlignment w:val="baseline"/>
        <w:rPr>
          <w:i/>
          <w:iCs/>
          <w:color w:val="C45911" w:themeColor="accent2" w:themeShade="BF"/>
        </w:rPr>
      </w:pPr>
      <w:r w:rsidRPr="00D906F0">
        <w:rPr>
          <w:i/>
          <w:iCs/>
          <w:color w:val="C45911" w:themeColor="accent2" w:themeShade="BF"/>
        </w:rPr>
        <w:t xml:space="preserve">Figure </w:t>
      </w:r>
      <w:r w:rsidR="00D906F0">
        <w:rPr>
          <w:i/>
          <w:iCs/>
          <w:color w:val="C45911" w:themeColor="accent2" w:themeShade="BF"/>
        </w:rPr>
        <w:t>3</w:t>
      </w:r>
      <w:r w:rsidRPr="00D906F0">
        <w:rPr>
          <w:i/>
          <w:iCs/>
          <w:color w:val="C45911" w:themeColor="accent2" w:themeShade="BF"/>
        </w:rPr>
        <w:t xml:space="preserve">: </w:t>
      </w:r>
      <w:r w:rsidRPr="00D906F0">
        <w:rPr>
          <w:i/>
          <w:iCs/>
          <w:color w:val="C45911" w:themeColor="accent2" w:themeShade="BF"/>
          <w:lang w:val="en-GB"/>
        </w:rPr>
        <w:t>FDI Flow (current US) in ASEAN nations from 2010-202</w:t>
      </w:r>
      <w:r w:rsidRPr="00D906F0">
        <w:rPr>
          <w:i/>
          <w:iCs/>
          <w:color w:val="C45911" w:themeColor="accent2" w:themeShade="BF"/>
        </w:rPr>
        <w:t>2</w:t>
      </w:r>
    </w:p>
    <w:p w14:paraId="55756B3D" w14:textId="77777777" w:rsidR="003A140E" w:rsidRPr="00D906F0" w:rsidRDefault="003A140E" w:rsidP="002035DB">
      <w:pPr>
        <w:pStyle w:val="NormalWeb"/>
        <w:spacing w:before="0" w:beforeAutospacing="0" w:after="0" w:afterAutospacing="0" w:line="276" w:lineRule="auto"/>
        <w:jc w:val="both"/>
        <w:textAlignment w:val="baseline"/>
        <w:rPr>
          <w:i/>
          <w:iCs/>
          <w:color w:val="C45911" w:themeColor="accent2" w:themeShade="BF"/>
        </w:rPr>
      </w:pPr>
    </w:p>
    <w:p w14:paraId="13466313" w14:textId="77777777" w:rsidR="00870EC9" w:rsidRDefault="00870EC9" w:rsidP="002035DB">
      <w:pPr>
        <w:spacing w:line="276" w:lineRule="auto"/>
        <w:jc w:val="both"/>
        <w:rPr>
          <w:b/>
          <w:bCs/>
        </w:rPr>
        <w:sectPr w:rsidR="00870EC9" w:rsidSect="00146B15">
          <w:type w:val="continuous"/>
          <w:pgSz w:w="11906" w:h="16838"/>
          <w:pgMar w:top="1440" w:right="1440" w:bottom="1440" w:left="1440" w:header="709" w:footer="709" w:gutter="0"/>
          <w:cols w:space="709"/>
          <w:docGrid w:linePitch="360"/>
        </w:sectPr>
      </w:pPr>
    </w:p>
    <w:tbl>
      <w:tblPr>
        <w:tblStyle w:val="GridTable6Colorful-Accent31"/>
        <w:tblW w:w="2813" w:type="dxa"/>
        <w:tblLook w:val="04A0" w:firstRow="1" w:lastRow="0" w:firstColumn="1" w:lastColumn="0" w:noHBand="0" w:noVBand="1"/>
      </w:tblPr>
      <w:tblGrid>
        <w:gridCol w:w="887"/>
        <w:gridCol w:w="1020"/>
        <w:gridCol w:w="906"/>
      </w:tblGrid>
      <w:tr w:rsidR="00870EC9" w14:paraId="4A5C6DA3" w14:textId="77777777" w:rsidTr="00870EC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87" w:type="dxa"/>
            <w:noWrap/>
          </w:tcPr>
          <w:p w14:paraId="0E538CAC" w14:textId="77777777" w:rsidR="00870EC9" w:rsidRDefault="00E01DF4" w:rsidP="002035DB">
            <w:pPr>
              <w:spacing w:line="276" w:lineRule="auto"/>
              <w:jc w:val="both"/>
              <w:rPr>
                <w:color w:val="auto"/>
              </w:rPr>
            </w:pPr>
            <w:r>
              <w:rPr>
                <w:color w:val="auto"/>
              </w:rPr>
              <w:t>Year</w:t>
            </w:r>
          </w:p>
        </w:tc>
        <w:tc>
          <w:tcPr>
            <w:tcW w:w="1020" w:type="dxa"/>
            <w:noWrap/>
          </w:tcPr>
          <w:p w14:paraId="364861E0" w14:textId="77777777" w:rsidR="00870EC9"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VN's Rank </w:t>
            </w:r>
          </w:p>
        </w:tc>
        <w:tc>
          <w:tcPr>
            <w:tcW w:w="906" w:type="dxa"/>
            <w:noWrap/>
          </w:tcPr>
          <w:p w14:paraId="11DF9B7B" w14:textId="77777777" w:rsidR="00870EC9"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Level up </w:t>
            </w:r>
          </w:p>
        </w:tc>
      </w:tr>
      <w:tr w:rsidR="00870EC9" w14:paraId="616CA5E7"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56E6E9A5" w14:textId="77777777" w:rsidR="00870EC9" w:rsidRDefault="00E01DF4" w:rsidP="002035DB">
            <w:pPr>
              <w:spacing w:line="276" w:lineRule="auto"/>
              <w:jc w:val="both"/>
              <w:rPr>
                <w:b w:val="0"/>
                <w:bCs w:val="0"/>
                <w:color w:val="auto"/>
              </w:rPr>
            </w:pPr>
            <w:r>
              <w:rPr>
                <w:color w:val="auto"/>
              </w:rPr>
              <w:t>2010</w:t>
            </w:r>
          </w:p>
        </w:tc>
        <w:tc>
          <w:tcPr>
            <w:tcW w:w="1020" w:type="dxa"/>
            <w:shd w:val="clear" w:color="auto" w:fill="EDEDED" w:themeFill="accent3" w:themeFillTint="33"/>
            <w:noWrap/>
          </w:tcPr>
          <w:p w14:paraId="739E3A34"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906" w:type="dxa"/>
            <w:shd w:val="clear" w:color="auto" w:fill="EDEDED" w:themeFill="accent3" w:themeFillTint="33"/>
            <w:noWrap/>
          </w:tcPr>
          <w:p w14:paraId="182BBFE0"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0D7C2E15"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noWrap/>
          </w:tcPr>
          <w:p w14:paraId="20256B3B" w14:textId="77777777" w:rsidR="00870EC9" w:rsidRDefault="00E01DF4" w:rsidP="002035DB">
            <w:pPr>
              <w:spacing w:line="276" w:lineRule="auto"/>
              <w:jc w:val="both"/>
              <w:rPr>
                <w:color w:val="auto"/>
              </w:rPr>
            </w:pPr>
            <w:r>
              <w:rPr>
                <w:color w:val="auto"/>
              </w:rPr>
              <w:t>2011</w:t>
            </w:r>
          </w:p>
        </w:tc>
        <w:tc>
          <w:tcPr>
            <w:tcW w:w="1020" w:type="dxa"/>
            <w:noWrap/>
          </w:tcPr>
          <w:p w14:paraId="568F87E1"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906" w:type="dxa"/>
            <w:noWrap/>
          </w:tcPr>
          <w:p w14:paraId="5B5CAD96"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870EC9" w14:paraId="285DCDA8"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7000A641" w14:textId="77777777" w:rsidR="00870EC9" w:rsidRDefault="00E01DF4" w:rsidP="002035DB">
            <w:pPr>
              <w:spacing w:line="276" w:lineRule="auto"/>
              <w:jc w:val="both"/>
              <w:rPr>
                <w:color w:val="auto"/>
              </w:rPr>
            </w:pPr>
            <w:r>
              <w:rPr>
                <w:color w:val="auto"/>
              </w:rPr>
              <w:t>2012</w:t>
            </w:r>
          </w:p>
        </w:tc>
        <w:tc>
          <w:tcPr>
            <w:tcW w:w="1020" w:type="dxa"/>
            <w:shd w:val="clear" w:color="auto" w:fill="EDEDED" w:themeFill="accent3" w:themeFillTint="33"/>
            <w:noWrap/>
          </w:tcPr>
          <w:p w14:paraId="63F70884"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906" w:type="dxa"/>
            <w:shd w:val="clear" w:color="auto" w:fill="EDEDED" w:themeFill="accent3" w:themeFillTint="33"/>
            <w:noWrap/>
          </w:tcPr>
          <w:p w14:paraId="170EA85E"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870EC9" w14:paraId="78F73BD6" w14:textId="77777777" w:rsidTr="00870EC9">
        <w:trPr>
          <w:trHeight w:val="284"/>
        </w:trPr>
        <w:tc>
          <w:tcPr>
            <w:cnfStyle w:val="001000000000" w:firstRow="0" w:lastRow="0" w:firstColumn="1" w:lastColumn="0" w:oddVBand="0" w:evenVBand="0" w:oddHBand="0" w:evenHBand="0" w:firstRowFirstColumn="0" w:firstRowLastColumn="0" w:lastRowFirstColumn="0" w:lastRowLastColumn="0"/>
            <w:tcW w:w="887" w:type="dxa"/>
            <w:noWrap/>
          </w:tcPr>
          <w:p w14:paraId="31A75FA7" w14:textId="77777777" w:rsidR="00870EC9" w:rsidRDefault="00E01DF4" w:rsidP="002035DB">
            <w:pPr>
              <w:spacing w:line="276" w:lineRule="auto"/>
              <w:jc w:val="both"/>
              <w:rPr>
                <w:color w:val="auto"/>
              </w:rPr>
            </w:pPr>
            <w:r>
              <w:rPr>
                <w:color w:val="auto"/>
              </w:rPr>
              <w:t>2013</w:t>
            </w:r>
          </w:p>
        </w:tc>
        <w:tc>
          <w:tcPr>
            <w:tcW w:w="1020" w:type="dxa"/>
            <w:noWrap/>
          </w:tcPr>
          <w:p w14:paraId="7D0D574A"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906" w:type="dxa"/>
            <w:noWrap/>
          </w:tcPr>
          <w:p w14:paraId="03DAB8FC"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35EFDE22"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3FBF8BF6" w14:textId="77777777" w:rsidR="00870EC9" w:rsidRDefault="00E01DF4" w:rsidP="002035DB">
            <w:pPr>
              <w:spacing w:line="276" w:lineRule="auto"/>
              <w:jc w:val="both"/>
              <w:rPr>
                <w:color w:val="auto"/>
              </w:rPr>
            </w:pPr>
            <w:r>
              <w:rPr>
                <w:color w:val="auto"/>
              </w:rPr>
              <w:t>2014</w:t>
            </w:r>
          </w:p>
        </w:tc>
        <w:tc>
          <w:tcPr>
            <w:tcW w:w="1020" w:type="dxa"/>
            <w:shd w:val="clear" w:color="auto" w:fill="EDEDED" w:themeFill="accent3" w:themeFillTint="33"/>
            <w:noWrap/>
          </w:tcPr>
          <w:p w14:paraId="32692293"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906" w:type="dxa"/>
            <w:shd w:val="clear" w:color="auto" w:fill="EDEDED" w:themeFill="accent3" w:themeFillTint="33"/>
            <w:noWrap/>
          </w:tcPr>
          <w:p w14:paraId="066042D0"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870EC9" w14:paraId="0270BAF5"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noWrap/>
          </w:tcPr>
          <w:p w14:paraId="4E299D83" w14:textId="77777777" w:rsidR="00870EC9" w:rsidRDefault="00E01DF4" w:rsidP="002035DB">
            <w:pPr>
              <w:spacing w:line="276" w:lineRule="auto"/>
              <w:jc w:val="both"/>
              <w:rPr>
                <w:color w:val="auto"/>
              </w:rPr>
            </w:pPr>
            <w:r>
              <w:rPr>
                <w:color w:val="auto"/>
              </w:rPr>
              <w:t>2015</w:t>
            </w:r>
          </w:p>
        </w:tc>
        <w:tc>
          <w:tcPr>
            <w:tcW w:w="1020" w:type="dxa"/>
            <w:noWrap/>
          </w:tcPr>
          <w:p w14:paraId="2D8C784B"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noWrap/>
          </w:tcPr>
          <w:p w14:paraId="00EF9696"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870EC9" w14:paraId="77F133D1"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39C100E7" w14:textId="77777777" w:rsidR="00870EC9" w:rsidRDefault="00E01DF4" w:rsidP="002035DB">
            <w:pPr>
              <w:spacing w:line="276" w:lineRule="auto"/>
              <w:jc w:val="both"/>
              <w:rPr>
                <w:color w:val="auto"/>
              </w:rPr>
            </w:pPr>
            <w:r>
              <w:rPr>
                <w:color w:val="auto"/>
              </w:rPr>
              <w:t>2016</w:t>
            </w:r>
          </w:p>
        </w:tc>
        <w:tc>
          <w:tcPr>
            <w:tcW w:w="1020" w:type="dxa"/>
            <w:shd w:val="clear" w:color="auto" w:fill="EDEDED" w:themeFill="accent3" w:themeFillTint="33"/>
            <w:noWrap/>
          </w:tcPr>
          <w:p w14:paraId="3C4C703A"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shd w:val="clear" w:color="auto" w:fill="EDEDED" w:themeFill="accent3" w:themeFillTint="33"/>
            <w:noWrap/>
          </w:tcPr>
          <w:p w14:paraId="5B7A252E"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6E97199A"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noWrap/>
          </w:tcPr>
          <w:p w14:paraId="7B5DDE85" w14:textId="77777777" w:rsidR="00870EC9" w:rsidRDefault="00E01DF4" w:rsidP="002035DB">
            <w:pPr>
              <w:spacing w:line="276" w:lineRule="auto"/>
              <w:jc w:val="both"/>
              <w:rPr>
                <w:color w:val="auto"/>
              </w:rPr>
            </w:pPr>
            <w:r>
              <w:rPr>
                <w:color w:val="auto"/>
              </w:rPr>
              <w:t>2017</w:t>
            </w:r>
          </w:p>
        </w:tc>
        <w:tc>
          <w:tcPr>
            <w:tcW w:w="1020" w:type="dxa"/>
            <w:noWrap/>
          </w:tcPr>
          <w:p w14:paraId="5B2E8F6C"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noWrap/>
          </w:tcPr>
          <w:p w14:paraId="24410CDC"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164E3B88"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35BE264D" w14:textId="77777777" w:rsidR="00870EC9" w:rsidRDefault="00E01DF4" w:rsidP="002035DB">
            <w:pPr>
              <w:spacing w:line="276" w:lineRule="auto"/>
              <w:jc w:val="both"/>
              <w:rPr>
                <w:color w:val="auto"/>
              </w:rPr>
            </w:pPr>
            <w:r>
              <w:rPr>
                <w:color w:val="auto"/>
              </w:rPr>
              <w:t>2018</w:t>
            </w:r>
          </w:p>
        </w:tc>
        <w:tc>
          <w:tcPr>
            <w:tcW w:w="1020" w:type="dxa"/>
            <w:shd w:val="clear" w:color="auto" w:fill="EDEDED" w:themeFill="accent3" w:themeFillTint="33"/>
            <w:noWrap/>
          </w:tcPr>
          <w:p w14:paraId="5AD02D77"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shd w:val="clear" w:color="auto" w:fill="EDEDED" w:themeFill="accent3" w:themeFillTint="33"/>
            <w:noWrap/>
          </w:tcPr>
          <w:p w14:paraId="7F6D11BB"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7449ACCD"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noWrap/>
          </w:tcPr>
          <w:p w14:paraId="524E88FA" w14:textId="77777777" w:rsidR="00870EC9" w:rsidRDefault="00E01DF4" w:rsidP="002035DB">
            <w:pPr>
              <w:spacing w:line="276" w:lineRule="auto"/>
              <w:jc w:val="both"/>
              <w:rPr>
                <w:color w:val="auto"/>
              </w:rPr>
            </w:pPr>
            <w:r>
              <w:rPr>
                <w:color w:val="auto"/>
              </w:rPr>
              <w:t>2019</w:t>
            </w:r>
          </w:p>
        </w:tc>
        <w:tc>
          <w:tcPr>
            <w:tcW w:w="1020" w:type="dxa"/>
            <w:noWrap/>
          </w:tcPr>
          <w:p w14:paraId="29E9BDFB"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noWrap/>
          </w:tcPr>
          <w:p w14:paraId="072A13E3"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5684159B"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49771D4C" w14:textId="77777777" w:rsidR="00870EC9" w:rsidRDefault="00E01DF4" w:rsidP="002035DB">
            <w:pPr>
              <w:spacing w:line="276" w:lineRule="auto"/>
              <w:jc w:val="both"/>
              <w:rPr>
                <w:color w:val="auto"/>
              </w:rPr>
            </w:pPr>
            <w:r>
              <w:rPr>
                <w:color w:val="auto"/>
              </w:rPr>
              <w:t>2020</w:t>
            </w:r>
          </w:p>
        </w:tc>
        <w:tc>
          <w:tcPr>
            <w:tcW w:w="1020" w:type="dxa"/>
            <w:shd w:val="clear" w:color="auto" w:fill="EDEDED" w:themeFill="accent3" w:themeFillTint="33"/>
            <w:noWrap/>
          </w:tcPr>
          <w:p w14:paraId="79ABCAF1"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shd w:val="clear" w:color="auto" w:fill="EDEDED" w:themeFill="accent3" w:themeFillTint="33"/>
            <w:noWrap/>
          </w:tcPr>
          <w:p w14:paraId="4E9573B0"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0</w:t>
            </w:r>
          </w:p>
        </w:tc>
      </w:tr>
      <w:tr w:rsidR="00870EC9" w14:paraId="3572E2BF" w14:textId="77777777" w:rsidTr="00870EC9">
        <w:trPr>
          <w:trHeight w:val="259"/>
        </w:trPr>
        <w:tc>
          <w:tcPr>
            <w:cnfStyle w:val="001000000000" w:firstRow="0" w:lastRow="0" w:firstColumn="1" w:lastColumn="0" w:oddVBand="0" w:evenVBand="0" w:oddHBand="0" w:evenHBand="0" w:firstRowFirstColumn="0" w:firstRowLastColumn="0" w:lastRowFirstColumn="0" w:lastRowLastColumn="0"/>
            <w:tcW w:w="887" w:type="dxa"/>
            <w:noWrap/>
          </w:tcPr>
          <w:p w14:paraId="243DC004" w14:textId="77777777" w:rsidR="00870EC9" w:rsidRDefault="00E01DF4" w:rsidP="002035DB">
            <w:pPr>
              <w:spacing w:line="276" w:lineRule="auto"/>
              <w:jc w:val="both"/>
              <w:rPr>
                <w:color w:val="auto"/>
              </w:rPr>
            </w:pPr>
            <w:r>
              <w:rPr>
                <w:color w:val="auto"/>
              </w:rPr>
              <w:t>2021</w:t>
            </w:r>
          </w:p>
        </w:tc>
        <w:tc>
          <w:tcPr>
            <w:tcW w:w="1020" w:type="dxa"/>
            <w:noWrap/>
          </w:tcPr>
          <w:p w14:paraId="6FFC11B9"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906" w:type="dxa"/>
            <w:noWrap/>
          </w:tcPr>
          <w:p w14:paraId="3440CFDB"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870EC9" w14:paraId="0AC7B561" w14:textId="77777777" w:rsidTr="00870EC9">
        <w:trPr>
          <w:trHeight w:val="271"/>
        </w:trPr>
        <w:tc>
          <w:tcPr>
            <w:cnfStyle w:val="001000000000" w:firstRow="0" w:lastRow="0" w:firstColumn="1" w:lastColumn="0" w:oddVBand="0" w:evenVBand="0" w:oddHBand="0" w:evenHBand="0" w:firstRowFirstColumn="0" w:firstRowLastColumn="0" w:lastRowFirstColumn="0" w:lastRowLastColumn="0"/>
            <w:tcW w:w="887" w:type="dxa"/>
            <w:shd w:val="clear" w:color="auto" w:fill="EDEDED" w:themeFill="accent3" w:themeFillTint="33"/>
            <w:noWrap/>
          </w:tcPr>
          <w:p w14:paraId="1371793B" w14:textId="77777777" w:rsidR="00870EC9" w:rsidRDefault="00E01DF4" w:rsidP="002035DB">
            <w:pPr>
              <w:spacing w:line="276" w:lineRule="auto"/>
              <w:jc w:val="both"/>
              <w:rPr>
                <w:color w:val="auto"/>
              </w:rPr>
            </w:pPr>
            <w:r>
              <w:rPr>
                <w:color w:val="auto"/>
              </w:rPr>
              <w:t>2022</w:t>
            </w:r>
          </w:p>
        </w:tc>
        <w:tc>
          <w:tcPr>
            <w:tcW w:w="1020" w:type="dxa"/>
            <w:shd w:val="clear" w:color="auto" w:fill="EDEDED" w:themeFill="accent3" w:themeFillTint="33"/>
            <w:noWrap/>
          </w:tcPr>
          <w:p w14:paraId="0344769F"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906" w:type="dxa"/>
            <w:shd w:val="clear" w:color="auto" w:fill="EDEDED" w:themeFill="accent3" w:themeFillTint="33"/>
            <w:noWrap/>
          </w:tcPr>
          <w:p w14:paraId="74876F5A"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bl>
    <w:p w14:paraId="2A860103" w14:textId="77777777" w:rsidR="00870EC9" w:rsidRDefault="00870EC9" w:rsidP="002035DB">
      <w:pPr>
        <w:pStyle w:val="NormalWeb"/>
        <w:spacing w:before="0" w:beforeAutospacing="0" w:after="0" w:afterAutospacing="0" w:line="276" w:lineRule="auto"/>
        <w:jc w:val="both"/>
        <w:textAlignment w:val="baseline"/>
        <w:sectPr w:rsidR="00870EC9" w:rsidSect="00146B15">
          <w:type w:val="continuous"/>
          <w:pgSz w:w="11906" w:h="16838"/>
          <w:pgMar w:top="1440" w:right="1440" w:bottom="1440" w:left="1440" w:header="709" w:footer="709" w:gutter="0"/>
          <w:cols w:num="3" w:space="709"/>
          <w:docGrid w:linePitch="360"/>
        </w:sectPr>
      </w:pPr>
    </w:p>
    <w:p w14:paraId="20980311" w14:textId="10255F22" w:rsidR="00D906F0" w:rsidRPr="00D906F0" w:rsidRDefault="00D906F0" w:rsidP="002035DB">
      <w:pPr>
        <w:pStyle w:val="NormalWeb"/>
        <w:spacing w:before="0" w:beforeAutospacing="0" w:after="0" w:afterAutospacing="0" w:line="276" w:lineRule="auto"/>
        <w:jc w:val="both"/>
        <w:textAlignment w:val="baseline"/>
        <w:rPr>
          <w:i/>
          <w:iCs/>
          <w:color w:val="C45911" w:themeColor="accent2" w:themeShade="BF"/>
        </w:rPr>
        <w:sectPr w:rsidR="00D906F0" w:rsidRPr="00D906F0" w:rsidSect="00146B15">
          <w:type w:val="continuous"/>
          <w:pgSz w:w="11906" w:h="16838"/>
          <w:pgMar w:top="1440" w:right="1440" w:bottom="1440" w:left="1440" w:header="709" w:footer="709" w:gutter="0"/>
          <w:cols w:space="709"/>
          <w:docGrid w:linePitch="360"/>
        </w:sectPr>
      </w:pPr>
      <w:r>
        <w:rPr>
          <w:i/>
          <w:iCs/>
          <w:color w:val="C45911" w:themeColor="accent2" w:themeShade="BF"/>
        </w:rPr>
        <w:t>Table 2.</w:t>
      </w:r>
    </w:p>
    <w:p w14:paraId="71E1A176" w14:textId="5E6F4090" w:rsidR="00870EC9" w:rsidRDefault="00E01DF4" w:rsidP="002035DB">
      <w:pPr>
        <w:pStyle w:val="NormalWeb"/>
        <w:spacing w:before="0" w:beforeAutospacing="0" w:after="0" w:afterAutospacing="0" w:line="276" w:lineRule="auto"/>
        <w:jc w:val="both"/>
        <w:textAlignment w:val="baseline"/>
        <w:rPr>
          <w:lang w:val="vi-VN"/>
        </w:rPr>
      </w:pPr>
      <w:r>
        <w:t>In 2015, Vietnam was assessed by many foreign organizations and investors as having a business and investment environment that continued to improve and stabilize, creating solid confidence for investors. Evidence of this, the Vietnam</w:t>
      </w:r>
      <w:r>
        <w:rPr>
          <w:lang w:val="vi-VN"/>
        </w:rPr>
        <w:t xml:space="preserve">’s </w:t>
      </w:r>
      <w:r>
        <w:t>FDI sector has been</w:t>
      </w:r>
      <w:r>
        <w:rPr>
          <w:lang w:val="vi-VN"/>
        </w:rPr>
        <w:t xml:space="preserve"> recorded </w:t>
      </w:r>
      <w:r>
        <w:t>at an average of about 2</w:t>
      </w:r>
      <w:r>
        <w:rPr>
          <w:lang w:val="vi-VN"/>
        </w:rPr>
        <w:t>2</w:t>
      </w:r>
      <w:r>
        <w:t>%</w:t>
      </w:r>
      <w:r w:rsidR="00D906F0">
        <w:t xml:space="preserve"> (*)</w:t>
      </w:r>
      <w:r>
        <w:t xml:space="preserve"> of total</w:t>
      </w:r>
      <w:r>
        <w:rPr>
          <w:lang w:val="vi-VN"/>
        </w:rPr>
        <w:t xml:space="preserve"> ASEAN’s GDP sources </w:t>
      </w:r>
      <w:r>
        <w:t xml:space="preserve">in the </w:t>
      </w:r>
      <w:r>
        <w:rPr>
          <w:lang w:val="vi-VN"/>
        </w:rPr>
        <w:t xml:space="preserve">6 </w:t>
      </w:r>
      <w:r>
        <w:t>years 2011 – 201</w:t>
      </w:r>
      <w:r>
        <w:rPr>
          <w:lang w:val="vi-VN"/>
        </w:rPr>
        <w:t>6.</w:t>
      </w:r>
    </w:p>
    <w:p w14:paraId="7886B85E" w14:textId="77777777" w:rsidR="003A140E" w:rsidRDefault="003A140E" w:rsidP="002035DB">
      <w:pPr>
        <w:pStyle w:val="NormalWeb"/>
        <w:spacing w:before="0" w:beforeAutospacing="0" w:after="0" w:afterAutospacing="0" w:line="276" w:lineRule="auto"/>
        <w:jc w:val="both"/>
        <w:textAlignment w:val="baseline"/>
        <w:rPr>
          <w:lang w:val="vi-VN"/>
        </w:rPr>
      </w:pPr>
    </w:p>
    <w:p w14:paraId="77FC0FBE" w14:textId="77777777" w:rsidR="00870EC9" w:rsidRDefault="00E01DF4" w:rsidP="002035DB">
      <w:pPr>
        <w:pStyle w:val="NormalWeb"/>
        <w:spacing w:before="0" w:beforeAutospacing="0" w:after="0" w:afterAutospacing="0" w:line="276" w:lineRule="auto"/>
        <w:jc w:val="center"/>
        <w:textAlignment w:val="baseline"/>
        <w:rPr>
          <w:lang w:val="vi-VN"/>
        </w:rPr>
      </w:pPr>
      <w:r>
        <w:rPr>
          <w:lang w:val="vi-VN"/>
        </w:rPr>
        <w:t xml:space="preserve">Calculation: </w:t>
      </w:r>
      <m:oMath>
        <m:r>
          <w:rPr>
            <w:rFonts w:ascii="Cambria Math" w:hAnsi="Cambria Math"/>
            <w:lang w:val="vi-VN"/>
          </w:rPr>
          <m:t>X</m:t>
        </m:r>
        <m:r>
          <w:rPr>
            <w:rFonts w:ascii="Cambria Math" w:hAnsi="Cambria Math"/>
            <w:lang w:val="vi-VN"/>
          </w:rPr>
          <m:t>=</m:t>
        </m:r>
        <m:f>
          <m:fPr>
            <m:ctrlPr>
              <w:rPr>
                <w:rFonts w:ascii="Cambria Math" w:hAnsi="Cambria Math"/>
                <w:i/>
                <w:lang w:val="vi-VN"/>
              </w:rPr>
            </m:ctrlPr>
          </m:fPr>
          <m:num>
            <m:r>
              <w:rPr>
                <w:rFonts w:ascii="Cambria Math" w:hAnsi="Cambria Math"/>
                <w:lang w:val="vi-VN"/>
              </w:rPr>
              <m:t>26,521</m:t>
            </m:r>
          </m:num>
          <m:den>
            <m:r>
              <w:rPr>
                <w:rFonts w:ascii="Cambria Math" w:hAnsi="Cambria Math"/>
                <w:lang w:val="vi-VN"/>
              </w:rPr>
              <m:t>118,400</m:t>
            </m:r>
          </m:den>
        </m:f>
      </m:oMath>
      <w:r>
        <w:rPr>
          <w:lang w:val="vi-VN"/>
        </w:rPr>
        <w:t xml:space="preserve"> </w:t>
      </w:r>
      <w:r>
        <w:rPr>
          <w:lang w:val="vi-VN"/>
        </w:rPr>
        <w:sym w:font="Symbol" w:char="F040"/>
      </w:r>
      <w:r>
        <w:rPr>
          <w:lang w:val="vi-VN"/>
        </w:rPr>
        <w:t xml:space="preserve"> 22%  (</w:t>
      </w:r>
      <w:r>
        <w:rPr>
          <w:i/>
          <w:iCs/>
          <w:lang w:val="vi-VN"/>
        </w:rPr>
        <w:t>Table 2.0</w:t>
      </w:r>
      <w:r>
        <w:rPr>
          <w:lang w:val="vi-VN"/>
        </w:rPr>
        <w:t>)</w:t>
      </w:r>
    </w:p>
    <w:p w14:paraId="4DEE837C" w14:textId="70B4F497" w:rsidR="00D906F0" w:rsidRDefault="00E01DF4" w:rsidP="002035DB">
      <w:pPr>
        <w:pStyle w:val="NormalWeb"/>
        <w:spacing w:before="0" w:beforeAutospacing="0" w:after="0" w:afterAutospacing="0" w:line="276" w:lineRule="auto"/>
        <w:jc w:val="both"/>
        <w:textAlignment w:val="baseline"/>
      </w:pPr>
      <w:r>
        <w:t>This has contributed positively to economic integration, promoting innovation in administrative procedures. reform and perfect market economic institutions, improve the level of human resources for corporate governance in Vietnam…</w:t>
      </w:r>
    </w:p>
    <w:tbl>
      <w:tblPr>
        <w:tblStyle w:val="TableGrid"/>
        <w:tblW w:w="0" w:type="auto"/>
        <w:tblLook w:val="04A0" w:firstRow="1" w:lastRow="0" w:firstColumn="1" w:lastColumn="0" w:noHBand="0" w:noVBand="1"/>
      </w:tblPr>
      <w:tblGrid>
        <w:gridCol w:w="1297"/>
        <w:gridCol w:w="1027"/>
        <w:gridCol w:w="1082"/>
        <w:gridCol w:w="1095"/>
        <w:gridCol w:w="1082"/>
        <w:gridCol w:w="1133"/>
        <w:gridCol w:w="1195"/>
        <w:gridCol w:w="1021"/>
      </w:tblGrid>
      <w:tr w:rsidR="00870EC9" w14:paraId="0B56FEA5" w14:textId="77777777">
        <w:trPr>
          <w:trHeight w:val="361"/>
        </w:trPr>
        <w:tc>
          <w:tcPr>
            <w:tcW w:w="1253" w:type="dxa"/>
            <w:noWrap/>
            <w:vAlign w:val="bottom"/>
          </w:tcPr>
          <w:p w14:paraId="6AF90511" w14:textId="77777777" w:rsidR="00870EC9" w:rsidRDefault="00E01DF4" w:rsidP="002035DB">
            <w:pPr>
              <w:pStyle w:val="NormalWeb"/>
              <w:spacing w:line="276" w:lineRule="auto"/>
              <w:jc w:val="both"/>
              <w:textAlignment w:val="baseline"/>
              <w:rPr>
                <w:b/>
                <w:bCs/>
              </w:rPr>
            </w:pPr>
            <w:r>
              <w:rPr>
                <w:b/>
                <w:bCs/>
              </w:rPr>
              <w:t xml:space="preserve">Country </w:t>
            </w:r>
          </w:p>
        </w:tc>
        <w:tc>
          <w:tcPr>
            <w:tcW w:w="1027" w:type="dxa"/>
            <w:noWrap/>
            <w:vAlign w:val="bottom"/>
          </w:tcPr>
          <w:p w14:paraId="6E444001" w14:textId="77777777" w:rsidR="00870EC9" w:rsidRDefault="00E01DF4" w:rsidP="002035DB">
            <w:pPr>
              <w:pStyle w:val="NormalWeb"/>
              <w:spacing w:line="276" w:lineRule="auto"/>
              <w:jc w:val="both"/>
              <w:textAlignment w:val="baseline"/>
              <w:rPr>
                <w:b/>
                <w:bCs/>
              </w:rPr>
            </w:pPr>
            <w:r>
              <w:rPr>
                <w:b/>
                <w:bCs/>
              </w:rPr>
              <w:t>2011</w:t>
            </w:r>
          </w:p>
        </w:tc>
        <w:tc>
          <w:tcPr>
            <w:tcW w:w="1082" w:type="dxa"/>
            <w:noWrap/>
            <w:vAlign w:val="bottom"/>
          </w:tcPr>
          <w:p w14:paraId="4B5856AE" w14:textId="77777777" w:rsidR="00870EC9" w:rsidRDefault="00E01DF4" w:rsidP="002035DB">
            <w:pPr>
              <w:pStyle w:val="NormalWeb"/>
              <w:spacing w:line="276" w:lineRule="auto"/>
              <w:jc w:val="both"/>
              <w:textAlignment w:val="baseline"/>
              <w:rPr>
                <w:b/>
                <w:bCs/>
              </w:rPr>
            </w:pPr>
            <w:r>
              <w:rPr>
                <w:b/>
                <w:bCs/>
              </w:rPr>
              <w:t>2012</w:t>
            </w:r>
          </w:p>
        </w:tc>
        <w:tc>
          <w:tcPr>
            <w:tcW w:w="1095" w:type="dxa"/>
            <w:noWrap/>
            <w:vAlign w:val="bottom"/>
          </w:tcPr>
          <w:p w14:paraId="170235D8" w14:textId="77777777" w:rsidR="00870EC9" w:rsidRDefault="00E01DF4" w:rsidP="002035DB">
            <w:pPr>
              <w:pStyle w:val="NormalWeb"/>
              <w:spacing w:line="276" w:lineRule="auto"/>
              <w:jc w:val="both"/>
              <w:textAlignment w:val="baseline"/>
              <w:rPr>
                <w:b/>
                <w:bCs/>
              </w:rPr>
            </w:pPr>
            <w:r>
              <w:rPr>
                <w:b/>
                <w:bCs/>
              </w:rPr>
              <w:t>2013</w:t>
            </w:r>
          </w:p>
        </w:tc>
        <w:tc>
          <w:tcPr>
            <w:tcW w:w="1082" w:type="dxa"/>
            <w:noWrap/>
            <w:vAlign w:val="bottom"/>
          </w:tcPr>
          <w:p w14:paraId="4AD850C5" w14:textId="77777777" w:rsidR="00870EC9" w:rsidRDefault="00E01DF4" w:rsidP="002035DB">
            <w:pPr>
              <w:pStyle w:val="NormalWeb"/>
              <w:spacing w:line="276" w:lineRule="auto"/>
              <w:jc w:val="both"/>
              <w:textAlignment w:val="baseline"/>
              <w:rPr>
                <w:b/>
                <w:bCs/>
              </w:rPr>
            </w:pPr>
            <w:r>
              <w:rPr>
                <w:b/>
                <w:bCs/>
              </w:rPr>
              <w:t>2014</w:t>
            </w:r>
          </w:p>
        </w:tc>
        <w:tc>
          <w:tcPr>
            <w:tcW w:w="1133" w:type="dxa"/>
            <w:noWrap/>
            <w:vAlign w:val="bottom"/>
          </w:tcPr>
          <w:p w14:paraId="679F8356" w14:textId="77777777" w:rsidR="00870EC9" w:rsidRDefault="00E01DF4" w:rsidP="002035DB">
            <w:pPr>
              <w:pStyle w:val="NormalWeb"/>
              <w:spacing w:line="276" w:lineRule="auto"/>
              <w:jc w:val="both"/>
              <w:textAlignment w:val="baseline"/>
              <w:rPr>
                <w:b/>
                <w:bCs/>
              </w:rPr>
            </w:pPr>
            <w:r>
              <w:rPr>
                <w:b/>
                <w:bCs/>
              </w:rPr>
              <w:t>2015</w:t>
            </w:r>
          </w:p>
        </w:tc>
        <w:tc>
          <w:tcPr>
            <w:tcW w:w="1195" w:type="dxa"/>
            <w:noWrap/>
            <w:vAlign w:val="bottom"/>
          </w:tcPr>
          <w:p w14:paraId="6D7E580D" w14:textId="77777777" w:rsidR="00870EC9" w:rsidRDefault="00E01DF4" w:rsidP="002035DB">
            <w:pPr>
              <w:pStyle w:val="NormalWeb"/>
              <w:spacing w:line="276" w:lineRule="auto"/>
              <w:jc w:val="both"/>
              <w:textAlignment w:val="baseline"/>
              <w:rPr>
                <w:b/>
                <w:bCs/>
              </w:rPr>
            </w:pPr>
            <w:r>
              <w:rPr>
                <w:b/>
                <w:bCs/>
              </w:rPr>
              <w:t>2016</w:t>
            </w:r>
          </w:p>
        </w:tc>
        <w:tc>
          <w:tcPr>
            <w:tcW w:w="1021" w:type="dxa"/>
            <w:noWrap/>
            <w:vAlign w:val="bottom"/>
          </w:tcPr>
          <w:p w14:paraId="2304D473" w14:textId="77777777" w:rsidR="00870EC9" w:rsidRDefault="00E01DF4" w:rsidP="002035DB">
            <w:pPr>
              <w:pStyle w:val="NormalWeb"/>
              <w:spacing w:line="276" w:lineRule="auto"/>
              <w:jc w:val="both"/>
              <w:textAlignment w:val="baseline"/>
              <w:rPr>
                <w:b/>
                <w:bCs/>
              </w:rPr>
            </w:pPr>
            <w:r>
              <w:rPr>
                <w:b/>
                <w:bCs/>
              </w:rPr>
              <w:t>Total</w:t>
            </w:r>
          </w:p>
        </w:tc>
      </w:tr>
      <w:tr w:rsidR="00870EC9" w14:paraId="09FB4340" w14:textId="77777777">
        <w:trPr>
          <w:trHeight w:val="339"/>
        </w:trPr>
        <w:tc>
          <w:tcPr>
            <w:tcW w:w="1253" w:type="dxa"/>
            <w:noWrap/>
          </w:tcPr>
          <w:p w14:paraId="2373C2A1" w14:textId="77777777" w:rsidR="00870EC9" w:rsidRDefault="00E01DF4" w:rsidP="002035DB">
            <w:pPr>
              <w:pStyle w:val="NormalWeb"/>
              <w:spacing w:line="276" w:lineRule="auto"/>
              <w:jc w:val="both"/>
              <w:textAlignment w:val="baseline"/>
            </w:pPr>
            <w:r>
              <w:t>Indonesia</w:t>
            </w:r>
          </w:p>
        </w:tc>
        <w:tc>
          <w:tcPr>
            <w:tcW w:w="1027" w:type="dxa"/>
            <w:noWrap/>
          </w:tcPr>
          <w:p w14:paraId="2AFE674B" w14:textId="77777777" w:rsidR="00870EC9" w:rsidRDefault="00E01DF4" w:rsidP="002035DB">
            <w:pPr>
              <w:pStyle w:val="NormalWeb"/>
              <w:spacing w:line="276" w:lineRule="auto"/>
              <w:jc w:val="both"/>
              <w:textAlignment w:val="baseline"/>
            </w:pPr>
            <w:r>
              <w:t>2,303</w:t>
            </w:r>
          </w:p>
        </w:tc>
        <w:tc>
          <w:tcPr>
            <w:tcW w:w="1082" w:type="dxa"/>
            <w:noWrap/>
          </w:tcPr>
          <w:p w14:paraId="7CCD62B0" w14:textId="77777777" w:rsidR="00870EC9" w:rsidRDefault="00E01DF4" w:rsidP="002035DB">
            <w:pPr>
              <w:pStyle w:val="NormalWeb"/>
              <w:spacing w:line="276" w:lineRule="auto"/>
              <w:jc w:val="both"/>
              <w:textAlignment w:val="baseline"/>
            </w:pPr>
            <w:r>
              <w:t>2,310</w:t>
            </w:r>
          </w:p>
        </w:tc>
        <w:tc>
          <w:tcPr>
            <w:tcW w:w="1095" w:type="dxa"/>
            <w:noWrap/>
          </w:tcPr>
          <w:p w14:paraId="6E4FEDD9" w14:textId="77777777" w:rsidR="00870EC9" w:rsidRDefault="00E01DF4" w:rsidP="002035DB">
            <w:pPr>
              <w:pStyle w:val="NormalWeb"/>
              <w:spacing w:line="276" w:lineRule="auto"/>
              <w:jc w:val="both"/>
              <w:textAlignment w:val="baseline"/>
            </w:pPr>
            <w:r>
              <w:t>2,551</w:t>
            </w:r>
          </w:p>
        </w:tc>
        <w:tc>
          <w:tcPr>
            <w:tcW w:w="1082" w:type="dxa"/>
            <w:noWrap/>
          </w:tcPr>
          <w:p w14:paraId="0B649E0A" w14:textId="77777777" w:rsidR="00870EC9" w:rsidRDefault="00E01DF4" w:rsidP="002035DB">
            <w:pPr>
              <w:pStyle w:val="NormalWeb"/>
              <w:spacing w:line="276" w:lineRule="auto"/>
              <w:jc w:val="both"/>
              <w:textAlignment w:val="baseline"/>
            </w:pPr>
            <w:r>
              <w:t>2,820</w:t>
            </w:r>
          </w:p>
        </w:tc>
        <w:tc>
          <w:tcPr>
            <w:tcW w:w="1133" w:type="dxa"/>
            <w:noWrap/>
          </w:tcPr>
          <w:p w14:paraId="2E0F9105" w14:textId="77777777" w:rsidR="00870EC9" w:rsidRDefault="00E01DF4" w:rsidP="002035DB">
            <w:pPr>
              <w:pStyle w:val="NormalWeb"/>
              <w:spacing w:line="276" w:lineRule="auto"/>
              <w:jc w:val="both"/>
              <w:textAlignment w:val="baseline"/>
            </w:pPr>
            <w:r>
              <w:t>2,298</w:t>
            </w:r>
          </w:p>
        </w:tc>
        <w:tc>
          <w:tcPr>
            <w:tcW w:w="1195" w:type="dxa"/>
            <w:noWrap/>
          </w:tcPr>
          <w:p w14:paraId="263B26D0" w14:textId="77777777" w:rsidR="00870EC9" w:rsidRDefault="00E01DF4" w:rsidP="002035DB">
            <w:pPr>
              <w:pStyle w:val="NormalWeb"/>
              <w:spacing w:line="276" w:lineRule="auto"/>
              <w:jc w:val="both"/>
              <w:textAlignment w:val="baseline"/>
            </w:pPr>
            <w:r>
              <w:t>0,487</w:t>
            </w:r>
          </w:p>
        </w:tc>
        <w:tc>
          <w:tcPr>
            <w:tcW w:w="1021" w:type="dxa"/>
            <w:noWrap/>
          </w:tcPr>
          <w:p w14:paraId="464CC3AB" w14:textId="77777777" w:rsidR="00870EC9" w:rsidRDefault="00E01DF4" w:rsidP="002035DB">
            <w:pPr>
              <w:pStyle w:val="NormalWeb"/>
              <w:spacing w:line="276" w:lineRule="auto"/>
              <w:jc w:val="both"/>
              <w:textAlignment w:val="baseline"/>
              <w:rPr>
                <w:b/>
                <w:bCs/>
              </w:rPr>
            </w:pPr>
            <w:r>
              <w:rPr>
                <w:b/>
                <w:bCs/>
              </w:rPr>
              <w:t>12,769</w:t>
            </w:r>
          </w:p>
        </w:tc>
      </w:tr>
      <w:tr w:rsidR="00870EC9" w14:paraId="1CDCA1BE" w14:textId="77777777">
        <w:trPr>
          <w:trHeight w:val="339"/>
        </w:trPr>
        <w:tc>
          <w:tcPr>
            <w:tcW w:w="1253" w:type="dxa"/>
            <w:noWrap/>
          </w:tcPr>
          <w:p w14:paraId="074FB6B6" w14:textId="77777777" w:rsidR="00870EC9" w:rsidRDefault="00E01DF4" w:rsidP="002035DB">
            <w:pPr>
              <w:pStyle w:val="NormalWeb"/>
              <w:spacing w:line="276" w:lineRule="auto"/>
              <w:jc w:val="both"/>
              <w:textAlignment w:val="baseline"/>
            </w:pPr>
            <w:r>
              <w:t xml:space="preserve">Lao </w:t>
            </w:r>
            <w:r>
              <w:t>PDR</w:t>
            </w:r>
          </w:p>
        </w:tc>
        <w:tc>
          <w:tcPr>
            <w:tcW w:w="1027" w:type="dxa"/>
            <w:noWrap/>
          </w:tcPr>
          <w:p w14:paraId="18210A09" w14:textId="77777777" w:rsidR="00870EC9" w:rsidRDefault="00E01DF4" w:rsidP="002035DB">
            <w:pPr>
              <w:pStyle w:val="NormalWeb"/>
              <w:spacing w:line="276" w:lineRule="auto"/>
              <w:jc w:val="both"/>
              <w:textAlignment w:val="baseline"/>
            </w:pPr>
            <w:r>
              <w:t>3,437</w:t>
            </w:r>
          </w:p>
        </w:tc>
        <w:tc>
          <w:tcPr>
            <w:tcW w:w="1082" w:type="dxa"/>
            <w:noWrap/>
          </w:tcPr>
          <w:p w14:paraId="468AAB4C" w14:textId="77777777" w:rsidR="00870EC9" w:rsidRDefault="00E01DF4" w:rsidP="002035DB">
            <w:pPr>
              <w:pStyle w:val="NormalWeb"/>
              <w:spacing w:line="276" w:lineRule="auto"/>
              <w:jc w:val="both"/>
              <w:textAlignment w:val="baseline"/>
            </w:pPr>
            <w:r>
              <w:t>6,061</w:t>
            </w:r>
          </w:p>
        </w:tc>
        <w:tc>
          <w:tcPr>
            <w:tcW w:w="1095" w:type="dxa"/>
            <w:noWrap/>
          </w:tcPr>
          <w:p w14:paraId="50DA6D02" w14:textId="77777777" w:rsidR="00870EC9" w:rsidRDefault="00E01DF4" w:rsidP="002035DB">
            <w:pPr>
              <w:pStyle w:val="NormalWeb"/>
              <w:spacing w:line="276" w:lineRule="auto"/>
              <w:jc w:val="both"/>
              <w:textAlignment w:val="baseline"/>
            </w:pPr>
            <w:r>
              <w:t>5,686</w:t>
            </w:r>
          </w:p>
        </w:tc>
        <w:tc>
          <w:tcPr>
            <w:tcW w:w="1082" w:type="dxa"/>
            <w:noWrap/>
          </w:tcPr>
          <w:p w14:paraId="6694BCDE" w14:textId="77777777" w:rsidR="00870EC9" w:rsidRDefault="00E01DF4" w:rsidP="002035DB">
            <w:pPr>
              <w:pStyle w:val="NormalWeb"/>
              <w:spacing w:line="276" w:lineRule="auto"/>
              <w:jc w:val="both"/>
              <w:textAlignment w:val="baseline"/>
            </w:pPr>
            <w:r>
              <w:t>6,534</w:t>
            </w:r>
          </w:p>
        </w:tc>
        <w:tc>
          <w:tcPr>
            <w:tcW w:w="1133" w:type="dxa"/>
            <w:noWrap/>
          </w:tcPr>
          <w:p w14:paraId="731E7400" w14:textId="77777777" w:rsidR="00870EC9" w:rsidRDefault="00E01DF4" w:rsidP="002035DB">
            <w:pPr>
              <w:pStyle w:val="NormalWeb"/>
              <w:spacing w:line="276" w:lineRule="auto"/>
              <w:jc w:val="both"/>
              <w:textAlignment w:val="baseline"/>
            </w:pPr>
            <w:r>
              <w:t>7,471</w:t>
            </w:r>
          </w:p>
        </w:tc>
        <w:tc>
          <w:tcPr>
            <w:tcW w:w="1195" w:type="dxa"/>
            <w:noWrap/>
          </w:tcPr>
          <w:p w14:paraId="72551EA8" w14:textId="77777777" w:rsidR="00870EC9" w:rsidRDefault="00E01DF4" w:rsidP="002035DB">
            <w:pPr>
              <w:pStyle w:val="NormalWeb"/>
              <w:spacing w:line="276" w:lineRule="auto"/>
              <w:jc w:val="both"/>
              <w:textAlignment w:val="baseline"/>
            </w:pPr>
            <w:r>
              <w:t>5,878</w:t>
            </w:r>
          </w:p>
        </w:tc>
        <w:tc>
          <w:tcPr>
            <w:tcW w:w="1021" w:type="dxa"/>
            <w:noWrap/>
          </w:tcPr>
          <w:p w14:paraId="4685FA35" w14:textId="77777777" w:rsidR="00870EC9" w:rsidRDefault="00E01DF4" w:rsidP="002035DB">
            <w:pPr>
              <w:pStyle w:val="NormalWeb"/>
              <w:spacing w:line="276" w:lineRule="auto"/>
              <w:jc w:val="both"/>
              <w:textAlignment w:val="baseline"/>
              <w:rPr>
                <w:b/>
                <w:bCs/>
              </w:rPr>
            </w:pPr>
            <w:r>
              <w:rPr>
                <w:b/>
                <w:bCs/>
              </w:rPr>
              <w:t>35,066</w:t>
            </w:r>
          </w:p>
        </w:tc>
      </w:tr>
      <w:tr w:rsidR="00870EC9" w14:paraId="5E6BF755" w14:textId="77777777">
        <w:trPr>
          <w:trHeight w:val="339"/>
        </w:trPr>
        <w:tc>
          <w:tcPr>
            <w:tcW w:w="1253" w:type="dxa"/>
            <w:noWrap/>
          </w:tcPr>
          <w:p w14:paraId="5735AB5F" w14:textId="77777777" w:rsidR="00870EC9" w:rsidRDefault="00E01DF4" w:rsidP="002035DB">
            <w:pPr>
              <w:pStyle w:val="NormalWeb"/>
              <w:spacing w:line="276" w:lineRule="auto"/>
              <w:jc w:val="both"/>
              <w:textAlignment w:val="baseline"/>
            </w:pPr>
            <w:r>
              <w:t>Malaysia</w:t>
            </w:r>
          </w:p>
        </w:tc>
        <w:tc>
          <w:tcPr>
            <w:tcW w:w="1027" w:type="dxa"/>
            <w:noWrap/>
          </w:tcPr>
          <w:p w14:paraId="40FC41F0" w14:textId="77777777" w:rsidR="00870EC9" w:rsidRDefault="00E01DF4" w:rsidP="002035DB">
            <w:pPr>
              <w:pStyle w:val="NormalWeb"/>
              <w:spacing w:line="276" w:lineRule="auto"/>
              <w:jc w:val="both"/>
              <w:textAlignment w:val="baseline"/>
            </w:pPr>
            <w:r>
              <w:t>5,074</w:t>
            </w:r>
          </w:p>
        </w:tc>
        <w:tc>
          <w:tcPr>
            <w:tcW w:w="1082" w:type="dxa"/>
            <w:noWrap/>
          </w:tcPr>
          <w:p w14:paraId="287A79A4" w14:textId="77777777" w:rsidR="00870EC9" w:rsidRDefault="00E01DF4" w:rsidP="002035DB">
            <w:pPr>
              <w:pStyle w:val="NormalWeb"/>
              <w:spacing w:line="276" w:lineRule="auto"/>
              <w:jc w:val="both"/>
              <w:textAlignment w:val="baseline"/>
            </w:pPr>
            <w:r>
              <w:t>2,829</w:t>
            </w:r>
          </w:p>
        </w:tc>
        <w:tc>
          <w:tcPr>
            <w:tcW w:w="1095" w:type="dxa"/>
            <w:noWrap/>
          </w:tcPr>
          <w:p w14:paraId="7D99602A" w14:textId="77777777" w:rsidR="00870EC9" w:rsidRDefault="00E01DF4" w:rsidP="002035DB">
            <w:pPr>
              <w:pStyle w:val="NormalWeb"/>
              <w:spacing w:line="276" w:lineRule="auto"/>
              <w:jc w:val="both"/>
              <w:textAlignment w:val="baseline"/>
            </w:pPr>
            <w:r>
              <w:t>3,494</w:t>
            </w:r>
          </w:p>
        </w:tc>
        <w:tc>
          <w:tcPr>
            <w:tcW w:w="1082" w:type="dxa"/>
            <w:noWrap/>
          </w:tcPr>
          <w:p w14:paraId="000B386D" w14:textId="77777777" w:rsidR="00870EC9" w:rsidRDefault="00E01DF4" w:rsidP="002035DB">
            <w:pPr>
              <w:pStyle w:val="NormalWeb"/>
              <w:spacing w:line="276" w:lineRule="auto"/>
              <w:jc w:val="both"/>
              <w:textAlignment w:val="baseline"/>
            </w:pPr>
            <w:r>
              <w:t>3,141</w:t>
            </w:r>
          </w:p>
        </w:tc>
        <w:tc>
          <w:tcPr>
            <w:tcW w:w="1133" w:type="dxa"/>
            <w:noWrap/>
          </w:tcPr>
          <w:p w14:paraId="4980692A" w14:textId="77777777" w:rsidR="00870EC9" w:rsidRDefault="00E01DF4" w:rsidP="002035DB">
            <w:pPr>
              <w:pStyle w:val="NormalWeb"/>
              <w:spacing w:line="276" w:lineRule="auto"/>
              <w:jc w:val="both"/>
              <w:textAlignment w:val="baseline"/>
            </w:pPr>
            <w:r>
              <w:t>3,271</w:t>
            </w:r>
          </w:p>
        </w:tc>
        <w:tc>
          <w:tcPr>
            <w:tcW w:w="1195" w:type="dxa"/>
            <w:noWrap/>
          </w:tcPr>
          <w:p w14:paraId="5E4F599B" w14:textId="77777777" w:rsidR="00870EC9" w:rsidRDefault="00E01DF4" w:rsidP="002035DB">
            <w:pPr>
              <w:pStyle w:val="NormalWeb"/>
              <w:spacing w:line="276" w:lineRule="auto"/>
              <w:jc w:val="both"/>
              <w:textAlignment w:val="baseline"/>
            </w:pPr>
            <w:r>
              <w:t>4,471</w:t>
            </w:r>
          </w:p>
        </w:tc>
        <w:tc>
          <w:tcPr>
            <w:tcW w:w="1021" w:type="dxa"/>
            <w:noWrap/>
          </w:tcPr>
          <w:p w14:paraId="252D859F" w14:textId="77777777" w:rsidR="00870EC9" w:rsidRDefault="00E01DF4" w:rsidP="002035DB">
            <w:pPr>
              <w:pStyle w:val="NormalWeb"/>
              <w:spacing w:line="276" w:lineRule="auto"/>
              <w:jc w:val="both"/>
              <w:textAlignment w:val="baseline"/>
              <w:rPr>
                <w:b/>
                <w:bCs/>
              </w:rPr>
            </w:pPr>
            <w:r>
              <w:rPr>
                <w:b/>
                <w:bCs/>
              </w:rPr>
              <w:t>22,281</w:t>
            </w:r>
          </w:p>
        </w:tc>
      </w:tr>
      <w:tr w:rsidR="00870EC9" w14:paraId="7FDD7BB3" w14:textId="77777777">
        <w:trPr>
          <w:trHeight w:val="339"/>
        </w:trPr>
        <w:tc>
          <w:tcPr>
            <w:tcW w:w="1253" w:type="dxa"/>
            <w:noWrap/>
          </w:tcPr>
          <w:p w14:paraId="6EFC5829" w14:textId="77777777" w:rsidR="00870EC9" w:rsidRDefault="00E01DF4" w:rsidP="002035DB">
            <w:pPr>
              <w:pStyle w:val="NormalWeb"/>
              <w:spacing w:line="276" w:lineRule="auto"/>
              <w:jc w:val="both"/>
              <w:textAlignment w:val="baseline"/>
            </w:pPr>
            <w:r>
              <w:t>Philippines</w:t>
            </w:r>
          </w:p>
        </w:tc>
        <w:tc>
          <w:tcPr>
            <w:tcW w:w="1027" w:type="dxa"/>
            <w:noWrap/>
          </w:tcPr>
          <w:p w14:paraId="61CF0664" w14:textId="77777777" w:rsidR="00870EC9" w:rsidRDefault="00E01DF4" w:rsidP="002035DB">
            <w:pPr>
              <w:pStyle w:val="NormalWeb"/>
              <w:spacing w:line="276" w:lineRule="auto"/>
              <w:jc w:val="both"/>
              <w:textAlignment w:val="baseline"/>
            </w:pPr>
            <w:r>
              <w:t>0,857</w:t>
            </w:r>
          </w:p>
        </w:tc>
        <w:tc>
          <w:tcPr>
            <w:tcW w:w="1082" w:type="dxa"/>
            <w:noWrap/>
          </w:tcPr>
          <w:p w14:paraId="5E3520F0" w14:textId="77777777" w:rsidR="00870EC9" w:rsidRDefault="00E01DF4" w:rsidP="002035DB">
            <w:pPr>
              <w:pStyle w:val="NormalWeb"/>
              <w:spacing w:line="276" w:lineRule="auto"/>
              <w:jc w:val="both"/>
              <w:textAlignment w:val="baseline"/>
            </w:pPr>
            <w:r>
              <w:t>1,228</w:t>
            </w:r>
          </w:p>
        </w:tc>
        <w:tc>
          <w:tcPr>
            <w:tcW w:w="1095" w:type="dxa"/>
            <w:noWrap/>
          </w:tcPr>
          <w:p w14:paraId="373D85A2" w14:textId="77777777" w:rsidR="00870EC9" w:rsidRDefault="00E01DF4" w:rsidP="002035DB">
            <w:pPr>
              <w:pStyle w:val="NormalWeb"/>
              <w:spacing w:line="276" w:lineRule="auto"/>
              <w:jc w:val="both"/>
              <w:textAlignment w:val="baseline"/>
            </w:pPr>
            <w:r>
              <w:t>1,316</w:t>
            </w:r>
          </w:p>
        </w:tc>
        <w:tc>
          <w:tcPr>
            <w:tcW w:w="1082" w:type="dxa"/>
            <w:noWrap/>
          </w:tcPr>
          <w:p w14:paraId="4E3C67A6" w14:textId="77777777" w:rsidR="00870EC9" w:rsidRDefault="00E01DF4" w:rsidP="002035DB">
            <w:pPr>
              <w:pStyle w:val="NormalWeb"/>
              <w:spacing w:line="276" w:lineRule="auto"/>
              <w:jc w:val="both"/>
              <w:textAlignment w:val="baseline"/>
            </w:pPr>
            <w:r>
              <w:t>1,929</w:t>
            </w:r>
          </w:p>
        </w:tc>
        <w:tc>
          <w:tcPr>
            <w:tcW w:w="1133" w:type="dxa"/>
            <w:noWrap/>
          </w:tcPr>
          <w:p w14:paraId="7E61364C" w14:textId="77777777" w:rsidR="00870EC9" w:rsidRDefault="00E01DF4" w:rsidP="002035DB">
            <w:pPr>
              <w:pStyle w:val="NormalWeb"/>
              <w:spacing w:line="276" w:lineRule="auto"/>
              <w:jc w:val="both"/>
              <w:textAlignment w:val="baseline"/>
            </w:pPr>
            <w:r>
              <w:t>1,840</w:t>
            </w:r>
          </w:p>
        </w:tc>
        <w:tc>
          <w:tcPr>
            <w:tcW w:w="1195" w:type="dxa"/>
            <w:noWrap/>
          </w:tcPr>
          <w:p w14:paraId="726D107F" w14:textId="77777777" w:rsidR="00870EC9" w:rsidRDefault="00E01DF4" w:rsidP="002035DB">
            <w:pPr>
              <w:pStyle w:val="NormalWeb"/>
              <w:spacing w:line="276" w:lineRule="auto"/>
              <w:jc w:val="both"/>
              <w:textAlignment w:val="baseline"/>
            </w:pPr>
            <w:r>
              <w:t>2,599</w:t>
            </w:r>
          </w:p>
        </w:tc>
        <w:tc>
          <w:tcPr>
            <w:tcW w:w="1021" w:type="dxa"/>
            <w:noWrap/>
          </w:tcPr>
          <w:p w14:paraId="5D1EC0F6" w14:textId="77777777" w:rsidR="00870EC9" w:rsidRDefault="00E01DF4" w:rsidP="002035DB">
            <w:pPr>
              <w:pStyle w:val="NormalWeb"/>
              <w:spacing w:line="276" w:lineRule="auto"/>
              <w:jc w:val="both"/>
              <w:textAlignment w:val="baseline"/>
              <w:rPr>
                <w:b/>
                <w:bCs/>
              </w:rPr>
            </w:pPr>
            <w:r>
              <w:rPr>
                <w:b/>
                <w:bCs/>
              </w:rPr>
              <w:t>9,769</w:t>
            </w:r>
          </w:p>
        </w:tc>
      </w:tr>
      <w:tr w:rsidR="00870EC9" w14:paraId="52A8AE3C" w14:textId="77777777">
        <w:trPr>
          <w:trHeight w:val="339"/>
        </w:trPr>
        <w:tc>
          <w:tcPr>
            <w:tcW w:w="1253" w:type="dxa"/>
            <w:noWrap/>
          </w:tcPr>
          <w:p w14:paraId="6EDF762A" w14:textId="77777777" w:rsidR="00870EC9" w:rsidRDefault="00E01DF4" w:rsidP="002035DB">
            <w:pPr>
              <w:pStyle w:val="NormalWeb"/>
              <w:spacing w:line="276" w:lineRule="auto"/>
              <w:jc w:val="both"/>
              <w:textAlignment w:val="baseline"/>
            </w:pPr>
            <w:r>
              <w:t>Thailand</w:t>
            </w:r>
          </w:p>
        </w:tc>
        <w:tc>
          <w:tcPr>
            <w:tcW w:w="1027" w:type="dxa"/>
            <w:noWrap/>
          </w:tcPr>
          <w:p w14:paraId="0DC517EE" w14:textId="77777777" w:rsidR="00870EC9" w:rsidRDefault="00E01DF4" w:rsidP="002035DB">
            <w:pPr>
              <w:pStyle w:val="NormalWeb"/>
              <w:spacing w:line="276" w:lineRule="auto"/>
              <w:jc w:val="both"/>
              <w:textAlignment w:val="baseline"/>
            </w:pPr>
            <w:r>
              <w:t>0,667</w:t>
            </w:r>
          </w:p>
        </w:tc>
        <w:tc>
          <w:tcPr>
            <w:tcW w:w="1082" w:type="dxa"/>
            <w:noWrap/>
          </w:tcPr>
          <w:p w14:paraId="5D33C3E0" w14:textId="77777777" w:rsidR="00870EC9" w:rsidRDefault="00E01DF4" w:rsidP="002035DB">
            <w:pPr>
              <w:pStyle w:val="NormalWeb"/>
              <w:spacing w:line="276" w:lineRule="auto"/>
              <w:jc w:val="both"/>
              <w:textAlignment w:val="baseline"/>
            </w:pPr>
            <w:r>
              <w:t>3,245</w:t>
            </w:r>
          </w:p>
        </w:tc>
        <w:tc>
          <w:tcPr>
            <w:tcW w:w="1095" w:type="dxa"/>
            <w:noWrap/>
          </w:tcPr>
          <w:p w14:paraId="25EE4DFB" w14:textId="77777777" w:rsidR="00870EC9" w:rsidRDefault="00E01DF4" w:rsidP="002035DB">
            <w:pPr>
              <w:pStyle w:val="NormalWeb"/>
              <w:spacing w:line="276" w:lineRule="auto"/>
              <w:jc w:val="both"/>
              <w:textAlignment w:val="baseline"/>
            </w:pPr>
            <w:r>
              <w:t>3,791</w:t>
            </w:r>
          </w:p>
        </w:tc>
        <w:tc>
          <w:tcPr>
            <w:tcW w:w="1082" w:type="dxa"/>
            <w:noWrap/>
          </w:tcPr>
          <w:p w14:paraId="42325559" w14:textId="77777777" w:rsidR="00870EC9" w:rsidRDefault="00E01DF4" w:rsidP="002035DB">
            <w:pPr>
              <w:pStyle w:val="NormalWeb"/>
              <w:spacing w:line="276" w:lineRule="auto"/>
              <w:jc w:val="both"/>
              <w:textAlignment w:val="baseline"/>
            </w:pPr>
            <w:r>
              <w:t>1,221</w:t>
            </w:r>
          </w:p>
        </w:tc>
        <w:tc>
          <w:tcPr>
            <w:tcW w:w="1133" w:type="dxa"/>
            <w:noWrap/>
          </w:tcPr>
          <w:p w14:paraId="200115E5" w14:textId="77777777" w:rsidR="00870EC9" w:rsidRDefault="00E01DF4" w:rsidP="002035DB">
            <w:pPr>
              <w:pStyle w:val="NormalWeb"/>
              <w:spacing w:line="276" w:lineRule="auto"/>
              <w:jc w:val="both"/>
              <w:textAlignment w:val="baseline"/>
            </w:pPr>
            <w:r>
              <w:t>2,225</w:t>
            </w:r>
          </w:p>
        </w:tc>
        <w:tc>
          <w:tcPr>
            <w:tcW w:w="1195" w:type="dxa"/>
            <w:noWrap/>
          </w:tcPr>
          <w:p w14:paraId="64B1AE82" w14:textId="77777777" w:rsidR="00870EC9" w:rsidRDefault="00E01DF4" w:rsidP="002035DB">
            <w:pPr>
              <w:pStyle w:val="NormalWeb"/>
              <w:spacing w:line="276" w:lineRule="auto"/>
              <w:jc w:val="both"/>
              <w:textAlignment w:val="baseline"/>
            </w:pPr>
            <w:r>
              <w:t>0,843</w:t>
            </w:r>
          </w:p>
        </w:tc>
        <w:tc>
          <w:tcPr>
            <w:tcW w:w="1021" w:type="dxa"/>
            <w:noWrap/>
          </w:tcPr>
          <w:p w14:paraId="0F809389" w14:textId="77777777" w:rsidR="00870EC9" w:rsidRDefault="00E01DF4" w:rsidP="002035DB">
            <w:pPr>
              <w:pStyle w:val="NormalWeb"/>
              <w:spacing w:line="276" w:lineRule="auto"/>
              <w:jc w:val="both"/>
              <w:textAlignment w:val="baseline"/>
              <w:rPr>
                <w:b/>
                <w:bCs/>
              </w:rPr>
            </w:pPr>
            <w:r>
              <w:rPr>
                <w:b/>
                <w:bCs/>
              </w:rPr>
              <w:t>11,992</w:t>
            </w:r>
          </w:p>
        </w:tc>
      </w:tr>
      <w:tr w:rsidR="00870EC9" w14:paraId="49C098DF" w14:textId="77777777">
        <w:trPr>
          <w:trHeight w:val="361"/>
        </w:trPr>
        <w:tc>
          <w:tcPr>
            <w:tcW w:w="1253" w:type="dxa"/>
            <w:noWrap/>
          </w:tcPr>
          <w:p w14:paraId="2C3107DE" w14:textId="77777777" w:rsidR="00870EC9" w:rsidRDefault="00E01DF4" w:rsidP="002035DB">
            <w:pPr>
              <w:pStyle w:val="NormalWeb"/>
              <w:spacing w:line="276" w:lineRule="auto"/>
              <w:jc w:val="both"/>
              <w:textAlignment w:val="baseline"/>
            </w:pPr>
            <w:r>
              <w:t>Viet Nam</w:t>
            </w:r>
          </w:p>
        </w:tc>
        <w:tc>
          <w:tcPr>
            <w:tcW w:w="1027" w:type="dxa"/>
            <w:noWrap/>
          </w:tcPr>
          <w:p w14:paraId="7007A1D8" w14:textId="77777777" w:rsidR="00870EC9" w:rsidRDefault="00E01DF4" w:rsidP="002035DB">
            <w:pPr>
              <w:pStyle w:val="NormalWeb"/>
              <w:spacing w:line="276" w:lineRule="auto"/>
              <w:jc w:val="both"/>
              <w:textAlignment w:val="baseline"/>
            </w:pPr>
            <w:r>
              <w:t>4,305</w:t>
            </w:r>
          </w:p>
        </w:tc>
        <w:tc>
          <w:tcPr>
            <w:tcW w:w="1082" w:type="dxa"/>
            <w:noWrap/>
          </w:tcPr>
          <w:p w14:paraId="6FD8BF45" w14:textId="77777777" w:rsidR="00870EC9" w:rsidRDefault="00E01DF4" w:rsidP="002035DB">
            <w:pPr>
              <w:pStyle w:val="NormalWeb"/>
              <w:spacing w:line="276" w:lineRule="auto"/>
              <w:jc w:val="both"/>
              <w:textAlignment w:val="baseline"/>
            </w:pPr>
            <w:r>
              <w:t>4,278</w:t>
            </w:r>
          </w:p>
        </w:tc>
        <w:tc>
          <w:tcPr>
            <w:tcW w:w="1095" w:type="dxa"/>
            <w:noWrap/>
          </w:tcPr>
          <w:p w14:paraId="692EB82B" w14:textId="77777777" w:rsidR="00870EC9" w:rsidRDefault="00E01DF4" w:rsidP="002035DB">
            <w:pPr>
              <w:pStyle w:val="NormalWeb"/>
              <w:spacing w:line="276" w:lineRule="auto"/>
              <w:jc w:val="both"/>
              <w:textAlignment w:val="baseline"/>
            </w:pPr>
            <w:r>
              <w:t>4,165</w:t>
            </w:r>
          </w:p>
        </w:tc>
        <w:tc>
          <w:tcPr>
            <w:tcW w:w="1082" w:type="dxa"/>
            <w:noWrap/>
          </w:tcPr>
          <w:p w14:paraId="405C3E6F" w14:textId="77777777" w:rsidR="00870EC9" w:rsidRDefault="00E01DF4" w:rsidP="002035DB">
            <w:pPr>
              <w:pStyle w:val="NormalWeb"/>
              <w:spacing w:line="276" w:lineRule="auto"/>
              <w:jc w:val="both"/>
              <w:textAlignment w:val="baseline"/>
            </w:pPr>
            <w:r>
              <w:t>3,941</w:t>
            </w:r>
          </w:p>
        </w:tc>
        <w:tc>
          <w:tcPr>
            <w:tcW w:w="1133" w:type="dxa"/>
            <w:noWrap/>
          </w:tcPr>
          <w:p w14:paraId="2DD408FC" w14:textId="77777777" w:rsidR="00870EC9" w:rsidRDefault="00E01DF4" w:rsidP="002035DB">
            <w:pPr>
              <w:pStyle w:val="NormalWeb"/>
              <w:spacing w:line="276" w:lineRule="auto"/>
              <w:jc w:val="both"/>
              <w:textAlignment w:val="baseline"/>
            </w:pPr>
            <w:r>
              <w:t>4,932</w:t>
            </w:r>
          </w:p>
        </w:tc>
        <w:tc>
          <w:tcPr>
            <w:tcW w:w="1195" w:type="dxa"/>
            <w:noWrap/>
          </w:tcPr>
          <w:p w14:paraId="3A696B29" w14:textId="77777777" w:rsidR="00870EC9" w:rsidRDefault="00E01DF4" w:rsidP="002035DB">
            <w:pPr>
              <w:pStyle w:val="NormalWeb"/>
              <w:spacing w:line="276" w:lineRule="auto"/>
              <w:jc w:val="both"/>
              <w:textAlignment w:val="baseline"/>
            </w:pPr>
            <w:r>
              <w:t>4,901</w:t>
            </w:r>
          </w:p>
        </w:tc>
        <w:tc>
          <w:tcPr>
            <w:tcW w:w="1021" w:type="dxa"/>
            <w:noWrap/>
          </w:tcPr>
          <w:p w14:paraId="7940E5E6" w14:textId="77777777" w:rsidR="00870EC9" w:rsidRDefault="00E01DF4" w:rsidP="002035DB">
            <w:pPr>
              <w:pStyle w:val="NormalWeb"/>
              <w:spacing w:line="276" w:lineRule="auto"/>
              <w:jc w:val="both"/>
              <w:textAlignment w:val="baseline"/>
              <w:rPr>
                <w:b/>
                <w:bCs/>
              </w:rPr>
            </w:pPr>
            <w:r>
              <w:rPr>
                <w:b/>
                <w:bCs/>
              </w:rPr>
              <w:t>26,521</w:t>
            </w:r>
          </w:p>
        </w:tc>
      </w:tr>
      <w:tr w:rsidR="00870EC9" w14:paraId="7F917C69" w14:textId="77777777">
        <w:trPr>
          <w:trHeight w:val="361"/>
        </w:trPr>
        <w:tc>
          <w:tcPr>
            <w:tcW w:w="1253" w:type="dxa"/>
            <w:noWrap/>
          </w:tcPr>
          <w:p w14:paraId="7CB587A3" w14:textId="77777777" w:rsidR="00870EC9" w:rsidRDefault="00E01DF4" w:rsidP="002035DB">
            <w:pPr>
              <w:pStyle w:val="NormalWeb"/>
              <w:spacing w:line="276" w:lineRule="auto"/>
              <w:jc w:val="both"/>
              <w:textAlignment w:val="baseline"/>
              <w:rPr>
                <w:b/>
                <w:bCs/>
              </w:rPr>
            </w:pPr>
            <w:r>
              <w:rPr>
                <w:b/>
                <w:bCs/>
              </w:rPr>
              <w:t>Total</w:t>
            </w:r>
          </w:p>
        </w:tc>
        <w:tc>
          <w:tcPr>
            <w:tcW w:w="1027" w:type="dxa"/>
            <w:noWrap/>
          </w:tcPr>
          <w:p w14:paraId="5B21763E" w14:textId="77777777" w:rsidR="00870EC9" w:rsidRDefault="00E01DF4" w:rsidP="002035DB">
            <w:pPr>
              <w:pStyle w:val="NormalWeb"/>
              <w:spacing w:line="276" w:lineRule="auto"/>
              <w:jc w:val="both"/>
              <w:textAlignment w:val="baseline"/>
              <w:rPr>
                <w:b/>
                <w:bCs/>
              </w:rPr>
            </w:pPr>
            <w:r>
              <w:rPr>
                <w:b/>
                <w:bCs/>
              </w:rPr>
              <w:t>16,643</w:t>
            </w:r>
          </w:p>
        </w:tc>
        <w:tc>
          <w:tcPr>
            <w:tcW w:w="1082" w:type="dxa"/>
            <w:noWrap/>
          </w:tcPr>
          <w:p w14:paraId="2DC2164B" w14:textId="77777777" w:rsidR="00870EC9" w:rsidRDefault="00E01DF4" w:rsidP="002035DB">
            <w:pPr>
              <w:pStyle w:val="NormalWeb"/>
              <w:spacing w:line="276" w:lineRule="auto"/>
              <w:jc w:val="both"/>
              <w:textAlignment w:val="baseline"/>
              <w:rPr>
                <w:b/>
                <w:bCs/>
              </w:rPr>
            </w:pPr>
            <w:r>
              <w:rPr>
                <w:b/>
                <w:bCs/>
              </w:rPr>
              <w:t>19,950</w:t>
            </w:r>
          </w:p>
        </w:tc>
        <w:tc>
          <w:tcPr>
            <w:tcW w:w="1095" w:type="dxa"/>
            <w:noWrap/>
          </w:tcPr>
          <w:p w14:paraId="09DE190F" w14:textId="77777777" w:rsidR="00870EC9" w:rsidRDefault="00E01DF4" w:rsidP="002035DB">
            <w:pPr>
              <w:pStyle w:val="NormalWeb"/>
              <w:spacing w:line="276" w:lineRule="auto"/>
              <w:jc w:val="both"/>
              <w:textAlignment w:val="baseline"/>
              <w:rPr>
                <w:b/>
                <w:bCs/>
              </w:rPr>
            </w:pPr>
            <w:r>
              <w:rPr>
                <w:b/>
                <w:bCs/>
              </w:rPr>
              <w:t>21,004</w:t>
            </w:r>
          </w:p>
        </w:tc>
        <w:tc>
          <w:tcPr>
            <w:tcW w:w="1082" w:type="dxa"/>
            <w:noWrap/>
          </w:tcPr>
          <w:p w14:paraId="287417D0" w14:textId="77777777" w:rsidR="00870EC9" w:rsidRDefault="00E01DF4" w:rsidP="002035DB">
            <w:pPr>
              <w:pStyle w:val="NormalWeb"/>
              <w:spacing w:line="276" w:lineRule="auto"/>
              <w:jc w:val="both"/>
              <w:textAlignment w:val="baseline"/>
              <w:rPr>
                <w:b/>
                <w:bCs/>
              </w:rPr>
            </w:pPr>
            <w:r>
              <w:rPr>
                <w:b/>
                <w:bCs/>
              </w:rPr>
              <w:t>19,587</w:t>
            </w:r>
          </w:p>
        </w:tc>
        <w:tc>
          <w:tcPr>
            <w:tcW w:w="1133" w:type="dxa"/>
            <w:noWrap/>
          </w:tcPr>
          <w:p w14:paraId="08C2455B" w14:textId="77777777" w:rsidR="00870EC9" w:rsidRDefault="00E01DF4" w:rsidP="002035DB">
            <w:pPr>
              <w:pStyle w:val="NormalWeb"/>
              <w:spacing w:line="276" w:lineRule="auto"/>
              <w:jc w:val="both"/>
              <w:textAlignment w:val="baseline"/>
              <w:rPr>
                <w:b/>
                <w:bCs/>
              </w:rPr>
            </w:pPr>
            <w:r>
              <w:rPr>
                <w:b/>
                <w:bCs/>
              </w:rPr>
              <w:t>22,036</w:t>
            </w:r>
          </w:p>
        </w:tc>
        <w:tc>
          <w:tcPr>
            <w:tcW w:w="1195" w:type="dxa"/>
            <w:noWrap/>
          </w:tcPr>
          <w:p w14:paraId="1FEB6FC7" w14:textId="77777777" w:rsidR="00870EC9" w:rsidRDefault="00E01DF4" w:rsidP="002035DB">
            <w:pPr>
              <w:pStyle w:val="NormalWeb"/>
              <w:spacing w:line="276" w:lineRule="auto"/>
              <w:jc w:val="both"/>
              <w:textAlignment w:val="baseline"/>
              <w:rPr>
                <w:b/>
                <w:bCs/>
              </w:rPr>
            </w:pPr>
            <w:r>
              <w:rPr>
                <w:b/>
                <w:bCs/>
              </w:rPr>
              <w:t>19,179</w:t>
            </w:r>
          </w:p>
        </w:tc>
        <w:tc>
          <w:tcPr>
            <w:tcW w:w="1021" w:type="dxa"/>
            <w:noWrap/>
          </w:tcPr>
          <w:p w14:paraId="262BF638" w14:textId="77777777" w:rsidR="00870EC9" w:rsidRDefault="00E01DF4" w:rsidP="002035DB">
            <w:pPr>
              <w:pStyle w:val="NormalWeb"/>
              <w:spacing w:line="276" w:lineRule="auto"/>
              <w:jc w:val="both"/>
              <w:textAlignment w:val="baseline"/>
              <w:rPr>
                <w:b/>
                <w:bCs/>
              </w:rPr>
            </w:pPr>
            <w:r>
              <w:rPr>
                <w:b/>
                <w:bCs/>
              </w:rPr>
              <w:t>118,400</w:t>
            </w:r>
          </w:p>
        </w:tc>
      </w:tr>
    </w:tbl>
    <w:p w14:paraId="616EF598" w14:textId="3D007FF5" w:rsidR="003A140E" w:rsidRPr="003A140E" w:rsidRDefault="00E01DF4" w:rsidP="002035DB">
      <w:pPr>
        <w:pStyle w:val="NormalWeb"/>
        <w:spacing w:before="0" w:beforeAutospacing="0" w:after="0" w:afterAutospacing="0" w:line="276" w:lineRule="auto"/>
        <w:jc w:val="both"/>
        <w:textAlignment w:val="baseline"/>
        <w:rPr>
          <w:i/>
          <w:iCs/>
          <w:color w:val="C45911" w:themeColor="accent2" w:themeShade="BF"/>
          <w:lang w:val="vi-VN"/>
        </w:rPr>
      </w:pPr>
      <w:r w:rsidRPr="00D906F0">
        <w:rPr>
          <w:i/>
          <w:iCs/>
          <w:color w:val="C45911" w:themeColor="accent2" w:themeShade="BF"/>
          <w:lang w:val="vi-VN"/>
        </w:rPr>
        <w:t xml:space="preserve">Table </w:t>
      </w:r>
      <w:r w:rsidR="00D906F0" w:rsidRPr="00D906F0">
        <w:rPr>
          <w:i/>
          <w:iCs/>
          <w:color w:val="C45911" w:themeColor="accent2" w:themeShade="BF"/>
        </w:rPr>
        <w:t xml:space="preserve">3 </w:t>
      </w:r>
      <w:r w:rsidRPr="00D906F0">
        <w:rPr>
          <w:i/>
          <w:iCs/>
          <w:color w:val="C45911" w:themeColor="accent2" w:themeShade="BF"/>
          <w:lang w:val="vi-VN"/>
        </w:rPr>
        <w:t>show that value of FDI flow (% GDP) among 6 region in ASEAN.</w:t>
      </w:r>
    </w:p>
    <w:p w14:paraId="1FA25FF5" w14:textId="77777777" w:rsidR="00FE50E8" w:rsidRDefault="00E01DF4" w:rsidP="002035DB">
      <w:pPr>
        <w:pStyle w:val="NormalWeb"/>
        <w:spacing w:before="0" w:beforeAutospacing="0" w:after="0" w:afterAutospacing="0" w:line="276" w:lineRule="auto"/>
        <w:jc w:val="both"/>
        <w:textAlignment w:val="baseline"/>
      </w:pPr>
      <w:r>
        <w:rPr>
          <w:lang w:val="vi-VN"/>
        </w:rPr>
        <w:lastRenderedPageBreak/>
        <w:t xml:space="preserve">Along with the above results, </w:t>
      </w:r>
      <w:r w:rsidRPr="003A140E">
        <w:rPr>
          <w:b/>
          <w:bCs/>
          <w:lang w:val="vi-VN"/>
        </w:rPr>
        <w:t>2015</w:t>
      </w:r>
      <w:r>
        <w:rPr>
          <w:lang w:val="vi-VN"/>
        </w:rPr>
        <w:t xml:space="preserve"> was also a year of outstanding progress in perfecting the legal system </w:t>
      </w:r>
      <w:r>
        <w:rPr>
          <w:lang w:val="vi-VN"/>
        </w:rPr>
        <w:t>related to investment</w:t>
      </w:r>
      <w:r w:rsidR="00FE50E8">
        <w:t>.</w:t>
      </w:r>
    </w:p>
    <w:p w14:paraId="6707059D" w14:textId="7A5436C7" w:rsidR="00870EC9" w:rsidRPr="00FE50E8" w:rsidRDefault="00FE50E8" w:rsidP="002035DB">
      <w:pPr>
        <w:pStyle w:val="NormalWeb"/>
        <w:spacing w:before="0" w:beforeAutospacing="0" w:after="0" w:afterAutospacing="0" w:line="276" w:lineRule="auto"/>
        <w:textAlignment w:val="baseline"/>
        <w:rPr>
          <w:rStyle w:val="Hyperlink"/>
          <w:color w:val="auto"/>
          <w:u w:val="none"/>
          <w:lang w:val="vi-VN"/>
        </w:rPr>
      </w:pPr>
      <w:r w:rsidRPr="00FE50E8">
        <w:rPr>
          <w:b/>
          <w:bCs/>
          <w:i/>
          <w:iCs/>
          <w:u w:val="single"/>
        </w:rPr>
        <w:t>Hidden fact:</w:t>
      </w:r>
      <w:r>
        <w:t xml:space="preserve"> </w:t>
      </w:r>
      <w:r w:rsidR="00E01DF4">
        <w:rPr>
          <w:lang w:val="vi-VN"/>
        </w:rPr>
        <w:t>the 2014 Investment Law took effect from July 1, 2015, replacing the Investment Law</w:t>
      </w:r>
      <w:r w:rsidR="00E01DF4">
        <w:t xml:space="preserve"> (</w:t>
      </w:r>
      <w:r w:rsidR="00E01DF4">
        <w:rPr>
          <w:lang w:val="vi-VN"/>
        </w:rPr>
        <w:t>2005</w:t>
      </w:r>
      <w:r w:rsidR="00E01DF4">
        <w:t>)</w:t>
      </w:r>
      <w:r w:rsidR="00E01DF4">
        <w:rPr>
          <w:lang w:val="vi-VN"/>
        </w:rPr>
        <w:t xml:space="preserve"> with many important changes, especially regulations on investment bans, conditional </w:t>
      </w:r>
      <w:r>
        <w:rPr>
          <w:lang w:val="vi-VN"/>
        </w:rPr>
        <w:t>investments,</w:t>
      </w:r>
      <w:r w:rsidR="00E01DF4">
        <w:rPr>
          <w:lang w:val="vi-VN"/>
        </w:rPr>
        <w:t xml:space="preserve"> and reform of administrative procedures on investment. These outstanding advances have contributed to promoting FDI growth in the last 5 months of 2015</w:t>
      </w:r>
      <w:r w:rsidR="00E01DF4">
        <w:t>.</w:t>
      </w:r>
      <w:bookmarkEnd w:id="9"/>
      <w:bookmarkEnd w:id="10"/>
      <w:r>
        <w:t xml:space="preserve"> </w:t>
      </w:r>
      <w:r w:rsidRPr="00FE50E8">
        <w:rPr>
          <w:i/>
          <w:iCs/>
        </w:rPr>
        <w:t>(Investment</w:t>
      </w:r>
      <w:r w:rsidRPr="00FE50E8">
        <w:rPr>
          <w:i/>
          <w:iCs/>
        </w:rPr>
        <w:t xml:space="preserve"> Laws Navigator | UNCTAD Investment Policy Hub. (n.d</w:t>
      </w:r>
      <w:r w:rsidRPr="00FE50E8">
        <w:rPr>
          <w:i/>
          <w:iCs/>
        </w:rPr>
        <w:t>.)</w:t>
      </w:r>
    </w:p>
    <w:p w14:paraId="136F4030" w14:textId="7EC59F80" w:rsidR="00870EC9" w:rsidRPr="00FE50E8" w:rsidRDefault="00E01DF4" w:rsidP="002035DB">
      <w:pPr>
        <w:pStyle w:val="Heading2"/>
        <w:numPr>
          <w:ilvl w:val="1"/>
          <w:numId w:val="10"/>
        </w:numPr>
        <w:spacing w:line="276" w:lineRule="auto"/>
        <w:jc w:val="both"/>
        <w:rPr>
          <w:rStyle w:val="Hyperlink"/>
          <w:rFonts w:cs="Times New Roman"/>
          <w:iCs/>
          <w:color w:val="auto"/>
          <w:sz w:val="24"/>
          <w:szCs w:val="24"/>
          <w:u w:val="none"/>
          <w:lang w:val="vi-VN"/>
        </w:rPr>
      </w:pPr>
      <w:bookmarkStart w:id="15" w:name="_Toc157241256"/>
      <w:r w:rsidRPr="00FE50E8">
        <w:rPr>
          <w:rStyle w:val="Hyperlink"/>
          <w:rFonts w:cs="Times New Roman"/>
          <w:iCs/>
          <w:color w:val="auto"/>
          <w:sz w:val="24"/>
          <w:szCs w:val="24"/>
          <w:u w:val="none"/>
          <w:lang w:val="vi-VN"/>
        </w:rPr>
        <w:t>Comparision between</w:t>
      </w:r>
      <w:r w:rsidRPr="00FE50E8">
        <w:rPr>
          <w:rStyle w:val="Hyperlink"/>
          <w:rFonts w:cs="Times New Roman"/>
          <w:iCs/>
          <w:color w:val="auto"/>
          <w:sz w:val="24"/>
          <w:szCs w:val="24"/>
          <w:u w:val="none"/>
        </w:rPr>
        <w:t xml:space="preserve"> Viet</w:t>
      </w:r>
      <w:r w:rsidRPr="00FE50E8">
        <w:rPr>
          <w:rStyle w:val="Hyperlink"/>
          <w:rFonts w:cs="Times New Roman"/>
          <w:iCs/>
          <w:color w:val="auto"/>
          <w:sz w:val="24"/>
          <w:szCs w:val="24"/>
          <w:u w:val="none"/>
          <w:lang w:val="vi-VN"/>
        </w:rPr>
        <w:t xml:space="preserve"> Nam and Indonesia</w:t>
      </w:r>
      <w:bookmarkEnd w:id="15"/>
      <w:r w:rsidRPr="00FE50E8">
        <w:rPr>
          <w:rStyle w:val="Hyperlink"/>
          <w:rFonts w:cs="Times New Roman"/>
          <w:iCs/>
          <w:color w:val="auto"/>
          <w:sz w:val="24"/>
          <w:szCs w:val="24"/>
          <w:u w:val="none"/>
          <w:lang w:val="vi-VN"/>
        </w:rPr>
        <w:t xml:space="preserve"> </w:t>
      </w:r>
    </w:p>
    <w:p w14:paraId="5379B29A" w14:textId="77777777" w:rsidR="00FE50E8" w:rsidRPr="00FE50E8" w:rsidRDefault="00FE50E8" w:rsidP="002035DB">
      <w:pPr>
        <w:spacing w:line="276" w:lineRule="auto"/>
        <w:ind w:left="360"/>
        <w:rPr>
          <w:lang w:val="vi-VN"/>
        </w:rPr>
      </w:pPr>
    </w:p>
    <w:p w14:paraId="2DFE3759" w14:textId="3AD0E0FE" w:rsidR="00870EC9" w:rsidRDefault="00E01DF4" w:rsidP="002035DB">
      <w:pPr>
        <w:pStyle w:val="NormalWeb"/>
        <w:spacing w:before="0" w:beforeAutospacing="0" w:after="0" w:afterAutospacing="0" w:line="276" w:lineRule="auto"/>
        <w:jc w:val="both"/>
        <w:rPr>
          <w:rStyle w:val="Hyperlink"/>
          <w:color w:val="auto"/>
          <w:u w:val="none"/>
        </w:rPr>
      </w:pPr>
      <w:r>
        <w:t>I</w:t>
      </w:r>
      <w:r>
        <w:t xml:space="preserve">n ASEAN, Indonesia's FDI is bigger than Vietnam's because the country has a bigger annual </w:t>
      </w:r>
      <w:r>
        <w:t>population growth of 1.0423 times and the total population age from 15-64 </w:t>
      </w:r>
      <w:r>
        <w:t>is 2.7644 times that compared to Viet Nam which means the market in Indonesia is bigger,</w:t>
      </w:r>
      <w:r w:rsidR="00FE50E8">
        <w:t xml:space="preserve"> therefore</w:t>
      </w:r>
      <w:r>
        <w:t xml:space="preserve"> Indonesia people will have more demand for Goods and Services.</w:t>
      </w:r>
    </w:p>
    <w:p w14:paraId="0C9E16DE" w14:textId="77777777" w:rsidR="00870EC9" w:rsidRDefault="00E01DF4" w:rsidP="002035DB">
      <w:pPr>
        <w:pStyle w:val="NormalWeb"/>
        <w:spacing w:before="0" w:beforeAutospacing="0" w:after="0" w:afterAutospacing="0" w:line="276" w:lineRule="auto"/>
        <w:jc w:val="both"/>
        <w:textAlignment w:val="baseline"/>
        <w:rPr>
          <w:rStyle w:val="Hyperlink"/>
          <w:color w:val="auto"/>
        </w:rPr>
      </w:pPr>
      <w:r>
        <w:rPr>
          <w:noProof/>
          <w14:ligatures w14:val="standardContextual"/>
        </w:rPr>
        <w:drawing>
          <wp:inline distT="0" distB="0" distL="0" distR="0" wp14:anchorId="18DD915C" wp14:editId="724A2682">
            <wp:extent cx="5664835" cy="2103759"/>
            <wp:effectExtent l="0" t="0" r="12065" b="17145"/>
            <wp:docPr id="5905356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E00BB5" w14:textId="388F92BF" w:rsidR="00870EC9" w:rsidRPr="00FE50E8" w:rsidRDefault="00E01DF4" w:rsidP="002035DB">
      <w:pPr>
        <w:pStyle w:val="NormalWeb"/>
        <w:spacing w:before="0" w:beforeAutospacing="0" w:after="0" w:afterAutospacing="0" w:line="276" w:lineRule="auto"/>
        <w:jc w:val="both"/>
        <w:textAlignment w:val="baseline"/>
        <w:rPr>
          <w:rStyle w:val="Hyperlink"/>
          <w:color w:val="C45911" w:themeColor="accent2" w:themeShade="BF"/>
          <w:u w:val="none"/>
          <w:lang w:val="vi-VN"/>
        </w:rPr>
      </w:pPr>
      <w:r w:rsidRPr="00FE50E8">
        <w:rPr>
          <w:rStyle w:val="Hyperlink"/>
          <w:i/>
          <w:iCs/>
          <w:color w:val="C45911" w:themeColor="accent2" w:themeShade="BF"/>
          <w:u w:val="none"/>
        </w:rPr>
        <w:t>Figure</w:t>
      </w:r>
      <w:r w:rsidRPr="00FE50E8">
        <w:rPr>
          <w:rStyle w:val="Hyperlink"/>
          <w:i/>
          <w:iCs/>
          <w:color w:val="C45911" w:themeColor="accent2" w:themeShade="BF"/>
          <w:u w:val="none"/>
          <w:lang w:val="vi-VN"/>
        </w:rPr>
        <w:t xml:space="preserve"> </w:t>
      </w:r>
      <w:r w:rsidR="00FE50E8" w:rsidRPr="00FE50E8">
        <w:rPr>
          <w:rStyle w:val="Hyperlink"/>
          <w:i/>
          <w:iCs/>
          <w:color w:val="C45911" w:themeColor="accent2" w:themeShade="BF"/>
          <w:u w:val="none"/>
        </w:rPr>
        <w:t>4:</w:t>
      </w:r>
      <w:r w:rsidRPr="00FE50E8">
        <w:rPr>
          <w:rStyle w:val="Hyperlink"/>
          <w:i/>
          <w:iCs/>
          <w:color w:val="C45911" w:themeColor="accent2" w:themeShade="BF"/>
          <w:u w:val="none"/>
          <w:lang w:val="vi-VN"/>
        </w:rPr>
        <w:t xml:space="preserve"> </w:t>
      </w:r>
      <w:r w:rsidR="00FE50E8" w:rsidRPr="00FE50E8">
        <w:rPr>
          <w:rStyle w:val="Hyperlink"/>
          <w:i/>
          <w:iCs/>
          <w:color w:val="C45911" w:themeColor="accent2" w:themeShade="BF"/>
          <w:u w:val="none"/>
        </w:rPr>
        <w:t>T</w:t>
      </w:r>
      <w:r w:rsidRPr="00FE50E8">
        <w:rPr>
          <w:rStyle w:val="Hyperlink"/>
          <w:i/>
          <w:iCs/>
          <w:color w:val="C45911" w:themeColor="accent2" w:themeShade="BF"/>
          <w:u w:val="none"/>
          <w:lang w:val="vi-VN"/>
        </w:rPr>
        <w:t>he value of 2 factors of Vietnam and Indonesia economy</w:t>
      </w:r>
      <w:r w:rsidRPr="00FE50E8">
        <w:rPr>
          <w:rStyle w:val="Hyperlink"/>
          <w:color w:val="C45911" w:themeColor="accent2" w:themeShade="BF"/>
          <w:u w:val="none"/>
          <w:lang w:val="vi-VN"/>
        </w:rPr>
        <w:t>.</w:t>
      </w:r>
    </w:p>
    <w:p w14:paraId="592DD60D" w14:textId="77777777" w:rsidR="00870EC9" w:rsidRDefault="00870EC9" w:rsidP="002035DB">
      <w:pPr>
        <w:spacing w:line="276" w:lineRule="auto"/>
        <w:jc w:val="both"/>
      </w:pPr>
    </w:p>
    <w:p w14:paraId="4E798C82" w14:textId="77777777" w:rsidR="00870EC9" w:rsidRDefault="00870EC9" w:rsidP="002035DB">
      <w:pPr>
        <w:spacing w:line="276" w:lineRule="auto"/>
        <w:jc w:val="both"/>
        <w:sectPr w:rsidR="00870EC9" w:rsidSect="00146B15">
          <w:type w:val="continuous"/>
          <w:pgSz w:w="11906" w:h="16838"/>
          <w:pgMar w:top="1440" w:right="1440" w:bottom="1440" w:left="1440" w:header="709" w:footer="709" w:gutter="0"/>
          <w:cols w:space="708"/>
          <w:docGrid w:linePitch="360"/>
        </w:sectPr>
      </w:pPr>
    </w:p>
    <w:p w14:paraId="281044A0" w14:textId="6C51F683" w:rsidR="00870EC9" w:rsidRDefault="00E01DF4" w:rsidP="002035DB">
      <w:pPr>
        <w:spacing w:line="276" w:lineRule="auto"/>
        <w:jc w:val="both"/>
      </w:pPr>
      <w:r w:rsidRPr="0043610E">
        <w:rPr>
          <w:b/>
          <w:bCs/>
        </w:rPr>
        <w:t xml:space="preserve">Besides, Indonesia also had a </w:t>
      </w:r>
      <w:r w:rsidRPr="0043610E">
        <w:rPr>
          <w:b/>
          <w:bCs/>
          <w:i/>
          <w:iCs/>
        </w:rPr>
        <w:t xml:space="preserve">higher </w:t>
      </w:r>
      <w:r w:rsidRPr="0043610E">
        <w:rPr>
          <w:b/>
          <w:bCs/>
          <w:i/>
          <w:iCs/>
        </w:rPr>
        <w:t>real interest rate</w:t>
      </w:r>
      <w:r w:rsidR="0043610E" w:rsidRPr="0043610E">
        <w:rPr>
          <w:b/>
          <w:bCs/>
          <w:i/>
          <w:iCs/>
        </w:rPr>
        <w:t xml:space="preserve"> (R.I.R)</w:t>
      </w:r>
      <w:r w:rsidRPr="0043610E">
        <w:rPr>
          <w:b/>
          <w:bCs/>
          <w:i/>
          <w:iCs/>
        </w:rPr>
        <w:t xml:space="preserve"> </w:t>
      </w:r>
      <w:r w:rsidRPr="0043610E">
        <w:rPr>
          <w:b/>
          <w:bCs/>
        </w:rPr>
        <w:t>signaling a strong and stable economy than Viet Nam’s economy.</w:t>
      </w:r>
      <w:r>
        <w:t xml:space="preserve"> The following chart demonstrates that the real interest rate in Indonesia fluctuated stabilize beginning in 2012 and has reached almost 10 compared to Vietnam which has more fluctuated in 2020 and since then has fallen. Below the graph, the formula Standard Deviation (population) of</w:t>
      </w:r>
      <w:r>
        <w:rPr>
          <w:lang w:val="vi-VN"/>
        </w:rPr>
        <w:t xml:space="preserve"> </w:t>
      </w:r>
      <w:r>
        <w:t xml:space="preserve">Indonesia is smaller than Viet Nam mean that the country’s economic in general is </w:t>
      </w:r>
      <w:r w:rsidR="0043610E">
        <w:t>steadier</w:t>
      </w:r>
      <w:r>
        <w:t>. </w:t>
      </w:r>
    </w:p>
    <w:tbl>
      <w:tblPr>
        <w:tblStyle w:val="GridTable4-Accent11"/>
        <w:tblW w:w="4318" w:type="dxa"/>
        <w:jc w:val="center"/>
        <w:tblLook w:val="04A0" w:firstRow="1" w:lastRow="0" w:firstColumn="1" w:lastColumn="0" w:noHBand="0" w:noVBand="1"/>
      </w:tblPr>
      <w:tblGrid>
        <w:gridCol w:w="1724"/>
        <w:gridCol w:w="1297"/>
        <w:gridCol w:w="1297"/>
      </w:tblGrid>
      <w:tr w:rsidR="00870EC9" w14:paraId="5DE5C7E2" w14:textId="77777777" w:rsidTr="0043610E">
        <w:trPr>
          <w:cnfStyle w:val="100000000000" w:firstRow="1" w:lastRow="0" w:firstColumn="0" w:lastColumn="0" w:oddVBand="0" w:evenVBand="0" w:oddHBand="0"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724" w:type="dxa"/>
            <w:noWrap/>
          </w:tcPr>
          <w:p w14:paraId="13256919" w14:textId="77777777" w:rsidR="00870EC9" w:rsidRDefault="00E01DF4" w:rsidP="002035DB">
            <w:pPr>
              <w:spacing w:line="276" w:lineRule="auto"/>
              <w:jc w:val="both"/>
              <w:rPr>
                <w:lang w:val="vi-VN"/>
              </w:rPr>
            </w:pPr>
            <w:r>
              <w:rPr>
                <w:color w:val="auto"/>
              </w:rPr>
              <w:t>Inflation</w:t>
            </w:r>
            <w:r>
              <w:rPr>
                <w:color w:val="auto"/>
                <w:lang w:val="vi-VN"/>
              </w:rPr>
              <w:t xml:space="preserve"> (%)</w:t>
            </w:r>
          </w:p>
        </w:tc>
        <w:tc>
          <w:tcPr>
            <w:tcW w:w="1297" w:type="dxa"/>
            <w:noWrap/>
          </w:tcPr>
          <w:p w14:paraId="1D3D95B0" w14:textId="77777777" w:rsidR="00870EC9"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pPr>
            <w:r>
              <w:rPr>
                <w:color w:val="auto"/>
              </w:rPr>
              <w:t>Indonesia</w:t>
            </w:r>
          </w:p>
        </w:tc>
        <w:tc>
          <w:tcPr>
            <w:tcW w:w="1297" w:type="dxa"/>
            <w:noWrap/>
          </w:tcPr>
          <w:p w14:paraId="5EA43DDA" w14:textId="77777777" w:rsidR="00870EC9"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pPr>
            <w:r>
              <w:rPr>
                <w:color w:val="auto"/>
              </w:rPr>
              <w:t>Viet Nam</w:t>
            </w:r>
          </w:p>
        </w:tc>
      </w:tr>
      <w:tr w:rsidR="00870EC9" w14:paraId="3E3F4159" w14:textId="77777777" w:rsidTr="0043610E">
        <w:trPr>
          <w:trHeight w:val="381"/>
          <w:jc w:val="center"/>
        </w:trPr>
        <w:tc>
          <w:tcPr>
            <w:cnfStyle w:val="001000000000" w:firstRow="0" w:lastRow="0" w:firstColumn="1" w:lastColumn="0" w:oddVBand="0" w:evenVBand="0" w:oddHBand="0" w:evenHBand="0" w:firstRowFirstColumn="0" w:firstRowLastColumn="0" w:lastRowFirstColumn="0" w:lastRowLastColumn="0"/>
            <w:tcW w:w="1724" w:type="dxa"/>
            <w:shd w:val="clear" w:color="auto" w:fill="D9E2F3" w:themeFill="accent1" w:themeFillTint="33"/>
            <w:noWrap/>
          </w:tcPr>
          <w:p w14:paraId="53321453" w14:textId="77777777" w:rsidR="00870EC9" w:rsidRDefault="00E01DF4" w:rsidP="002035DB">
            <w:pPr>
              <w:spacing w:line="276" w:lineRule="auto"/>
              <w:jc w:val="both"/>
              <w:rPr>
                <w:b w:val="0"/>
                <w:bCs w:val="0"/>
              </w:rPr>
            </w:pPr>
            <w:r>
              <w:rPr>
                <w:b w:val="0"/>
                <w:bCs w:val="0"/>
              </w:rPr>
              <w:sym w:font="Symbol" w:char="F073"/>
            </w:r>
          </w:p>
        </w:tc>
        <w:tc>
          <w:tcPr>
            <w:tcW w:w="1297" w:type="dxa"/>
            <w:shd w:val="clear" w:color="auto" w:fill="D9E2F3" w:themeFill="accent1" w:themeFillTint="33"/>
            <w:noWrap/>
          </w:tcPr>
          <w:p w14:paraId="43428B38"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pPr>
            <w:r>
              <w:t>2.0599597</w:t>
            </w:r>
          </w:p>
        </w:tc>
        <w:tc>
          <w:tcPr>
            <w:tcW w:w="1297" w:type="dxa"/>
            <w:shd w:val="clear" w:color="auto" w:fill="D9E2F3" w:themeFill="accent1" w:themeFillTint="33"/>
            <w:noWrap/>
          </w:tcPr>
          <w:p w14:paraId="6AE3BFBA" w14:textId="77777777" w:rsidR="00870EC9"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pPr>
            <w:r>
              <w:t>5.9753110</w:t>
            </w:r>
          </w:p>
        </w:tc>
      </w:tr>
    </w:tbl>
    <w:p w14:paraId="498DBD39" w14:textId="77777777" w:rsidR="0043610E" w:rsidRDefault="0043610E" w:rsidP="002035DB">
      <w:pPr>
        <w:spacing w:line="276" w:lineRule="auto"/>
        <w:jc w:val="both"/>
      </w:pPr>
    </w:p>
    <w:p w14:paraId="1BBADA10" w14:textId="132690CD" w:rsidR="00870EC9" w:rsidRDefault="00E01DF4" w:rsidP="002035DB">
      <w:pPr>
        <w:spacing w:line="276" w:lineRule="auto"/>
        <w:jc w:val="both"/>
      </w:pPr>
      <w:r>
        <w:rPr>
          <w:noProof/>
          <w14:ligatures w14:val="standardContextual"/>
        </w:rPr>
        <w:lastRenderedPageBreak/>
        <w:drawing>
          <wp:inline distT="0" distB="0" distL="0" distR="0" wp14:anchorId="071E3FB5" wp14:editId="2E872F19">
            <wp:extent cx="5713199" cy="2390140"/>
            <wp:effectExtent l="0" t="0" r="14605" b="10160"/>
            <wp:docPr id="782543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4C4C69" w14:textId="0BE142CF" w:rsidR="0043610E" w:rsidRPr="0043610E" w:rsidRDefault="00E01DF4" w:rsidP="002035DB">
      <w:pPr>
        <w:spacing w:line="276" w:lineRule="auto"/>
        <w:jc w:val="both"/>
        <w:rPr>
          <w:i/>
          <w:iCs/>
          <w:color w:val="2F5496" w:themeColor="accent1" w:themeShade="BF"/>
          <w:lang w:val="vi-VN"/>
        </w:rPr>
        <w:sectPr w:rsidR="0043610E" w:rsidRPr="0043610E" w:rsidSect="00FE50E8">
          <w:type w:val="continuous"/>
          <w:pgSz w:w="11906" w:h="16838"/>
          <w:pgMar w:top="1440" w:right="1440" w:bottom="1440" w:left="1440" w:header="709" w:footer="709" w:gutter="0"/>
          <w:cols w:space="567"/>
          <w:docGrid w:linePitch="360"/>
        </w:sectPr>
      </w:pPr>
      <w:r w:rsidRPr="0043610E">
        <w:rPr>
          <w:i/>
          <w:iCs/>
          <w:color w:val="2F5496" w:themeColor="accent1" w:themeShade="BF"/>
        </w:rPr>
        <w:t>Figure</w:t>
      </w:r>
      <w:r w:rsidRPr="0043610E">
        <w:rPr>
          <w:i/>
          <w:iCs/>
          <w:color w:val="2F5496" w:themeColor="accent1" w:themeShade="BF"/>
          <w:lang w:val="vi-VN"/>
        </w:rPr>
        <w:t xml:space="preserve"> </w:t>
      </w:r>
      <w:r w:rsidR="00FE50E8" w:rsidRPr="0043610E">
        <w:rPr>
          <w:i/>
          <w:iCs/>
          <w:color w:val="2F5496" w:themeColor="accent1" w:themeShade="BF"/>
        </w:rPr>
        <w:t>5</w:t>
      </w:r>
      <w:r w:rsidRPr="0043610E">
        <w:rPr>
          <w:i/>
          <w:iCs/>
          <w:color w:val="2F5496" w:themeColor="accent1" w:themeShade="BF"/>
          <w:lang w:val="vi-VN"/>
        </w:rPr>
        <w:t>:</w:t>
      </w:r>
      <w:r w:rsidRPr="0043610E">
        <w:rPr>
          <w:i/>
          <w:iCs/>
          <w:color w:val="2F5496" w:themeColor="accent1" w:themeShade="BF"/>
          <w:lang w:val="vi-VN"/>
        </w:rPr>
        <w:t xml:space="preserve"> Real interest rate in 2 countries.</w:t>
      </w:r>
    </w:p>
    <w:p w14:paraId="62E326CA" w14:textId="77777777" w:rsidR="0043610E" w:rsidRDefault="0043610E" w:rsidP="002035DB">
      <w:pPr>
        <w:spacing w:line="276" w:lineRule="auto"/>
        <w:jc w:val="both"/>
      </w:pPr>
    </w:p>
    <w:p w14:paraId="040EA768" w14:textId="372F9187" w:rsidR="0043610E" w:rsidRPr="0043610E" w:rsidRDefault="0043610E" w:rsidP="002035DB">
      <w:pPr>
        <w:spacing w:line="276" w:lineRule="auto"/>
        <w:jc w:val="both"/>
        <w:rPr>
          <w:b/>
          <w:bCs/>
          <w:u w:val="single"/>
        </w:rPr>
      </w:pPr>
      <w:r w:rsidRPr="0043610E">
        <w:rPr>
          <w:b/>
          <w:bCs/>
          <w:u w:val="single"/>
        </w:rPr>
        <w:t xml:space="preserve">High </w:t>
      </w:r>
      <w:proofErr w:type="spellStart"/>
      <w:r w:rsidRPr="0043610E">
        <w:rPr>
          <w:b/>
          <w:bCs/>
          <w:u w:val="single"/>
        </w:rPr>
        <w:t>recomendation</w:t>
      </w:r>
      <w:proofErr w:type="spellEnd"/>
      <w:r w:rsidRPr="0043610E">
        <w:rPr>
          <w:b/>
          <w:bCs/>
          <w:u w:val="single"/>
        </w:rPr>
        <w:t>:</w:t>
      </w:r>
    </w:p>
    <w:p w14:paraId="0C1C459E" w14:textId="157D5410" w:rsidR="00870EC9" w:rsidRDefault="00E01DF4" w:rsidP="002035DB">
      <w:pPr>
        <w:spacing w:line="276" w:lineRule="auto"/>
        <w:jc w:val="both"/>
        <w:rPr>
          <w:lang w:val="vi-VN"/>
        </w:rPr>
        <w:sectPr w:rsidR="00870EC9" w:rsidSect="00146B15">
          <w:type w:val="continuous"/>
          <w:pgSz w:w="11906" w:h="16838"/>
          <w:pgMar w:top="1440" w:right="1440" w:bottom="1440" w:left="1440" w:header="709" w:footer="709" w:gutter="0"/>
          <w:cols w:space="567"/>
          <w:docGrid w:linePitch="360"/>
        </w:sectPr>
      </w:pPr>
      <w:r>
        <w:t>Since the R</w:t>
      </w:r>
      <w:r>
        <w:rPr>
          <w:lang w:val="vi-VN"/>
        </w:rPr>
        <w:t xml:space="preserve">.I.R </w:t>
      </w:r>
      <w:r>
        <w:t xml:space="preserve">in Viet Nam was weaker than Indonesia, the country needed to have a tighter monetary or raising its policy rate like Indonesia have done the BI 7-Day (Reverse) Repo Rate, several times in 2022 and 2023: by increase loanable funds, with a lower rate of interest, foreign investors would be attracted forward the country, therefore the money demand could increase by exchanging foreign currency for domestic currency. </w:t>
      </w:r>
      <w:r w:rsidR="00BA1379">
        <w:t>So,</w:t>
      </w:r>
      <w:r>
        <w:t xml:space="preserve"> facing a down on domestic money supply, the interest rate needs to rise to balance the marke</w:t>
      </w:r>
      <w:r>
        <w:t>t. Thus, domestic currency in this situation will be more appreciated which could increase the real interest rate rather than the inflation rat</w:t>
      </w:r>
      <w:r>
        <w:rPr>
          <w:lang w:val="vi-VN"/>
        </w:rPr>
        <w:t>e.</w:t>
      </w:r>
    </w:p>
    <w:p w14:paraId="33A78056" w14:textId="77777777" w:rsidR="00870EC9" w:rsidRDefault="00870EC9" w:rsidP="002035DB">
      <w:pPr>
        <w:spacing w:line="276" w:lineRule="auto"/>
        <w:jc w:val="both"/>
        <w:sectPr w:rsidR="00870EC9" w:rsidSect="00146B15">
          <w:type w:val="continuous"/>
          <w:pgSz w:w="11906" w:h="16838"/>
          <w:pgMar w:top="1440" w:right="1440" w:bottom="1440" w:left="1440" w:header="709" w:footer="709" w:gutter="0"/>
          <w:cols w:space="567"/>
          <w:docGrid w:linePitch="360"/>
        </w:sectPr>
      </w:pPr>
    </w:p>
    <w:p w14:paraId="3BF33716" w14:textId="77777777" w:rsidR="00870EC9" w:rsidRDefault="00E01DF4" w:rsidP="002035DB">
      <w:pPr>
        <w:spacing w:line="276" w:lineRule="auto"/>
        <w:jc w:val="both"/>
      </w:pPr>
      <w:r>
        <w:rPr>
          <w:noProof/>
        </w:rPr>
        <w:drawing>
          <wp:inline distT="0" distB="0" distL="0" distR="0" wp14:anchorId="2E7EA898" wp14:editId="68129970">
            <wp:extent cx="5713095" cy="2065393"/>
            <wp:effectExtent l="0" t="0" r="14605" b="17780"/>
            <wp:docPr id="11309045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952AA5" w14:textId="33CD8651" w:rsidR="00870EC9" w:rsidRPr="0043610E" w:rsidRDefault="0043610E" w:rsidP="002035DB">
      <w:pPr>
        <w:spacing w:line="276" w:lineRule="auto"/>
        <w:jc w:val="both"/>
        <w:rPr>
          <w:i/>
          <w:iCs/>
          <w:color w:val="C45911" w:themeColor="accent2" w:themeShade="BF"/>
          <w:lang w:val="vi-VN"/>
        </w:rPr>
      </w:pPr>
      <w:r w:rsidRPr="0043610E">
        <w:rPr>
          <w:i/>
          <w:iCs/>
          <w:color w:val="2F5496" w:themeColor="accent1" w:themeShade="BF"/>
        </w:rPr>
        <w:t>Figure 6</w:t>
      </w:r>
      <w:r w:rsidR="00E01DF4" w:rsidRPr="0043610E">
        <w:rPr>
          <w:i/>
          <w:iCs/>
          <w:color w:val="2F5496" w:themeColor="accent1" w:themeShade="BF"/>
          <w:lang w:val="vi-VN"/>
        </w:rPr>
        <w:t>:</w:t>
      </w:r>
      <w:r w:rsidR="00E01DF4" w:rsidRPr="0043610E">
        <w:rPr>
          <w:i/>
          <w:iCs/>
          <w:color w:val="2F5496" w:themeColor="accent1" w:themeShade="BF"/>
          <w:lang w:val="vi-VN"/>
        </w:rPr>
        <w:t xml:space="preserve"> Political and Labor Characteristics. </w:t>
      </w:r>
    </w:p>
    <w:p w14:paraId="561BC4DD" w14:textId="529B9F00" w:rsidR="00870EC9" w:rsidRDefault="00E01DF4" w:rsidP="002035DB">
      <w:pPr>
        <w:spacing w:line="276" w:lineRule="auto"/>
        <w:jc w:val="both"/>
        <w:sectPr w:rsidR="00870EC9" w:rsidSect="0043610E">
          <w:type w:val="continuous"/>
          <w:pgSz w:w="11906" w:h="16838"/>
          <w:pgMar w:top="1440" w:right="1440" w:bottom="1440" w:left="1440" w:header="709" w:footer="709" w:gutter="0"/>
          <w:cols w:space="567"/>
          <w:docGrid w:linePitch="360"/>
        </w:sectPr>
      </w:pPr>
      <w:r>
        <w:rPr>
          <w:i/>
          <w:iCs/>
        </w:rPr>
        <w:t>Political and Labor factors</w:t>
      </w:r>
      <w:r>
        <w:rPr>
          <w:i/>
          <w:iCs/>
          <w:lang w:val="vi-VN"/>
        </w:rPr>
        <w:t xml:space="preserve"> (</w:t>
      </w:r>
      <w:r w:rsidRPr="0043610E">
        <w:rPr>
          <w:i/>
          <w:iCs/>
          <w:color w:val="C45911" w:themeColor="accent2" w:themeShade="BF"/>
          <w:lang w:val="vi-VN"/>
        </w:rPr>
        <w:t xml:space="preserve">Figure </w:t>
      </w:r>
      <w:r w:rsidR="0043610E" w:rsidRPr="0043610E">
        <w:rPr>
          <w:i/>
          <w:iCs/>
          <w:color w:val="C45911" w:themeColor="accent2" w:themeShade="BF"/>
        </w:rPr>
        <w:t>6</w:t>
      </w:r>
      <w:r>
        <w:rPr>
          <w:i/>
          <w:iCs/>
          <w:lang w:val="vi-VN"/>
        </w:rPr>
        <w:t xml:space="preserve">) </w:t>
      </w:r>
      <w:r>
        <w:t xml:space="preserve">are another reason why Indonesia's FDI is higher than Vietnam's. </w:t>
      </w:r>
      <w:r>
        <w:t>The graphic shows that the Indonesian government is not as effective as Vietnam's, however, with a higher rate of GDP per capita in purchasing power parity and a greater employment ratio than Viet Nam, the countries have larger domestic markets, more huge demand with diversified economic make the FDI inflows to Indonesia have increased in recent years, and Indonesia ranked first among the ASEAN countries</w:t>
      </w:r>
      <w:r w:rsidR="0043610E">
        <w:t>.</w:t>
      </w:r>
    </w:p>
    <w:p w14:paraId="025C3233" w14:textId="77777777" w:rsidR="00870EC9" w:rsidRDefault="00870EC9" w:rsidP="002035DB">
      <w:pPr>
        <w:spacing w:line="276" w:lineRule="auto"/>
        <w:jc w:val="both"/>
      </w:pPr>
    </w:p>
    <w:p w14:paraId="25FE7A4A" w14:textId="5A188747" w:rsidR="00870EC9" w:rsidRDefault="00E01DF4" w:rsidP="002035DB">
      <w:pPr>
        <w:spacing w:line="276" w:lineRule="auto"/>
        <w:jc w:val="both"/>
      </w:pPr>
      <w:r>
        <w:lastRenderedPageBreak/>
        <w:t>Although the net inflow of FDI as a percentage of GDP</w:t>
      </w:r>
      <w:r>
        <w:rPr>
          <w:lang w:val="vi-VN"/>
        </w:rPr>
        <w:t xml:space="preserve"> (</w:t>
      </w:r>
      <w:r w:rsidRPr="0043610E">
        <w:rPr>
          <w:i/>
          <w:iCs/>
          <w:color w:val="C45911" w:themeColor="accent2" w:themeShade="BF"/>
          <w:lang w:val="vi-VN"/>
        </w:rPr>
        <w:t xml:space="preserve">Figure </w:t>
      </w:r>
      <w:r w:rsidR="0043610E" w:rsidRPr="0043610E">
        <w:rPr>
          <w:i/>
          <w:iCs/>
          <w:color w:val="C45911" w:themeColor="accent2" w:themeShade="BF"/>
        </w:rPr>
        <w:t>6</w:t>
      </w:r>
      <w:r>
        <w:rPr>
          <w:lang w:val="vi-VN"/>
        </w:rPr>
        <w:t>)</w:t>
      </w:r>
      <w:r>
        <w:t xml:space="preserve"> in Vietnam has been greater than in Indonesia for many years, the country still faces important difficulties, such as labor quality (skill, knowledge, education), that can affect FDI and cause Vietnam to drop behind Indonesia. As a result, the net inflow of percentage</w:t>
      </w:r>
      <w:r>
        <w:rPr>
          <w:lang w:val="vi-VN"/>
        </w:rPr>
        <w:t xml:space="preserve"> of </w:t>
      </w:r>
      <w:r>
        <w:t>GDP in Indonesia accounts for only a minor portion of FDI because most of Indonesia's FDI comes from their big domestic market, stable</w:t>
      </w:r>
      <w:r>
        <w:rPr>
          <w:lang w:val="vi-VN"/>
        </w:rPr>
        <w:t xml:space="preserve"> </w:t>
      </w:r>
      <w:r>
        <w:t>economy through their real interest rate, and other labor and political factors, meanwhile Vietnam acco</w:t>
      </w:r>
      <w:r>
        <w:t>unts for most of it</w:t>
      </w:r>
      <w:r>
        <w:rPr>
          <w:lang w:val="vi-VN"/>
        </w:rPr>
        <w:t>.</w:t>
      </w:r>
    </w:p>
    <w:p w14:paraId="2EA61F5C" w14:textId="77777777" w:rsidR="00870EC9" w:rsidRDefault="00E01DF4" w:rsidP="002035DB">
      <w:pPr>
        <w:spacing w:line="276" w:lineRule="auto"/>
        <w:jc w:val="both"/>
      </w:pPr>
      <w:r>
        <w:rPr>
          <w:noProof/>
        </w:rPr>
        <w:drawing>
          <wp:inline distT="0" distB="0" distL="0" distR="0" wp14:anchorId="4C169EA4" wp14:editId="712DD72C">
            <wp:extent cx="5713095" cy="2078182"/>
            <wp:effectExtent l="0" t="0" r="14605" b="17780"/>
            <wp:docPr id="9881679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0DD8ED" w14:textId="4098D2B3" w:rsidR="00870EC9" w:rsidRPr="0043610E" w:rsidRDefault="00E01DF4" w:rsidP="002035DB">
      <w:pPr>
        <w:spacing w:line="276" w:lineRule="auto"/>
        <w:jc w:val="both"/>
        <w:rPr>
          <w:b/>
          <w:bCs/>
          <w:i/>
          <w:iCs/>
          <w:color w:val="C45911" w:themeColor="accent2" w:themeShade="BF"/>
          <w:lang w:val="vi-VN"/>
        </w:rPr>
        <w:sectPr w:rsidR="00870EC9" w:rsidRPr="0043610E" w:rsidSect="00146B15">
          <w:type w:val="continuous"/>
          <w:pgSz w:w="11906" w:h="16838"/>
          <w:pgMar w:top="1440" w:right="1440" w:bottom="1440" w:left="1440" w:header="709" w:footer="709" w:gutter="0"/>
          <w:cols w:space="567"/>
          <w:docGrid w:linePitch="360"/>
        </w:sectPr>
      </w:pPr>
      <w:r w:rsidRPr="0043610E">
        <w:rPr>
          <w:i/>
          <w:iCs/>
          <w:color w:val="C45911" w:themeColor="accent2" w:themeShade="BF"/>
        </w:rPr>
        <w:t>Figure</w:t>
      </w:r>
      <w:r w:rsidRPr="0043610E">
        <w:rPr>
          <w:i/>
          <w:iCs/>
          <w:color w:val="C45911" w:themeColor="accent2" w:themeShade="BF"/>
          <w:lang w:val="vi-VN"/>
        </w:rPr>
        <w:t xml:space="preserve"> </w:t>
      </w:r>
      <w:r w:rsidR="0043610E" w:rsidRPr="0043610E">
        <w:rPr>
          <w:i/>
          <w:iCs/>
          <w:color w:val="C45911" w:themeColor="accent2" w:themeShade="BF"/>
        </w:rPr>
        <w:t>7</w:t>
      </w:r>
      <w:r w:rsidRPr="0043610E">
        <w:rPr>
          <w:i/>
          <w:iCs/>
          <w:color w:val="C45911" w:themeColor="accent2" w:themeShade="BF"/>
          <w:lang w:val="vi-VN"/>
        </w:rPr>
        <w:t>:</w:t>
      </w:r>
      <w:r w:rsidRPr="0043610E">
        <w:rPr>
          <w:i/>
          <w:iCs/>
          <w:color w:val="C45911" w:themeColor="accent2" w:themeShade="BF"/>
          <w:lang w:val="vi-VN"/>
        </w:rPr>
        <w:t xml:space="preserve"> </w:t>
      </w:r>
      <w:r w:rsidRPr="0043610E">
        <w:rPr>
          <w:i/>
          <w:iCs/>
          <w:color w:val="C45911" w:themeColor="accent2" w:themeShade="BF"/>
          <w:lang w:val="en-GB"/>
        </w:rPr>
        <w:t>Foreign Direct Investment, net inflow</w:t>
      </w:r>
      <w:r w:rsidRPr="0043610E">
        <w:rPr>
          <w:i/>
          <w:iCs/>
          <w:color w:val="C45911" w:themeColor="accent2" w:themeShade="BF"/>
          <w:lang w:val="vi-VN"/>
        </w:rPr>
        <w:t xml:space="preserve"> (% GDP) </w:t>
      </w:r>
      <w:r w:rsidRPr="0043610E">
        <w:rPr>
          <w:i/>
          <w:iCs/>
          <w:color w:val="C45911" w:themeColor="accent2" w:themeShade="BF"/>
          <w:lang w:val="en-GB"/>
        </w:rPr>
        <w:t>in Viet Nam (1998-20</w:t>
      </w:r>
      <w:r w:rsidR="0043610E" w:rsidRPr="0043610E">
        <w:rPr>
          <w:i/>
          <w:iCs/>
          <w:color w:val="C45911" w:themeColor="accent2" w:themeShade="BF"/>
          <w:lang w:val="en-GB"/>
        </w:rPr>
        <w:t>21)</w:t>
      </w:r>
    </w:p>
    <w:p w14:paraId="4C47C108" w14:textId="77777777" w:rsidR="00870EC9" w:rsidRDefault="00870EC9" w:rsidP="002035DB">
      <w:pPr>
        <w:spacing w:line="276" w:lineRule="auto"/>
        <w:jc w:val="both"/>
        <w:sectPr w:rsidR="00870EC9" w:rsidSect="00146B15">
          <w:type w:val="continuous"/>
          <w:pgSz w:w="11906" w:h="16838"/>
          <w:pgMar w:top="1440" w:right="1440" w:bottom="1440" w:left="1440" w:header="709" w:footer="709" w:gutter="0"/>
          <w:cols w:space="567"/>
          <w:docGrid w:linePitch="360"/>
        </w:sectPr>
      </w:pPr>
    </w:p>
    <w:p w14:paraId="77C52DF0" w14:textId="6ED0A8DE" w:rsidR="00870EC9" w:rsidRDefault="00E01DF4" w:rsidP="002035DB">
      <w:pPr>
        <w:pStyle w:val="Heading2"/>
        <w:numPr>
          <w:ilvl w:val="1"/>
          <w:numId w:val="10"/>
        </w:numPr>
        <w:spacing w:line="276" w:lineRule="auto"/>
        <w:jc w:val="both"/>
        <w:rPr>
          <w:rStyle w:val="Hyperlink"/>
          <w:rFonts w:cs="Times New Roman"/>
          <w:iCs/>
          <w:color w:val="auto"/>
          <w:sz w:val="24"/>
          <w:szCs w:val="24"/>
          <w:lang w:val="vi-VN"/>
        </w:rPr>
      </w:pPr>
      <w:bookmarkStart w:id="16" w:name="_Toc157241257"/>
      <w:r>
        <w:rPr>
          <w:rStyle w:val="Hyperlink"/>
          <w:rFonts w:cs="Times New Roman"/>
          <w:iCs/>
          <w:color w:val="auto"/>
          <w:sz w:val="24"/>
          <w:szCs w:val="24"/>
          <w:lang w:val="vi-VN"/>
        </w:rPr>
        <w:t>Comparision between</w:t>
      </w:r>
      <w:r>
        <w:rPr>
          <w:rStyle w:val="Hyperlink"/>
          <w:rFonts w:cs="Times New Roman"/>
          <w:iCs/>
          <w:color w:val="auto"/>
          <w:sz w:val="24"/>
          <w:szCs w:val="24"/>
        </w:rPr>
        <w:t xml:space="preserve"> Viet</w:t>
      </w:r>
      <w:r>
        <w:rPr>
          <w:rStyle w:val="Hyperlink"/>
          <w:rFonts w:cs="Times New Roman"/>
          <w:iCs/>
          <w:color w:val="auto"/>
          <w:sz w:val="24"/>
          <w:szCs w:val="24"/>
          <w:lang w:val="vi-VN"/>
        </w:rPr>
        <w:t xml:space="preserve"> Nam and Lao.</w:t>
      </w:r>
      <w:bookmarkEnd w:id="16"/>
      <w:r>
        <w:rPr>
          <w:rStyle w:val="Hyperlink"/>
          <w:rFonts w:cs="Times New Roman"/>
          <w:iCs/>
          <w:color w:val="auto"/>
          <w:sz w:val="24"/>
          <w:szCs w:val="24"/>
          <w:lang w:val="vi-VN"/>
        </w:rPr>
        <w:t xml:space="preserve"> </w:t>
      </w:r>
    </w:p>
    <w:p w14:paraId="464F6489" w14:textId="77777777" w:rsidR="0043610E" w:rsidRPr="0043610E" w:rsidRDefault="0043610E" w:rsidP="002035DB">
      <w:pPr>
        <w:spacing w:line="276" w:lineRule="auto"/>
        <w:ind w:left="360"/>
        <w:rPr>
          <w:lang w:val="vi-VN"/>
        </w:rPr>
      </w:pPr>
    </w:p>
    <w:p w14:paraId="62804ED1" w14:textId="50066D94" w:rsidR="0043610E" w:rsidRDefault="00E01DF4" w:rsidP="002035DB">
      <w:pPr>
        <w:spacing w:line="276" w:lineRule="auto"/>
        <w:jc w:val="both"/>
        <w:rPr>
          <w:lang w:val="vi-VN"/>
        </w:rPr>
        <w:sectPr w:rsidR="0043610E" w:rsidSect="00146B15">
          <w:type w:val="continuous"/>
          <w:pgSz w:w="11906" w:h="16838"/>
          <w:pgMar w:top="1440" w:right="1440" w:bottom="1440" w:left="1440" w:header="709" w:footer="709" w:gutter="0"/>
          <w:cols w:space="567"/>
          <w:docGrid w:linePitch="360"/>
        </w:sectPr>
      </w:pPr>
      <w:r>
        <w:t>A</w:t>
      </w:r>
      <w:r>
        <w:t>ccording to the provided figures, Vietnam's mean net inflow (</w:t>
      </w:r>
      <w:proofErr w:type="spellStart"/>
      <w:r>
        <w:t>BoP</w:t>
      </w:r>
      <w:proofErr w:type="spellEnd"/>
      <w:r>
        <w:t xml:space="preserve">) of </w:t>
      </w:r>
      <w:r>
        <w:t>FDI is 6,001,688,737, while Laos stands at 368,683,973.1. This indicates that Vietnam's FDI inflow is significantly larger than Laos, with a difference of approximately 16 times. Similarly, when considering the median net inflow, Vietnam's figure of 2,395,000,000 is approximately 15 times larger than Laos' 159,800,000. These statistics demonstrate Vietnam's substantial advantage in terms of FDI inflows compared to Laos, both in terms of the mean and median values</w:t>
      </w:r>
    </w:p>
    <w:p w14:paraId="6F5C80B7" w14:textId="77777777" w:rsidR="00870EC9" w:rsidRDefault="00870EC9" w:rsidP="002035DB">
      <w:pPr>
        <w:spacing w:line="276" w:lineRule="auto"/>
        <w:jc w:val="both"/>
      </w:pPr>
    </w:p>
    <w:tbl>
      <w:tblPr>
        <w:tblStyle w:val="GridTable5Dark-Accent4"/>
        <w:tblW w:w="4041" w:type="dxa"/>
        <w:tblLook w:val="04A0" w:firstRow="1" w:lastRow="0" w:firstColumn="1" w:lastColumn="0" w:noHBand="0" w:noVBand="1"/>
      </w:tblPr>
      <w:tblGrid>
        <w:gridCol w:w="1315"/>
        <w:gridCol w:w="1371"/>
        <w:gridCol w:w="1371"/>
      </w:tblGrid>
      <w:tr w:rsidR="00870EC9" w14:paraId="60C4548C" w14:textId="77777777" w:rsidTr="0043610E">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15" w:type="dxa"/>
            <w:noWrap/>
          </w:tcPr>
          <w:p w14:paraId="4AC2CFAF" w14:textId="77777777" w:rsidR="00870EC9" w:rsidRPr="0043610E" w:rsidRDefault="00870EC9" w:rsidP="002035DB">
            <w:pPr>
              <w:spacing w:line="276" w:lineRule="auto"/>
              <w:jc w:val="both"/>
              <w:rPr>
                <w:sz w:val="22"/>
                <w:szCs w:val="22"/>
                <w:lang w:eastAsia="en-US"/>
              </w:rPr>
            </w:pPr>
          </w:p>
        </w:tc>
        <w:tc>
          <w:tcPr>
            <w:tcW w:w="1363" w:type="dxa"/>
            <w:noWrap/>
          </w:tcPr>
          <w:p w14:paraId="2EA6594C" w14:textId="77777777" w:rsidR="00870EC9" w:rsidRPr="0043610E"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43610E">
              <w:rPr>
                <w:sz w:val="22"/>
                <w:szCs w:val="22"/>
              </w:rPr>
              <w:t>Lao</w:t>
            </w:r>
          </w:p>
        </w:tc>
        <w:tc>
          <w:tcPr>
            <w:tcW w:w="1363" w:type="dxa"/>
            <w:noWrap/>
          </w:tcPr>
          <w:p w14:paraId="3EBC8197" w14:textId="77777777" w:rsidR="00870EC9" w:rsidRPr="0043610E" w:rsidRDefault="00E01DF4" w:rsidP="002035DB">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43610E">
              <w:rPr>
                <w:sz w:val="22"/>
                <w:szCs w:val="22"/>
              </w:rPr>
              <w:t>Vietnam</w:t>
            </w:r>
          </w:p>
        </w:tc>
      </w:tr>
      <w:tr w:rsidR="00870EC9" w14:paraId="08C52F86" w14:textId="77777777" w:rsidTr="0043610E">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315" w:type="dxa"/>
            <w:noWrap/>
          </w:tcPr>
          <w:p w14:paraId="66EC5EC4" w14:textId="77777777" w:rsidR="00870EC9" w:rsidRPr="0043610E" w:rsidRDefault="00E01DF4" w:rsidP="002035DB">
            <w:pPr>
              <w:spacing w:line="276" w:lineRule="auto"/>
              <w:jc w:val="both"/>
              <w:rPr>
                <w:b w:val="0"/>
                <w:bCs w:val="0"/>
                <w:sz w:val="22"/>
                <w:szCs w:val="22"/>
              </w:rPr>
            </w:pPr>
            <w:r w:rsidRPr="0043610E">
              <w:rPr>
                <w:sz w:val="22"/>
                <w:szCs w:val="22"/>
              </w:rPr>
              <w:t xml:space="preserve">Mean </w:t>
            </w:r>
          </w:p>
        </w:tc>
        <w:tc>
          <w:tcPr>
            <w:tcW w:w="1363" w:type="dxa"/>
            <w:noWrap/>
          </w:tcPr>
          <w:p w14:paraId="14FC723A" w14:textId="77777777" w:rsidR="00870EC9" w:rsidRPr="0043610E" w:rsidRDefault="00E01DF4" w:rsidP="002035DB">
            <w:pPr>
              <w:spacing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3610E">
              <w:rPr>
                <w:sz w:val="22"/>
                <w:szCs w:val="22"/>
              </w:rPr>
              <w:t>390846638.2</w:t>
            </w:r>
          </w:p>
        </w:tc>
        <w:tc>
          <w:tcPr>
            <w:tcW w:w="1363" w:type="dxa"/>
            <w:noWrap/>
          </w:tcPr>
          <w:p w14:paraId="33B6D990" w14:textId="77777777" w:rsidR="00870EC9" w:rsidRPr="0043610E" w:rsidRDefault="00E01DF4" w:rsidP="002035DB">
            <w:pPr>
              <w:spacing w:line="276"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3610E">
              <w:rPr>
                <w:sz w:val="22"/>
                <w:szCs w:val="22"/>
              </w:rPr>
              <w:t>73.45971875</w:t>
            </w:r>
          </w:p>
        </w:tc>
      </w:tr>
      <w:tr w:rsidR="00870EC9" w14:paraId="7F2867DB" w14:textId="77777777" w:rsidTr="0043610E">
        <w:trPr>
          <w:trHeight w:val="392"/>
        </w:trPr>
        <w:tc>
          <w:tcPr>
            <w:cnfStyle w:val="001000000000" w:firstRow="0" w:lastRow="0" w:firstColumn="1" w:lastColumn="0" w:oddVBand="0" w:evenVBand="0" w:oddHBand="0" w:evenHBand="0" w:firstRowFirstColumn="0" w:firstRowLastColumn="0" w:lastRowFirstColumn="0" w:lastRowLastColumn="0"/>
            <w:tcW w:w="1315" w:type="dxa"/>
            <w:noWrap/>
          </w:tcPr>
          <w:p w14:paraId="0FBCE2BA" w14:textId="77777777" w:rsidR="00870EC9" w:rsidRPr="0043610E" w:rsidRDefault="00E01DF4" w:rsidP="002035DB">
            <w:pPr>
              <w:spacing w:line="276" w:lineRule="auto"/>
              <w:jc w:val="both"/>
              <w:rPr>
                <w:b w:val="0"/>
                <w:bCs w:val="0"/>
                <w:sz w:val="22"/>
                <w:szCs w:val="22"/>
              </w:rPr>
            </w:pPr>
            <w:r w:rsidRPr="0043610E">
              <w:rPr>
                <w:sz w:val="22"/>
                <w:szCs w:val="22"/>
              </w:rPr>
              <w:t>Median</w:t>
            </w:r>
          </w:p>
        </w:tc>
        <w:tc>
          <w:tcPr>
            <w:tcW w:w="1363" w:type="dxa"/>
            <w:noWrap/>
          </w:tcPr>
          <w:p w14:paraId="5C52B224" w14:textId="77777777" w:rsidR="00870EC9" w:rsidRPr="0043610E"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3610E">
              <w:rPr>
                <w:sz w:val="22"/>
                <w:szCs w:val="22"/>
              </w:rPr>
              <w:t>4.031491814</w:t>
            </w:r>
          </w:p>
        </w:tc>
        <w:tc>
          <w:tcPr>
            <w:tcW w:w="1363" w:type="dxa"/>
            <w:noWrap/>
          </w:tcPr>
          <w:p w14:paraId="6B88EE3C" w14:textId="77777777" w:rsidR="00870EC9" w:rsidRPr="0043610E" w:rsidRDefault="00E01DF4" w:rsidP="002035DB">
            <w:pPr>
              <w:spacing w:line="276"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3610E">
              <w:rPr>
                <w:sz w:val="22"/>
                <w:szCs w:val="22"/>
              </w:rPr>
              <w:t>2395000000</w:t>
            </w:r>
          </w:p>
        </w:tc>
      </w:tr>
    </w:tbl>
    <w:p w14:paraId="4C254AB2" w14:textId="6E02F45C" w:rsidR="00870EC9" w:rsidRDefault="00E01DF4" w:rsidP="002035DB">
      <w:pPr>
        <w:spacing w:line="276" w:lineRule="auto"/>
        <w:jc w:val="both"/>
        <w:rPr>
          <w:i/>
          <w:iCs/>
          <w:lang w:val="vi-VN"/>
        </w:rPr>
      </w:pPr>
      <w:r w:rsidRPr="0043610E">
        <w:rPr>
          <w:i/>
          <w:iCs/>
        </w:rPr>
        <w:t>Table</w:t>
      </w:r>
      <w:r w:rsidR="0043610E" w:rsidRPr="0043610E">
        <w:rPr>
          <w:i/>
          <w:iCs/>
        </w:rPr>
        <w:t>4</w:t>
      </w:r>
      <w:r w:rsidR="00BA1379">
        <w:rPr>
          <w:i/>
          <w:iCs/>
          <w:u w:val="single"/>
          <w:lang w:val="vi-VN"/>
        </w:rPr>
        <w:t>:</w:t>
      </w:r>
      <w:r>
        <w:rPr>
          <w:i/>
          <w:iCs/>
          <w:lang w:val="vi-VN"/>
        </w:rPr>
        <w:t xml:space="preserve"> Mean and Median Lao &amp;</w:t>
      </w:r>
      <w:r w:rsidR="00EF6836">
        <w:rPr>
          <w:i/>
          <w:iCs/>
        </w:rPr>
        <w:t xml:space="preserve"> </w:t>
      </w:r>
      <w:r>
        <w:rPr>
          <w:i/>
          <w:iCs/>
          <w:lang w:val="vi-VN"/>
        </w:rPr>
        <w:t>VN’s FDI.</w:t>
      </w:r>
    </w:p>
    <w:p w14:paraId="4DAF7E88" w14:textId="77777777" w:rsidR="00870EC9" w:rsidRDefault="00870EC9" w:rsidP="002035DB">
      <w:pPr>
        <w:spacing w:line="276" w:lineRule="auto"/>
        <w:jc w:val="both"/>
        <w:rPr>
          <w:lang w:val="vi-VN"/>
        </w:rPr>
      </w:pPr>
    </w:p>
    <w:p w14:paraId="60960883" w14:textId="0979E60F" w:rsidR="00870EC9" w:rsidRPr="00EF6836" w:rsidRDefault="00E01DF4" w:rsidP="002035DB">
      <w:pPr>
        <w:spacing w:line="276" w:lineRule="auto"/>
        <w:sectPr w:rsidR="00870EC9" w:rsidRPr="00EF6836" w:rsidSect="00146B15">
          <w:type w:val="continuous"/>
          <w:pgSz w:w="11906" w:h="16838"/>
          <w:pgMar w:top="1440" w:right="1440" w:bottom="1440" w:left="1440" w:header="709" w:footer="709" w:gutter="0"/>
          <w:cols w:num="2" w:space="567"/>
          <w:docGrid w:linePitch="360"/>
        </w:sectPr>
      </w:pPr>
      <w:r>
        <w:rPr>
          <w:noProof/>
        </w:rPr>
        <w:drawing>
          <wp:inline distT="0" distB="0" distL="0" distR="0" wp14:anchorId="1AD0E81A" wp14:editId="05D439E4">
            <wp:extent cx="2712720" cy="842645"/>
            <wp:effectExtent l="0" t="0" r="5080" b="0"/>
            <wp:docPr id="1287073247"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3247" name="Picture 4" descr="A screenshot of a calculato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43077" cy="883225"/>
                    </a:xfrm>
                    <a:prstGeom prst="rect">
                      <a:avLst/>
                    </a:prstGeom>
                    <a:noFill/>
                    <a:ln>
                      <a:noFill/>
                    </a:ln>
                  </pic:spPr>
                </pic:pic>
              </a:graphicData>
            </a:graphic>
          </wp:inline>
        </w:drawing>
      </w:r>
      <w:r w:rsidRPr="0043610E">
        <w:rPr>
          <w:i/>
          <w:iCs/>
          <w:lang w:val="vi-VN"/>
        </w:rPr>
        <w:t xml:space="preserve">Table </w:t>
      </w:r>
      <w:r w:rsidR="0043610E" w:rsidRPr="0043610E">
        <w:rPr>
          <w:i/>
          <w:iCs/>
        </w:rPr>
        <w:t>5</w:t>
      </w:r>
      <w:r w:rsidRPr="0043610E">
        <w:rPr>
          <w:i/>
          <w:iCs/>
          <w:lang w:val="vi-VN"/>
        </w:rPr>
        <w:t>:</w:t>
      </w:r>
      <w:r w:rsidRPr="0043610E">
        <w:rPr>
          <w:lang w:val="vi-VN"/>
        </w:rPr>
        <w:t xml:space="preserve"> </w:t>
      </w:r>
      <w:r w:rsidR="00EF6836">
        <w:t>Influenced f</w:t>
      </w:r>
      <w:r w:rsidRPr="0043610E">
        <w:rPr>
          <w:lang w:val="vi-VN"/>
        </w:rPr>
        <w:t>actor</w:t>
      </w:r>
      <w:r w:rsidR="00EF6836">
        <w:t xml:space="preserve">s </w:t>
      </w:r>
      <w:r w:rsidRPr="0043610E">
        <w:rPr>
          <w:lang w:val="vi-VN"/>
        </w:rPr>
        <w:t>in both contri</w:t>
      </w:r>
      <w:r w:rsidR="006509B1">
        <w:rPr>
          <w:lang w:val="vi-VN"/>
        </w:rPr>
        <w:t>es</w:t>
      </w:r>
    </w:p>
    <w:p w14:paraId="76D17303" w14:textId="77777777" w:rsidR="00870EC9" w:rsidRDefault="00870EC9" w:rsidP="002035DB">
      <w:pPr>
        <w:spacing w:line="276" w:lineRule="auto"/>
        <w:jc w:val="both"/>
        <w:rPr>
          <w:i/>
          <w:iCs/>
          <w:lang w:val="vi-VN"/>
        </w:rPr>
      </w:pPr>
    </w:p>
    <w:p w14:paraId="5C3629BB" w14:textId="77777777" w:rsidR="00870EC9" w:rsidRDefault="00E01DF4" w:rsidP="002035DB">
      <w:pPr>
        <w:spacing w:line="276" w:lineRule="auto"/>
        <w:jc w:val="both"/>
      </w:pPr>
      <w:r>
        <w:rPr>
          <w:noProof/>
        </w:rPr>
        <w:lastRenderedPageBreak/>
        <w:drawing>
          <wp:inline distT="0" distB="0" distL="0" distR="0" wp14:anchorId="5B64DDD9" wp14:editId="0118AAA4">
            <wp:extent cx="5756275" cy="2512695"/>
            <wp:effectExtent l="0" t="0" r="0" b="1905"/>
            <wp:docPr id="1744254972"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4972" name="Picture 2" descr="A graph with a line going up&#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032404" cy="2633229"/>
                    </a:xfrm>
                    <a:prstGeom prst="rect">
                      <a:avLst/>
                    </a:prstGeom>
                    <a:noFill/>
                    <a:ln>
                      <a:noFill/>
                    </a:ln>
                  </pic:spPr>
                </pic:pic>
              </a:graphicData>
            </a:graphic>
          </wp:inline>
        </w:drawing>
      </w:r>
    </w:p>
    <w:p w14:paraId="497C8829" w14:textId="33EEB135" w:rsidR="0004448B" w:rsidRPr="0004448B" w:rsidRDefault="00E01DF4" w:rsidP="002035DB">
      <w:pPr>
        <w:spacing w:line="276" w:lineRule="auto"/>
        <w:jc w:val="both"/>
        <w:rPr>
          <w:color w:val="2F5496" w:themeColor="accent1" w:themeShade="BF"/>
        </w:rPr>
      </w:pPr>
      <w:r w:rsidRPr="0004448B">
        <w:rPr>
          <w:i/>
          <w:iCs/>
          <w:color w:val="2F5496" w:themeColor="accent1" w:themeShade="BF"/>
        </w:rPr>
        <w:t>Figure</w:t>
      </w:r>
      <w:r w:rsidRPr="0004448B">
        <w:rPr>
          <w:i/>
          <w:iCs/>
          <w:color w:val="2F5496" w:themeColor="accent1" w:themeShade="BF"/>
          <w:lang w:val="vi-VN"/>
        </w:rPr>
        <w:t xml:space="preserve"> </w:t>
      </w:r>
      <w:r w:rsidR="00BA1379" w:rsidRPr="0004448B">
        <w:rPr>
          <w:i/>
          <w:iCs/>
          <w:color w:val="2F5496" w:themeColor="accent1" w:themeShade="BF"/>
          <w:lang w:val="vi-VN"/>
        </w:rPr>
        <w:t>8</w:t>
      </w:r>
      <w:r w:rsidRPr="0004448B">
        <w:rPr>
          <w:i/>
          <w:iCs/>
          <w:color w:val="2F5496" w:themeColor="accent1" w:themeShade="BF"/>
          <w:lang w:val="vi-VN"/>
        </w:rPr>
        <w:t>: FDI, net inflows (%</w:t>
      </w:r>
      <w:r w:rsidR="00EF6836" w:rsidRPr="0004448B">
        <w:rPr>
          <w:i/>
          <w:iCs/>
          <w:color w:val="2F5496" w:themeColor="accent1" w:themeShade="BF"/>
        </w:rPr>
        <w:t xml:space="preserve"> </w:t>
      </w:r>
      <w:r w:rsidRPr="0004448B">
        <w:rPr>
          <w:i/>
          <w:iCs/>
          <w:color w:val="2F5496" w:themeColor="accent1" w:themeShade="BF"/>
          <w:lang w:val="vi-VN"/>
        </w:rPr>
        <w:t>GDP) from 1988 to 2022</w:t>
      </w:r>
    </w:p>
    <w:p w14:paraId="78142661" w14:textId="2415AB1E" w:rsidR="00870EC9" w:rsidRPr="0004448B" w:rsidRDefault="0004448B" w:rsidP="002035DB">
      <w:pPr>
        <w:spacing w:line="276" w:lineRule="auto"/>
        <w:jc w:val="both"/>
      </w:pPr>
      <w:r>
        <w:t>It</w:t>
      </w:r>
      <w:r w:rsidR="00E01DF4">
        <w:t xml:space="preserve"> is worth noting that the net inflow of FDI as a percentage of GDP in Vietnam has historically been greater than in Laos. Vietnam's reliance on FDI as a driving force for its economy differs from Laos, which may rely more on other factors such as domestic market conditions, political stability, and labor factors to attract investment.</w:t>
      </w:r>
    </w:p>
    <w:p w14:paraId="62B2464D" w14:textId="6C3FE12B" w:rsidR="006509B1" w:rsidRDefault="00E01DF4" w:rsidP="002035DB">
      <w:pPr>
        <w:spacing w:line="276" w:lineRule="auto"/>
        <w:jc w:val="both"/>
      </w:pPr>
      <w:r>
        <w:t>On the side of policy stability and government control, Laos has such a higher rank</w:t>
      </w:r>
      <w:r>
        <w:rPr>
          <w:lang w:val="vi-VN"/>
        </w:rPr>
        <w:t xml:space="preserve">. </w:t>
      </w:r>
      <w:r>
        <w:t>However, as in the data, Laos' FDI is less than Vietnam's and it can be due to some popular factors. Firstly, because its total population is less than 0,076 times that of Vietnam</w:t>
      </w:r>
      <w:r w:rsidR="0004448B">
        <w:rPr>
          <w:lang w:val="vi-VN"/>
        </w:rPr>
        <w:t>.</w:t>
      </w:r>
      <w:r>
        <w:t xml:space="preserve"> Similarly, the population age range of 15–64 in Laos is just as 0,073 as in Vietnam. In specific, Vietnam's labor force is constantly growing along with the increase in population. As of 2018, this energy is 55 million people, using about 60% of the population. On average each year, about 500 - 700 people increase their working energy.</w:t>
      </w:r>
      <w:r>
        <w:rPr>
          <w:lang w:val="vi-VN"/>
        </w:rPr>
        <w:t xml:space="preserve"> </w:t>
      </w:r>
      <w:r>
        <w:t xml:space="preserve">Along with economic development, more and more jobs are created, and the employment rate is maintained at a high level. Also, </w:t>
      </w:r>
      <w:r w:rsidR="0004448B">
        <w:rPr>
          <w:lang w:val="vi-VN"/>
        </w:rPr>
        <w:t>l</w:t>
      </w:r>
      <w:proofErr w:type="spellStart"/>
      <w:r>
        <w:t>abor</w:t>
      </w:r>
      <w:proofErr w:type="spellEnd"/>
      <w:r>
        <w:t xml:space="preserve"> force participation rate and human capital development are also in the same scenario. </w:t>
      </w:r>
    </w:p>
    <w:p w14:paraId="00B58969" w14:textId="2ED62554" w:rsidR="00870EC9" w:rsidRDefault="00E01DF4" w:rsidP="002035DB">
      <w:pPr>
        <w:pStyle w:val="Heading2"/>
        <w:numPr>
          <w:ilvl w:val="1"/>
          <w:numId w:val="10"/>
        </w:numPr>
        <w:spacing w:line="276" w:lineRule="auto"/>
        <w:jc w:val="both"/>
        <w:rPr>
          <w:rStyle w:val="Hyperlink"/>
          <w:rFonts w:cs="Times New Roman"/>
          <w:iCs/>
          <w:color w:val="auto"/>
          <w:sz w:val="24"/>
          <w:szCs w:val="24"/>
          <w:lang w:val="vi-VN"/>
        </w:rPr>
      </w:pPr>
      <w:bookmarkStart w:id="17" w:name="_Toc157241258"/>
      <w:r>
        <w:rPr>
          <w:rStyle w:val="Hyperlink"/>
          <w:rFonts w:cs="Times New Roman"/>
          <w:iCs/>
          <w:color w:val="auto"/>
          <w:sz w:val="24"/>
          <w:szCs w:val="24"/>
          <w:lang w:val="vi-VN"/>
        </w:rPr>
        <w:t>Comparision between</w:t>
      </w:r>
      <w:r>
        <w:rPr>
          <w:rStyle w:val="Hyperlink"/>
          <w:rFonts w:cs="Times New Roman"/>
          <w:iCs/>
          <w:color w:val="auto"/>
          <w:sz w:val="24"/>
          <w:szCs w:val="24"/>
        </w:rPr>
        <w:t xml:space="preserve"> Viet</w:t>
      </w:r>
      <w:r>
        <w:rPr>
          <w:rStyle w:val="Hyperlink"/>
          <w:rFonts w:cs="Times New Roman"/>
          <w:iCs/>
          <w:color w:val="auto"/>
          <w:sz w:val="24"/>
          <w:szCs w:val="24"/>
          <w:lang w:val="vi-VN"/>
        </w:rPr>
        <w:t xml:space="preserve"> Nam and Thailand.</w:t>
      </w:r>
      <w:bookmarkEnd w:id="17"/>
      <w:r>
        <w:rPr>
          <w:rStyle w:val="Hyperlink"/>
          <w:rFonts w:cs="Times New Roman"/>
          <w:iCs/>
          <w:color w:val="auto"/>
          <w:sz w:val="24"/>
          <w:szCs w:val="24"/>
          <w:lang w:val="vi-VN"/>
        </w:rPr>
        <w:t xml:space="preserve"> </w:t>
      </w:r>
    </w:p>
    <w:p w14:paraId="42C8DD14" w14:textId="77777777" w:rsidR="0004448B" w:rsidRPr="0004448B" w:rsidRDefault="0004448B" w:rsidP="002035DB">
      <w:pPr>
        <w:spacing w:line="276" w:lineRule="auto"/>
        <w:ind w:left="360"/>
        <w:rPr>
          <w:lang w:val="vi-VN"/>
        </w:rPr>
      </w:pPr>
    </w:p>
    <w:p w14:paraId="1E940399" w14:textId="69AE2FB8" w:rsidR="006509B1" w:rsidRDefault="00E01DF4"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A</w:t>
      </w:r>
      <w:r>
        <w:rPr>
          <w:rStyle w:val="Hyperlink"/>
          <w:color w:val="auto"/>
          <w:u w:val="none"/>
          <w:lang w:val="vi-VN"/>
        </w:rPr>
        <w:t>ccording to the data</w:t>
      </w:r>
      <w:r>
        <w:rPr>
          <w:rStyle w:val="Hyperlink"/>
          <w:color w:val="auto"/>
          <w:u w:val="none"/>
          <w:lang w:val="vi-VN"/>
        </w:rPr>
        <w:t>, Vietnam's FDI is higher than Thailand's (Table</w:t>
      </w:r>
      <w:r w:rsidR="006509B1">
        <w:rPr>
          <w:rStyle w:val="Hyperlink"/>
          <w:color w:val="auto"/>
          <w:u w:val="none"/>
          <w:lang w:val="vi-VN"/>
        </w:rPr>
        <w:t xml:space="preserve"> 6</w:t>
      </w:r>
      <w:r>
        <w:rPr>
          <w:rStyle w:val="Hyperlink"/>
          <w:color w:val="auto"/>
          <w:u w:val="none"/>
          <w:lang w:val="vi-VN"/>
        </w:rPr>
        <w:t>) and it can be due to a variety of factors. From 2016, Thailand faced many challenges including the slow recovery of the economy</w:t>
      </w:r>
      <w:r w:rsidR="006509B1">
        <w:rPr>
          <w:rStyle w:val="Hyperlink"/>
          <w:color w:val="auto"/>
          <w:u w:val="none"/>
          <w:lang w:val="vi-VN"/>
        </w:rPr>
        <w:t>:</w:t>
      </w:r>
    </w:p>
    <w:p w14:paraId="54BFA781" w14:textId="2404EFC6" w:rsidR="006509B1" w:rsidRDefault="006509B1"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 t</w:t>
      </w:r>
      <w:r w:rsidR="00E01DF4">
        <w:rPr>
          <w:rStyle w:val="Hyperlink"/>
          <w:color w:val="auto"/>
          <w:u w:val="none"/>
          <w:lang w:val="vi-VN"/>
        </w:rPr>
        <w:t xml:space="preserve">he aviation industry is facing difficulties; </w:t>
      </w:r>
    </w:p>
    <w:p w14:paraId="02A27DCD" w14:textId="77777777" w:rsidR="006509B1" w:rsidRDefault="006509B1"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 xml:space="preserve">- </w:t>
      </w:r>
      <w:r w:rsidR="00E01DF4">
        <w:rPr>
          <w:rStyle w:val="Hyperlink"/>
          <w:color w:val="auto"/>
          <w:u w:val="none"/>
          <w:lang w:val="vi-VN"/>
        </w:rPr>
        <w:t xml:space="preserve">the fishing industry is </w:t>
      </w:r>
      <w:r w:rsidR="00E01DF4">
        <w:rPr>
          <w:rStyle w:val="Hyperlink"/>
          <w:color w:val="auto"/>
          <w:u w:val="none"/>
          <w:lang w:val="vi-VN"/>
        </w:rPr>
        <w:t xml:space="preserve">subject to EU fines for illegal fishing; </w:t>
      </w:r>
    </w:p>
    <w:p w14:paraId="7170427F" w14:textId="77777777" w:rsidR="006509B1" w:rsidRDefault="006509B1"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 g</w:t>
      </w:r>
      <w:r w:rsidR="00E01DF4">
        <w:rPr>
          <w:rStyle w:val="Hyperlink"/>
          <w:color w:val="auto"/>
          <w:u w:val="none"/>
          <w:lang w:val="vi-VN"/>
        </w:rPr>
        <w:t xml:space="preserve">as and oil reserves have declined continuously for a decade; </w:t>
      </w:r>
    </w:p>
    <w:p w14:paraId="0E6495F8" w14:textId="77777777" w:rsidR="006509B1" w:rsidRDefault="006509B1"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 xml:space="preserve">- </w:t>
      </w:r>
      <w:r w:rsidR="00E01DF4">
        <w:rPr>
          <w:rStyle w:val="Hyperlink"/>
          <w:color w:val="auto"/>
          <w:u w:val="none"/>
          <w:lang w:val="vi-VN"/>
        </w:rPr>
        <w:t xml:space="preserve">agricultural output decreased due to drought.  </w:t>
      </w:r>
    </w:p>
    <w:p w14:paraId="24188CB9" w14:textId="77777777" w:rsidR="006509B1" w:rsidRDefault="00E01DF4"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Vietnam's population and structure of society are undergoing transformation, according to the World Bank. Furthermore, the working age (15-64 years old) in Thailand is lower by 0,27 times than in Vietnam and the population growth is expected to be 0,735 in Vietnam and 0</w:t>
      </w:r>
      <w:r w:rsidR="006509B1">
        <w:rPr>
          <w:rStyle w:val="Hyperlink"/>
          <w:color w:val="auto"/>
          <w:u w:val="none"/>
          <w:lang w:val="vi-VN"/>
        </w:rPr>
        <w:t>,</w:t>
      </w:r>
      <w:r>
        <w:rPr>
          <w:rStyle w:val="Hyperlink"/>
          <w:color w:val="auto"/>
          <w:u w:val="none"/>
          <w:lang w:val="vi-VN"/>
        </w:rPr>
        <w:t xml:space="preserve">13 in Thailand. </w:t>
      </w:r>
    </w:p>
    <w:p w14:paraId="06868657" w14:textId="436C12C3" w:rsidR="00870EC9" w:rsidRDefault="00E01DF4" w:rsidP="002035DB">
      <w:pPr>
        <w:pStyle w:val="NormalWeb"/>
        <w:spacing w:before="0" w:beforeAutospacing="0" w:after="0" w:afterAutospacing="0" w:line="276" w:lineRule="auto"/>
        <w:jc w:val="both"/>
        <w:textAlignment w:val="baseline"/>
        <w:rPr>
          <w:rStyle w:val="Hyperlink"/>
          <w:color w:val="auto"/>
          <w:u w:val="none"/>
          <w:lang w:val="vi-VN"/>
        </w:rPr>
      </w:pPr>
      <w:r>
        <w:rPr>
          <w:rStyle w:val="Hyperlink"/>
          <w:color w:val="auto"/>
          <w:u w:val="none"/>
          <w:lang w:val="vi-VN"/>
        </w:rPr>
        <w:t>This is because the maternity policy in Vietnam</w:t>
      </w:r>
      <w:r w:rsidR="006509B1">
        <w:rPr>
          <w:rStyle w:val="Hyperlink"/>
          <w:color w:val="auto"/>
          <w:u w:val="none"/>
          <w:lang w:val="vi-VN"/>
        </w:rPr>
        <w:t>’s 1988</w:t>
      </w:r>
      <w:r>
        <w:rPr>
          <w:rStyle w:val="Hyperlink"/>
          <w:color w:val="auto"/>
          <w:u w:val="none"/>
          <w:lang w:val="vi-VN"/>
        </w:rPr>
        <w:t xml:space="preserve"> supports citizens to have 2 children by providing more days off for maternity leave, allowance, and reduced income tax payment</w:t>
      </w:r>
      <w:r w:rsidR="006509B1">
        <w:rPr>
          <w:rStyle w:val="Hyperlink"/>
          <w:color w:val="auto"/>
          <w:u w:val="none"/>
          <w:lang w:val="vi-VN"/>
        </w:rPr>
        <w:t xml:space="preserve"> (</w:t>
      </w:r>
      <w:r w:rsidR="006509B1" w:rsidRPr="006509B1">
        <w:rPr>
          <w:rStyle w:val="Hyperlink"/>
          <w:i/>
          <w:iCs/>
          <w:color w:val="auto"/>
          <w:u w:val="none"/>
          <w:lang w:val="vi-VN"/>
        </w:rPr>
        <w:t>Panda, R. (2025, June 11). Vietnam abandons Two-Child policy amid demographic challenge – analysis. Eurasia Review</w:t>
      </w:r>
      <w:r w:rsidR="006509B1">
        <w:rPr>
          <w:rStyle w:val="Hyperlink"/>
          <w:color w:val="auto"/>
          <w:u w:val="none"/>
          <w:lang w:val="vi-VN"/>
        </w:rPr>
        <w:t>).</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493"/>
        <w:gridCol w:w="2493"/>
      </w:tblGrid>
      <w:tr w:rsidR="00870EC9" w14:paraId="6D7DA121" w14:textId="77777777" w:rsidTr="00937B17">
        <w:trPr>
          <w:trHeight w:val="152"/>
        </w:trPr>
        <w:tc>
          <w:tcPr>
            <w:tcW w:w="4015" w:type="dxa"/>
            <w:shd w:val="clear" w:color="ED7D31" w:fill="ED7D31"/>
            <w:noWrap/>
            <w:vAlign w:val="bottom"/>
          </w:tcPr>
          <w:p w14:paraId="71DC792A" w14:textId="77777777" w:rsidR="00870EC9" w:rsidRDefault="00E01DF4" w:rsidP="002035DB">
            <w:pPr>
              <w:spacing w:line="276" w:lineRule="auto"/>
              <w:jc w:val="both"/>
              <w:rPr>
                <w:b/>
                <w:bCs/>
                <w:lang w:eastAsia="en-US"/>
              </w:rPr>
            </w:pPr>
            <w:r>
              <w:rPr>
                <w:b/>
                <w:bCs/>
              </w:rPr>
              <w:lastRenderedPageBreak/>
              <w:t>Criteria/Country</w:t>
            </w:r>
          </w:p>
        </w:tc>
        <w:tc>
          <w:tcPr>
            <w:tcW w:w="2493" w:type="dxa"/>
            <w:shd w:val="clear" w:color="ED7D31" w:fill="ED7D31"/>
            <w:noWrap/>
            <w:vAlign w:val="bottom"/>
          </w:tcPr>
          <w:p w14:paraId="32213DFD" w14:textId="77777777" w:rsidR="00870EC9" w:rsidRDefault="00E01DF4" w:rsidP="002035DB">
            <w:pPr>
              <w:spacing w:line="276" w:lineRule="auto"/>
              <w:jc w:val="both"/>
              <w:rPr>
                <w:b/>
                <w:bCs/>
              </w:rPr>
            </w:pPr>
            <w:r>
              <w:rPr>
                <w:b/>
                <w:bCs/>
              </w:rPr>
              <w:t>Thailand</w:t>
            </w:r>
          </w:p>
        </w:tc>
        <w:tc>
          <w:tcPr>
            <w:tcW w:w="2493" w:type="dxa"/>
            <w:shd w:val="clear" w:color="ED7D31" w:fill="ED7D31"/>
            <w:noWrap/>
            <w:vAlign w:val="bottom"/>
          </w:tcPr>
          <w:p w14:paraId="4053E4CF" w14:textId="77777777" w:rsidR="00870EC9" w:rsidRDefault="00E01DF4" w:rsidP="002035DB">
            <w:pPr>
              <w:spacing w:line="276" w:lineRule="auto"/>
              <w:jc w:val="both"/>
              <w:rPr>
                <w:b/>
                <w:bCs/>
              </w:rPr>
            </w:pPr>
            <w:r>
              <w:rPr>
                <w:b/>
                <w:bCs/>
              </w:rPr>
              <w:t>Vietnam</w:t>
            </w:r>
          </w:p>
        </w:tc>
      </w:tr>
      <w:tr w:rsidR="00870EC9" w14:paraId="2B59D890" w14:textId="77777777" w:rsidTr="00937B17">
        <w:trPr>
          <w:trHeight w:val="21"/>
        </w:trPr>
        <w:tc>
          <w:tcPr>
            <w:tcW w:w="4015" w:type="dxa"/>
            <w:shd w:val="clear" w:color="FCE4D6" w:fill="FCE4D6"/>
            <w:noWrap/>
            <w:vAlign w:val="bottom"/>
          </w:tcPr>
          <w:p w14:paraId="079B5738" w14:textId="77777777" w:rsidR="00870EC9" w:rsidRDefault="00E01DF4" w:rsidP="002035DB">
            <w:pPr>
              <w:spacing w:line="276" w:lineRule="auto"/>
              <w:jc w:val="both"/>
            </w:pPr>
            <w:r>
              <w:t>Population, total</w:t>
            </w:r>
          </w:p>
        </w:tc>
        <w:tc>
          <w:tcPr>
            <w:tcW w:w="2493" w:type="dxa"/>
            <w:shd w:val="clear" w:color="FCE4D6" w:fill="FCE4D6"/>
            <w:noWrap/>
            <w:vAlign w:val="bottom"/>
          </w:tcPr>
          <w:p w14:paraId="6D6DA5EE" w14:textId="77777777" w:rsidR="00870EC9" w:rsidRDefault="00E01DF4" w:rsidP="002035DB">
            <w:pPr>
              <w:spacing w:line="276" w:lineRule="auto"/>
              <w:jc w:val="both"/>
            </w:pPr>
            <w:r>
              <w:t>71.697.030</w:t>
            </w:r>
          </w:p>
        </w:tc>
        <w:tc>
          <w:tcPr>
            <w:tcW w:w="2493" w:type="dxa"/>
            <w:shd w:val="clear" w:color="FCE4D6" w:fill="FCE4D6"/>
            <w:noWrap/>
            <w:vAlign w:val="center"/>
          </w:tcPr>
          <w:p w14:paraId="22838A35" w14:textId="77777777" w:rsidR="00870EC9" w:rsidRDefault="00E01DF4" w:rsidP="002035DB">
            <w:pPr>
              <w:spacing w:line="276" w:lineRule="auto"/>
              <w:jc w:val="both"/>
            </w:pPr>
            <w:r>
              <w:t>98.186.856</w:t>
            </w:r>
          </w:p>
        </w:tc>
      </w:tr>
      <w:tr w:rsidR="00870EC9" w14:paraId="09FD0431" w14:textId="77777777" w:rsidTr="00937B17">
        <w:trPr>
          <w:trHeight w:val="152"/>
        </w:trPr>
        <w:tc>
          <w:tcPr>
            <w:tcW w:w="4015" w:type="dxa"/>
            <w:shd w:val="clear" w:color="auto" w:fill="auto"/>
            <w:noWrap/>
            <w:vAlign w:val="bottom"/>
          </w:tcPr>
          <w:p w14:paraId="30D5E6D4" w14:textId="77777777" w:rsidR="00870EC9" w:rsidRDefault="00937B17" w:rsidP="002035DB">
            <w:pPr>
              <w:spacing w:line="276" w:lineRule="auto"/>
              <w:jc w:val="both"/>
            </w:pPr>
            <w:r>
              <w:t>Population ages 15-64, total</w:t>
            </w:r>
          </w:p>
        </w:tc>
        <w:tc>
          <w:tcPr>
            <w:tcW w:w="2493" w:type="dxa"/>
            <w:shd w:val="clear" w:color="auto" w:fill="auto"/>
            <w:noWrap/>
            <w:vAlign w:val="bottom"/>
          </w:tcPr>
          <w:p w14:paraId="190516AE" w14:textId="77777777" w:rsidR="00870EC9" w:rsidRDefault="00E01DF4" w:rsidP="002035DB">
            <w:pPr>
              <w:spacing w:line="276" w:lineRule="auto"/>
              <w:jc w:val="both"/>
            </w:pPr>
            <w:r>
              <w:t>49.663.033</w:t>
            </w:r>
          </w:p>
        </w:tc>
        <w:tc>
          <w:tcPr>
            <w:tcW w:w="2493" w:type="dxa"/>
            <w:shd w:val="clear" w:color="auto" w:fill="auto"/>
            <w:noWrap/>
            <w:vAlign w:val="center"/>
          </w:tcPr>
          <w:p w14:paraId="7343C582" w14:textId="77777777" w:rsidR="00870EC9" w:rsidRDefault="00E01DF4" w:rsidP="002035DB">
            <w:pPr>
              <w:spacing w:line="276" w:lineRule="auto"/>
              <w:jc w:val="both"/>
            </w:pPr>
            <w:r>
              <w:t>67.251.030</w:t>
            </w:r>
          </w:p>
        </w:tc>
      </w:tr>
      <w:tr w:rsidR="00870EC9" w14:paraId="56DB7C1D" w14:textId="77777777" w:rsidTr="00937B17">
        <w:trPr>
          <w:trHeight w:val="152"/>
        </w:trPr>
        <w:tc>
          <w:tcPr>
            <w:tcW w:w="4015" w:type="dxa"/>
            <w:shd w:val="clear" w:color="FCE4D6" w:fill="FCE4D6"/>
            <w:noWrap/>
            <w:vAlign w:val="bottom"/>
          </w:tcPr>
          <w:p w14:paraId="4A9677EF" w14:textId="3102564A" w:rsidR="00870EC9" w:rsidRDefault="00E01DF4" w:rsidP="002035DB">
            <w:pPr>
              <w:spacing w:line="276" w:lineRule="auto"/>
              <w:jc w:val="both"/>
            </w:pPr>
            <w:r>
              <w:t xml:space="preserve">Population growth </w:t>
            </w:r>
            <w:r w:rsidR="00937B17">
              <w:t>(annual</w:t>
            </w:r>
            <w:r>
              <w:t xml:space="preserve"> </w:t>
            </w:r>
            <w:r w:rsidR="006509B1">
              <w:t>%)</w:t>
            </w:r>
          </w:p>
        </w:tc>
        <w:tc>
          <w:tcPr>
            <w:tcW w:w="2493" w:type="dxa"/>
            <w:shd w:val="clear" w:color="FCE4D6" w:fill="FCE4D6"/>
            <w:noWrap/>
            <w:vAlign w:val="bottom"/>
          </w:tcPr>
          <w:p w14:paraId="0983E524" w14:textId="77777777" w:rsidR="00870EC9" w:rsidRDefault="00E01DF4" w:rsidP="002035DB">
            <w:pPr>
              <w:spacing w:line="276" w:lineRule="auto"/>
              <w:jc w:val="both"/>
            </w:pPr>
            <w:r>
              <w:t>0,13</w:t>
            </w:r>
          </w:p>
        </w:tc>
        <w:tc>
          <w:tcPr>
            <w:tcW w:w="2493" w:type="dxa"/>
            <w:shd w:val="clear" w:color="FCE4D6" w:fill="FCE4D6"/>
            <w:noWrap/>
            <w:vAlign w:val="bottom"/>
          </w:tcPr>
          <w:p w14:paraId="23FA5D56" w14:textId="77777777" w:rsidR="00870EC9" w:rsidRDefault="00E01DF4" w:rsidP="002035DB">
            <w:pPr>
              <w:spacing w:line="276" w:lineRule="auto"/>
              <w:jc w:val="both"/>
            </w:pPr>
            <w:r>
              <w:t>0,735</w:t>
            </w:r>
          </w:p>
        </w:tc>
      </w:tr>
      <w:tr w:rsidR="00870EC9" w14:paraId="300F54C4" w14:textId="77777777" w:rsidTr="00937B17">
        <w:trPr>
          <w:trHeight w:val="152"/>
        </w:trPr>
        <w:tc>
          <w:tcPr>
            <w:tcW w:w="4015" w:type="dxa"/>
            <w:shd w:val="clear" w:color="auto" w:fill="auto"/>
            <w:noWrap/>
            <w:vAlign w:val="bottom"/>
          </w:tcPr>
          <w:p w14:paraId="3D355680" w14:textId="5B75A76B" w:rsidR="00870EC9" w:rsidRDefault="00E01DF4" w:rsidP="002035DB">
            <w:pPr>
              <w:spacing w:line="276" w:lineRule="auto"/>
              <w:jc w:val="both"/>
            </w:pPr>
            <w:r>
              <w:t xml:space="preserve">GDP growth </w:t>
            </w:r>
            <w:r w:rsidR="00937B17">
              <w:t>(annual</w:t>
            </w:r>
            <w:r>
              <w:t xml:space="preserve"> </w:t>
            </w:r>
            <w:r w:rsidR="006509B1">
              <w:t>%)</w:t>
            </w:r>
          </w:p>
        </w:tc>
        <w:tc>
          <w:tcPr>
            <w:tcW w:w="2493" w:type="dxa"/>
            <w:shd w:val="clear" w:color="auto" w:fill="auto"/>
            <w:noWrap/>
            <w:vAlign w:val="bottom"/>
          </w:tcPr>
          <w:p w14:paraId="424450E7" w14:textId="77777777" w:rsidR="00870EC9" w:rsidRDefault="00E01DF4" w:rsidP="002035DB">
            <w:pPr>
              <w:spacing w:line="276" w:lineRule="auto"/>
              <w:jc w:val="both"/>
            </w:pPr>
            <w:r>
              <w:t>2,59</w:t>
            </w:r>
          </w:p>
        </w:tc>
        <w:tc>
          <w:tcPr>
            <w:tcW w:w="2493" w:type="dxa"/>
            <w:shd w:val="clear" w:color="auto" w:fill="auto"/>
            <w:noWrap/>
            <w:vAlign w:val="bottom"/>
          </w:tcPr>
          <w:p w14:paraId="51E0970B" w14:textId="77777777" w:rsidR="00870EC9" w:rsidRDefault="00E01DF4" w:rsidP="002035DB">
            <w:pPr>
              <w:spacing w:line="276" w:lineRule="auto"/>
              <w:jc w:val="both"/>
            </w:pPr>
            <w:r>
              <w:t>8,020</w:t>
            </w:r>
          </w:p>
        </w:tc>
      </w:tr>
      <w:tr w:rsidR="00870EC9" w14:paraId="47456C98" w14:textId="77777777" w:rsidTr="00937B17">
        <w:trPr>
          <w:trHeight w:val="152"/>
        </w:trPr>
        <w:tc>
          <w:tcPr>
            <w:tcW w:w="4015" w:type="dxa"/>
            <w:shd w:val="clear" w:color="FCE4D6" w:fill="FCE4D6"/>
            <w:noWrap/>
            <w:vAlign w:val="bottom"/>
          </w:tcPr>
          <w:p w14:paraId="5733BFE3" w14:textId="47E866EC" w:rsidR="00870EC9" w:rsidRDefault="006509B1" w:rsidP="002035DB">
            <w:pPr>
              <w:spacing w:line="276" w:lineRule="auto"/>
              <w:jc w:val="both"/>
            </w:pPr>
            <w:r>
              <w:t>Consume</w:t>
            </w:r>
            <w:r w:rsidR="00E01DF4">
              <w:t xml:space="preserve">r price index </w:t>
            </w:r>
            <w:r w:rsidR="00937B17">
              <w:t>(2010</w:t>
            </w:r>
            <w:r w:rsidR="00E01DF4">
              <w:t xml:space="preserve"> = </w:t>
            </w:r>
            <w:r>
              <w:t>100)</w:t>
            </w:r>
          </w:p>
        </w:tc>
        <w:tc>
          <w:tcPr>
            <w:tcW w:w="2493" w:type="dxa"/>
            <w:shd w:val="clear" w:color="FCE4D6" w:fill="FCE4D6"/>
            <w:noWrap/>
            <w:vAlign w:val="bottom"/>
          </w:tcPr>
          <w:p w14:paraId="77555BC0" w14:textId="77777777" w:rsidR="00870EC9" w:rsidRDefault="00E01DF4" w:rsidP="002035DB">
            <w:pPr>
              <w:spacing w:line="276" w:lineRule="auto"/>
              <w:jc w:val="both"/>
            </w:pPr>
            <w:r>
              <w:t>120,60</w:t>
            </w:r>
          </w:p>
        </w:tc>
        <w:tc>
          <w:tcPr>
            <w:tcW w:w="2493" w:type="dxa"/>
            <w:shd w:val="clear" w:color="FCE4D6" w:fill="FCE4D6"/>
            <w:noWrap/>
            <w:vAlign w:val="bottom"/>
          </w:tcPr>
          <w:p w14:paraId="20ADD15C" w14:textId="77777777" w:rsidR="00870EC9" w:rsidRDefault="00E01DF4" w:rsidP="002035DB">
            <w:pPr>
              <w:spacing w:line="276" w:lineRule="auto"/>
              <w:jc w:val="both"/>
            </w:pPr>
            <w:r>
              <w:t>177,306</w:t>
            </w:r>
          </w:p>
        </w:tc>
      </w:tr>
      <w:tr w:rsidR="00870EC9" w14:paraId="6BF996C1" w14:textId="77777777" w:rsidTr="00937B17">
        <w:trPr>
          <w:trHeight w:val="152"/>
        </w:trPr>
        <w:tc>
          <w:tcPr>
            <w:tcW w:w="4015" w:type="dxa"/>
            <w:shd w:val="clear" w:color="auto" w:fill="auto"/>
            <w:noWrap/>
            <w:vAlign w:val="bottom"/>
          </w:tcPr>
          <w:p w14:paraId="4D63E992" w14:textId="77777777" w:rsidR="00870EC9" w:rsidRDefault="00E01DF4" w:rsidP="002035DB">
            <w:pPr>
              <w:spacing w:line="276" w:lineRule="auto"/>
              <w:jc w:val="both"/>
            </w:pPr>
            <w:r>
              <w:t>Foreign direct investment, net inflows (</w:t>
            </w:r>
            <w:proofErr w:type="spellStart"/>
            <w:r>
              <w:t>BoP</w:t>
            </w:r>
            <w:proofErr w:type="spellEnd"/>
            <w:r>
              <w:t>, current US$)</w:t>
            </w:r>
          </w:p>
        </w:tc>
        <w:tc>
          <w:tcPr>
            <w:tcW w:w="2493" w:type="dxa"/>
            <w:shd w:val="clear" w:color="auto" w:fill="auto"/>
            <w:noWrap/>
            <w:vAlign w:val="bottom"/>
          </w:tcPr>
          <w:p w14:paraId="0D046487" w14:textId="77777777" w:rsidR="00870EC9" w:rsidRDefault="00E01DF4" w:rsidP="002035DB">
            <w:pPr>
              <w:spacing w:line="276" w:lineRule="auto"/>
              <w:jc w:val="both"/>
            </w:pPr>
            <w:r>
              <w:t>17.900.000.000</w:t>
            </w:r>
          </w:p>
        </w:tc>
        <w:tc>
          <w:tcPr>
            <w:tcW w:w="2493" w:type="dxa"/>
            <w:shd w:val="clear" w:color="auto" w:fill="auto"/>
            <w:noWrap/>
            <w:vAlign w:val="bottom"/>
          </w:tcPr>
          <w:p w14:paraId="7C914463" w14:textId="77777777" w:rsidR="00870EC9" w:rsidRDefault="00E01DF4" w:rsidP="002035DB">
            <w:pPr>
              <w:spacing w:line="276" w:lineRule="auto"/>
              <w:jc w:val="both"/>
            </w:pPr>
            <w:r>
              <w:t>10.196.091.866</w:t>
            </w:r>
          </w:p>
        </w:tc>
      </w:tr>
    </w:tbl>
    <w:p w14:paraId="61194FA4" w14:textId="6647F148" w:rsidR="00870EC9" w:rsidRPr="0004448B" w:rsidRDefault="00937B17" w:rsidP="002035DB">
      <w:pPr>
        <w:pStyle w:val="NormalWeb"/>
        <w:spacing w:before="0" w:beforeAutospacing="0" w:after="0" w:afterAutospacing="0" w:line="276" w:lineRule="auto"/>
        <w:jc w:val="both"/>
        <w:textAlignment w:val="baseline"/>
        <w:rPr>
          <w:rStyle w:val="Hyperlink"/>
          <w:i/>
          <w:iCs/>
          <w:color w:val="C45911" w:themeColor="accent2" w:themeShade="BF"/>
          <w:u w:val="none"/>
          <w:lang w:val="vi-VN"/>
        </w:rPr>
      </w:pPr>
      <w:r w:rsidRPr="0004448B">
        <w:rPr>
          <w:rStyle w:val="Hyperlink"/>
          <w:i/>
          <w:iCs/>
          <w:color w:val="C45911" w:themeColor="accent2" w:themeShade="BF"/>
          <w:u w:val="none"/>
          <w:lang w:val="vi-VN"/>
        </w:rPr>
        <w:t xml:space="preserve">Table </w:t>
      </w:r>
      <w:r w:rsidR="0004448B" w:rsidRPr="0004448B">
        <w:rPr>
          <w:rStyle w:val="Hyperlink"/>
          <w:i/>
          <w:iCs/>
          <w:color w:val="C45911" w:themeColor="accent2" w:themeShade="BF"/>
          <w:u w:val="none"/>
          <w:lang w:val="vi-VN"/>
        </w:rPr>
        <w:t>6</w:t>
      </w:r>
      <w:r w:rsidRPr="0004448B">
        <w:rPr>
          <w:rStyle w:val="Hyperlink"/>
          <w:i/>
          <w:iCs/>
          <w:color w:val="C45911" w:themeColor="accent2" w:themeShade="BF"/>
          <w:u w:val="none"/>
          <w:lang w:val="vi-VN"/>
        </w:rPr>
        <w:t>:</w:t>
      </w:r>
      <w:r w:rsidRPr="0004448B">
        <w:rPr>
          <w:i/>
          <w:iCs/>
          <w:color w:val="C45911" w:themeColor="accent2" w:themeShade="BF"/>
          <w:lang w:val="vi-VN"/>
        </w:rPr>
        <w:t xml:space="preserve"> Factor affecting FDI in both contries.</w:t>
      </w:r>
    </w:p>
    <w:p w14:paraId="51FB7FCF" w14:textId="77777777" w:rsidR="006509B1" w:rsidRDefault="006509B1" w:rsidP="002035DB">
      <w:pPr>
        <w:spacing w:line="276" w:lineRule="auto"/>
        <w:jc w:val="both"/>
      </w:pPr>
    </w:p>
    <w:p w14:paraId="63CD7244" w14:textId="4EA9F164" w:rsidR="00870EC9" w:rsidRDefault="00E01DF4" w:rsidP="002035DB">
      <w:pPr>
        <w:spacing w:line="276" w:lineRule="auto"/>
        <w:jc w:val="both"/>
      </w:pPr>
      <w:r>
        <w:t xml:space="preserve">In comparison to Thailand and other Southeast Asian countries, Vietnam is rapidly increasing its competitive advantage through the signing of </w:t>
      </w:r>
      <w:r w:rsidR="006509B1">
        <w:t>many</w:t>
      </w:r>
      <w:r>
        <w:t xml:space="preserve"> free trade agreements (FTAs). Furthermore, as the first Southeast Asian country to sign a trade agreement with the European Union, EVFTA </w:t>
      </w:r>
      <w:r>
        <w:t xml:space="preserve">Vietnam has significantly increased its economic advantages over Thailand and encouraged the relocation of manufacturing and services to Vietnam. The inflation index in both countries is nearly the same (3,86% vs 4,71%) and the stability in politics is a little bit higher for Vietnam as can be seen in two factors: Political Stability and Absence of Violence/Terrorism and Government Effectiveness. </w:t>
      </w:r>
    </w:p>
    <w:p w14:paraId="5BA578E3" w14:textId="77777777" w:rsidR="00870EC9" w:rsidRDefault="00E01DF4" w:rsidP="002035DB">
      <w:pPr>
        <w:spacing w:line="276" w:lineRule="auto"/>
        <w:jc w:val="both"/>
      </w:pPr>
      <w:r>
        <w:rPr>
          <w:noProof/>
          <w14:ligatures w14:val="standardContextual"/>
        </w:rPr>
        <w:drawing>
          <wp:inline distT="0" distB="0" distL="0" distR="0" wp14:anchorId="479FB4B5" wp14:editId="30BE331D">
            <wp:extent cx="5713199" cy="2252980"/>
            <wp:effectExtent l="0" t="0" r="14605" b="7620"/>
            <wp:docPr id="20942796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70AAAC" w14:textId="39C15190" w:rsidR="00870EC9" w:rsidRPr="006509B1" w:rsidRDefault="00E01DF4" w:rsidP="002035DB">
      <w:pPr>
        <w:spacing w:line="276" w:lineRule="auto"/>
        <w:jc w:val="both"/>
        <w:rPr>
          <w:i/>
          <w:iCs/>
          <w:color w:val="C45911" w:themeColor="accent2" w:themeShade="BF"/>
          <w:lang w:val="vi-VN"/>
        </w:rPr>
      </w:pPr>
      <w:r w:rsidRPr="006509B1">
        <w:rPr>
          <w:i/>
          <w:iCs/>
          <w:color w:val="C45911" w:themeColor="accent2" w:themeShade="BF"/>
        </w:rPr>
        <w:t>Figure</w:t>
      </w:r>
      <w:r w:rsidRPr="006509B1">
        <w:rPr>
          <w:i/>
          <w:iCs/>
          <w:color w:val="C45911" w:themeColor="accent2" w:themeShade="BF"/>
          <w:lang w:val="vi-VN"/>
        </w:rPr>
        <w:t xml:space="preserve"> </w:t>
      </w:r>
      <w:r w:rsidR="006509B1" w:rsidRPr="006509B1">
        <w:rPr>
          <w:i/>
          <w:iCs/>
          <w:color w:val="C45911" w:themeColor="accent2" w:themeShade="BF"/>
          <w:lang w:val="vi-VN"/>
        </w:rPr>
        <w:t>9</w:t>
      </w:r>
      <w:r w:rsidRPr="006509B1">
        <w:rPr>
          <w:i/>
          <w:iCs/>
          <w:color w:val="C45911" w:themeColor="accent2" w:themeShade="BF"/>
          <w:lang w:val="vi-VN"/>
        </w:rPr>
        <w:t>:</w:t>
      </w:r>
      <w:r w:rsidRPr="006509B1">
        <w:rPr>
          <w:i/>
          <w:iCs/>
          <w:color w:val="C45911" w:themeColor="accent2" w:themeShade="BF"/>
          <w:lang w:val="vi-VN"/>
        </w:rPr>
        <w:t xml:space="preserve"> Bar chart show the factors affect to FDI Flow in both nations.</w:t>
      </w:r>
    </w:p>
    <w:p w14:paraId="35504627" w14:textId="77777777" w:rsidR="00870EC9" w:rsidRDefault="00E01DF4" w:rsidP="002035DB">
      <w:pPr>
        <w:spacing w:line="276" w:lineRule="auto"/>
        <w:jc w:val="both"/>
      </w:pPr>
      <w:r>
        <w:t xml:space="preserve">Because COVID-19 raised Thailand's social discontent, which had been aggravated by years of internal conflict.  Because the epidemic had a </w:t>
      </w:r>
      <w:r>
        <w:t>significant impact on areas influenced by political instability, such as private sector investment and consumer spending. The success of Vietnam in attracting international investment can be due to an excellent financial management system that encompasses accounting, taxation, and currency regulation.</w:t>
      </w:r>
    </w:p>
    <w:p w14:paraId="63A00C73" w14:textId="77777777" w:rsidR="00870EC9" w:rsidRDefault="00870EC9" w:rsidP="002035DB">
      <w:pPr>
        <w:spacing w:line="276" w:lineRule="auto"/>
        <w:jc w:val="both"/>
      </w:pPr>
    </w:p>
    <w:p w14:paraId="0E0A8028" w14:textId="77777777" w:rsidR="00870EC9" w:rsidRDefault="00E01DF4" w:rsidP="002035DB">
      <w:pPr>
        <w:spacing w:line="276" w:lineRule="auto"/>
        <w:jc w:val="both"/>
      </w:pPr>
      <w:r>
        <w:t>In conclusion, according to the research by Dr. Son pointed out a huge challenge for Vietnam. With an average GDP per capita growth of 7% or more, Vietnam can catch up with average countries in Southeast Asia such as Thailand or Malaysia.</w:t>
      </w:r>
    </w:p>
    <w:p w14:paraId="43E332FB" w14:textId="77777777" w:rsidR="00870EC9" w:rsidRDefault="00870EC9" w:rsidP="002035DB">
      <w:pPr>
        <w:spacing w:line="276" w:lineRule="auto"/>
        <w:jc w:val="both"/>
      </w:pPr>
    </w:p>
    <w:p w14:paraId="7E27A6B7" w14:textId="77777777" w:rsidR="00870EC9" w:rsidRDefault="00870EC9" w:rsidP="002035DB">
      <w:pPr>
        <w:pStyle w:val="ListParagraph"/>
        <w:numPr>
          <w:ilvl w:val="0"/>
          <w:numId w:val="2"/>
        </w:numPr>
        <w:spacing w:line="276" w:lineRule="auto"/>
        <w:jc w:val="both"/>
        <w:rPr>
          <w:rFonts w:ascii="Times New Roman" w:hAnsi="Times New Roman" w:cs="Times New Roman"/>
          <w:b/>
          <w:bCs/>
          <w:u w:val="single"/>
          <w:lang w:val="vi-VN"/>
        </w:rPr>
        <w:sectPr w:rsidR="00870EC9" w:rsidSect="00146B15">
          <w:type w:val="continuous"/>
          <w:pgSz w:w="11906" w:h="16838"/>
          <w:pgMar w:top="1440" w:right="1440" w:bottom="1440" w:left="1440" w:header="709" w:footer="709" w:gutter="0"/>
          <w:cols w:space="567"/>
          <w:docGrid w:linePitch="360"/>
        </w:sectPr>
      </w:pPr>
    </w:p>
    <w:p w14:paraId="5233AB06" w14:textId="77777777" w:rsidR="00870EC9" w:rsidRPr="006509B1" w:rsidRDefault="00E01DF4" w:rsidP="002035DB">
      <w:pPr>
        <w:pStyle w:val="Heading1"/>
        <w:spacing w:line="276" w:lineRule="auto"/>
        <w:jc w:val="both"/>
        <w:rPr>
          <w:rStyle w:val="SubtleReference1"/>
          <w:rFonts w:cs="Times New Roman"/>
          <w:color w:val="auto"/>
          <w:sz w:val="28"/>
          <w:szCs w:val="28"/>
        </w:rPr>
      </w:pPr>
      <w:bookmarkStart w:id="18" w:name="_Toc157241259"/>
      <w:r w:rsidRPr="006509B1">
        <w:rPr>
          <w:rStyle w:val="SubtleReference1"/>
          <w:rFonts w:cs="Times New Roman"/>
          <w:color w:val="auto"/>
          <w:sz w:val="28"/>
          <w:szCs w:val="28"/>
        </w:rPr>
        <w:lastRenderedPageBreak/>
        <w:t>inferential statistic</w:t>
      </w:r>
      <w:bookmarkEnd w:id="18"/>
    </w:p>
    <w:p w14:paraId="2334D847" w14:textId="16C19EFD" w:rsidR="00870EC9" w:rsidRDefault="006509B1" w:rsidP="002035DB">
      <w:pPr>
        <w:pStyle w:val="Heading1"/>
        <w:spacing w:line="276" w:lineRule="auto"/>
        <w:jc w:val="both"/>
        <w:rPr>
          <w:rFonts w:cs="Times New Roman"/>
          <w:color w:val="auto"/>
          <w:szCs w:val="24"/>
          <w:lang w:val="vi-VN"/>
        </w:rPr>
      </w:pPr>
      <w:bookmarkStart w:id="19" w:name="_Toc157241260"/>
      <w:r>
        <w:rPr>
          <w:rFonts w:cs="Times New Roman"/>
          <w:color w:val="auto"/>
          <w:szCs w:val="24"/>
          <w:lang w:val="vi-VN"/>
        </w:rPr>
        <w:t>1.</w:t>
      </w:r>
      <w:r w:rsidR="00E01DF4">
        <w:rPr>
          <w:rFonts w:cs="Times New Roman"/>
          <w:color w:val="auto"/>
          <w:szCs w:val="24"/>
          <w:lang w:val="vi-VN"/>
        </w:rPr>
        <w:t>MULTIPLE REGRESSION</w:t>
      </w:r>
      <w:bookmarkEnd w:id="19"/>
    </w:p>
    <w:p w14:paraId="3D59E021" w14:textId="77777777" w:rsidR="00870EC9" w:rsidRDefault="00E01DF4" w:rsidP="002035DB">
      <w:pPr>
        <w:spacing w:line="276" w:lineRule="auto"/>
        <w:jc w:val="both"/>
      </w:pPr>
      <w:r>
        <w:t xml:space="preserve">The research model has the following form: </w:t>
      </w:r>
    </w:p>
    <w:p w14:paraId="3BF81EA4" w14:textId="32B9B027" w:rsidR="00870EC9" w:rsidRPr="006509B1" w:rsidRDefault="00E01DF4" w:rsidP="002035DB">
      <w:pPr>
        <w:spacing w:line="276" w:lineRule="auto"/>
        <w:jc w:val="both"/>
        <w:rPr>
          <w:b/>
          <w:bCs/>
          <w:i/>
          <w:iCs/>
        </w:rPr>
      </w:pPr>
      <w:r w:rsidRPr="006509B1">
        <w:rPr>
          <w:b/>
          <w:bCs/>
          <w:i/>
          <w:iCs/>
        </w:rPr>
        <w:t xml:space="preserve">Y_FDI </w:t>
      </w:r>
      <w:r w:rsidR="006509B1" w:rsidRPr="006509B1">
        <w:rPr>
          <w:b/>
          <w:bCs/>
          <w:i/>
          <w:iCs/>
        </w:rPr>
        <w:t>= B</w:t>
      </w:r>
      <w:r w:rsidRPr="006509B1">
        <w:rPr>
          <w:b/>
          <w:bCs/>
          <w:i/>
          <w:iCs/>
        </w:rPr>
        <w:t xml:space="preserve">0 + B1*X1_GDP + B2*X2_POP + B3*X3_TRADE + B4*X4_INF + B5*X5_EX + B6*X6_IRI + B7*X7_POL + </w:t>
      </w:r>
      <w:r w:rsidRPr="006509B1">
        <w:rPr>
          <w:b/>
          <w:bCs/>
          <w:i/>
          <w:iCs/>
        </w:rPr>
        <w:t>B8*X8_CORR + B9*X9_TIME + B10*X10_LABOR</w:t>
      </w:r>
    </w:p>
    <w:p w14:paraId="38BC4C73" w14:textId="77777777" w:rsidR="00870EC9" w:rsidRDefault="00E01DF4" w:rsidP="002035DB">
      <w:pPr>
        <w:spacing w:line="276" w:lineRule="auto"/>
        <w:jc w:val="both"/>
      </w:pPr>
      <w:r>
        <w:rPr>
          <w:noProof/>
          <w14:ligatures w14:val="standardContextual"/>
        </w:rPr>
        <w:drawing>
          <wp:inline distT="0" distB="0" distL="0" distR="0" wp14:anchorId="54E46CA7" wp14:editId="5DA1089C">
            <wp:extent cx="5759450" cy="3136265"/>
            <wp:effectExtent l="0" t="0" r="0" b="635"/>
            <wp:docPr id="432528185"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28185" name="Picture 2" descr="A screenshot of a spreadsheet&#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08761" cy="3163658"/>
                    </a:xfrm>
                    <a:prstGeom prst="rect">
                      <a:avLst/>
                    </a:prstGeom>
                  </pic:spPr>
                </pic:pic>
              </a:graphicData>
            </a:graphic>
          </wp:inline>
        </w:drawing>
      </w:r>
    </w:p>
    <w:p w14:paraId="2ACDAD92" w14:textId="53221F3F" w:rsidR="00870EC9" w:rsidRPr="006509B1" w:rsidRDefault="006509B1" w:rsidP="002035DB">
      <w:pPr>
        <w:spacing w:line="276" w:lineRule="auto"/>
        <w:jc w:val="both"/>
        <w:rPr>
          <w:color w:val="C45911" w:themeColor="accent2" w:themeShade="BF"/>
        </w:rPr>
      </w:pPr>
      <w:r w:rsidRPr="006509B1">
        <w:rPr>
          <w:i/>
          <w:iCs/>
          <w:color w:val="C45911" w:themeColor="accent2" w:themeShade="BF"/>
          <w:lang w:val="vi-VN"/>
        </w:rPr>
        <w:t>Table 7</w:t>
      </w:r>
      <w:r w:rsidR="00B719CB" w:rsidRPr="006509B1">
        <w:rPr>
          <w:i/>
          <w:iCs/>
          <w:color w:val="C45911" w:themeColor="accent2" w:themeShade="BF"/>
          <w:lang w:val="vi-VN"/>
        </w:rPr>
        <w:t>:</w:t>
      </w:r>
      <w:r w:rsidR="00E01DF4" w:rsidRPr="006509B1">
        <w:rPr>
          <w:i/>
          <w:iCs/>
          <w:color w:val="C45911" w:themeColor="accent2" w:themeShade="BF"/>
          <w:lang w:val="vi-VN"/>
        </w:rPr>
        <w:t xml:space="preserve"> </w:t>
      </w:r>
      <w:r w:rsidR="00B719CB" w:rsidRPr="006509B1">
        <w:rPr>
          <w:i/>
          <w:iCs/>
          <w:color w:val="C45911" w:themeColor="accent2" w:themeShade="BF"/>
          <w:lang w:val="vi-VN"/>
        </w:rPr>
        <w:t>S</w:t>
      </w:r>
      <w:r w:rsidR="00E01DF4" w:rsidRPr="006509B1">
        <w:rPr>
          <w:i/>
          <w:iCs/>
          <w:color w:val="C45911" w:themeColor="accent2" w:themeShade="BF"/>
          <w:lang w:val="vi-VN"/>
        </w:rPr>
        <w:t>h</w:t>
      </w:r>
      <w:r w:rsidR="00E01DF4" w:rsidRPr="006509B1">
        <w:rPr>
          <w:i/>
          <w:iCs/>
          <w:color w:val="C45911" w:themeColor="accent2" w:themeShade="BF"/>
        </w:rPr>
        <w:t>ow the result of multiple regression.</w:t>
      </w:r>
      <w:r w:rsidR="00E01DF4" w:rsidRPr="006509B1">
        <w:rPr>
          <w:color w:val="C45911" w:themeColor="accent2" w:themeShade="BF"/>
        </w:rPr>
        <w:t xml:space="preserve"> </w:t>
      </w:r>
    </w:p>
    <w:p w14:paraId="2F88930E" w14:textId="77777777" w:rsidR="00870EC9" w:rsidRDefault="00870EC9" w:rsidP="002035DB">
      <w:pPr>
        <w:spacing w:line="276" w:lineRule="auto"/>
        <w:jc w:val="both"/>
        <w:rPr>
          <w:i/>
          <w:iCs/>
        </w:rPr>
        <w:sectPr w:rsidR="00870EC9" w:rsidSect="00146B15">
          <w:pgSz w:w="11906" w:h="16838"/>
          <w:pgMar w:top="1440" w:right="1440" w:bottom="1440" w:left="1440" w:header="709" w:footer="709" w:gutter="0"/>
          <w:cols w:space="567"/>
          <w:docGrid w:linePitch="360"/>
        </w:sectPr>
      </w:pPr>
    </w:p>
    <w:p w14:paraId="257E51D6" w14:textId="77777777" w:rsidR="00870EC9" w:rsidRDefault="00E01DF4" w:rsidP="002035DB">
      <w:pPr>
        <w:pStyle w:val="NormalWeb"/>
        <w:spacing w:before="0" w:beforeAutospacing="0" w:after="0" w:afterAutospacing="0" w:line="276" w:lineRule="auto"/>
        <w:jc w:val="both"/>
      </w:pPr>
      <w:r>
        <w:rPr>
          <w:highlight w:val="yellow"/>
        </w:rPr>
        <w:t>In there:</w:t>
      </w:r>
    </w:p>
    <w:p w14:paraId="7A1638BC"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X1_GDP: GDP per capita, PPP (current international $), representing for </w:t>
      </w:r>
      <w:r>
        <w:rPr>
          <w:rFonts w:ascii="Times New Roman" w:hAnsi="Times New Roman" w:cs="Times New Roman"/>
          <w:i/>
          <w:iCs/>
        </w:rPr>
        <w:t>market growth potential</w:t>
      </w:r>
      <w:r>
        <w:rPr>
          <w:rFonts w:ascii="Times New Roman" w:hAnsi="Times New Roman" w:cs="Times New Roman"/>
        </w:rPr>
        <w:t xml:space="preserve">. </w:t>
      </w:r>
    </w:p>
    <w:p w14:paraId="418B74C4"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X2_POP: Population, total, also representing for </w:t>
      </w:r>
      <w:r>
        <w:rPr>
          <w:rFonts w:ascii="Times New Roman" w:hAnsi="Times New Roman" w:cs="Times New Roman"/>
          <w:i/>
          <w:iCs/>
        </w:rPr>
        <w:t>market potential (market size).</w:t>
      </w:r>
      <w:r>
        <w:rPr>
          <w:rFonts w:ascii="Times New Roman" w:hAnsi="Times New Roman" w:cs="Times New Roman"/>
        </w:rPr>
        <w:t xml:space="preserve"> </w:t>
      </w:r>
    </w:p>
    <w:p w14:paraId="1E0B4F68"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X3_TRADE: Trade (%GDP), representing one factor in macroeconomics - </w:t>
      </w:r>
      <w:r>
        <w:rPr>
          <w:rFonts w:ascii="Times New Roman" w:hAnsi="Times New Roman" w:cs="Times New Roman"/>
          <w:i/>
          <w:iCs/>
        </w:rPr>
        <w:t>the openness of the market.</w:t>
      </w:r>
    </w:p>
    <w:p w14:paraId="32F21835"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X4_INF: Inflation, GDP Deflator, representing one factor in </w:t>
      </w:r>
      <w:r>
        <w:rPr>
          <w:rFonts w:ascii="Times New Roman" w:hAnsi="Times New Roman" w:cs="Times New Roman"/>
          <w:i/>
          <w:iCs/>
        </w:rPr>
        <w:t>macroeconomic stability.</w:t>
      </w:r>
      <w:r>
        <w:rPr>
          <w:rFonts w:ascii="Times New Roman" w:hAnsi="Times New Roman" w:cs="Times New Roman"/>
        </w:rPr>
        <w:t xml:space="preserve"> </w:t>
      </w:r>
    </w:p>
    <w:p w14:paraId="0C97716A"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X5_EX: Official exchange rate (LCU per US$, period average).</w:t>
      </w:r>
    </w:p>
    <w:p w14:paraId="28E69FEA"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X6_RIR: Real interest rate.</w:t>
      </w:r>
    </w:p>
    <w:p w14:paraId="32919486"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X7_POL: Political Stability and Absence of Violence/Terrorism: Percentile Rank.</w:t>
      </w:r>
    </w:p>
    <w:p w14:paraId="15FB9B38"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X8_CORR: Control of Corruption: Estimate, representing </w:t>
      </w:r>
      <w:r>
        <w:rPr>
          <w:rFonts w:ascii="Times New Roman" w:hAnsi="Times New Roman" w:cs="Times New Roman"/>
          <w:i/>
          <w:iCs/>
        </w:rPr>
        <w:t>for political and security</w:t>
      </w:r>
      <w:r>
        <w:rPr>
          <w:rFonts w:ascii="Times New Roman" w:hAnsi="Times New Roman" w:cs="Times New Roman"/>
        </w:rPr>
        <w:t>.</w:t>
      </w:r>
    </w:p>
    <w:p w14:paraId="707E7235" w14:textId="77777777" w:rsidR="00870EC9" w:rsidRDefault="00E01DF4" w:rsidP="002035DB">
      <w:pPr>
        <w:pStyle w:val="ListParagraph"/>
        <w:numPr>
          <w:ilvl w:val="0"/>
          <w:numId w:val="3"/>
        </w:numPr>
        <w:spacing w:line="276" w:lineRule="auto"/>
        <w:jc w:val="both"/>
        <w:rPr>
          <w:rFonts w:ascii="Times New Roman" w:hAnsi="Times New Roman" w:cs="Times New Roman"/>
          <w:i/>
          <w:iCs/>
        </w:rPr>
      </w:pPr>
      <w:r>
        <w:rPr>
          <w:rFonts w:ascii="Times New Roman" w:hAnsi="Times New Roman" w:cs="Times New Roman"/>
        </w:rPr>
        <w:t xml:space="preserve">X9_TIME: Time required to start a business (days), representing for </w:t>
      </w:r>
      <w:r>
        <w:rPr>
          <w:rFonts w:ascii="Times New Roman" w:hAnsi="Times New Roman" w:cs="Times New Roman"/>
          <w:i/>
          <w:iCs/>
        </w:rPr>
        <w:t>structural procedures.</w:t>
      </w:r>
    </w:p>
    <w:p w14:paraId="3DF0444E" w14:textId="77777777" w:rsidR="00870EC9" w:rsidRDefault="00E01DF4" w:rsidP="002035DB">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X10_LABOR: Employment to population ratio, 15+, total (%) (modeled ILO estimate), representing </w:t>
      </w:r>
      <w:r>
        <w:rPr>
          <w:rFonts w:ascii="Times New Roman" w:hAnsi="Times New Roman" w:cs="Times New Roman"/>
          <w:i/>
          <w:iCs/>
        </w:rPr>
        <w:t>for market labor force</w:t>
      </w:r>
      <w:r>
        <w:rPr>
          <w:rFonts w:ascii="Times New Roman" w:hAnsi="Times New Roman" w:cs="Times New Roman"/>
        </w:rPr>
        <w:t xml:space="preserve">. </w:t>
      </w:r>
    </w:p>
    <w:tbl>
      <w:tblPr>
        <w:tblW w:w="5000" w:type="pct"/>
        <w:tblLayout w:type="fixed"/>
        <w:tblLook w:val="04A0" w:firstRow="1" w:lastRow="0" w:firstColumn="1" w:lastColumn="0" w:noHBand="0" w:noVBand="1"/>
      </w:tblPr>
      <w:tblGrid>
        <w:gridCol w:w="1528"/>
        <w:gridCol w:w="2340"/>
        <w:gridCol w:w="2068"/>
        <w:gridCol w:w="1619"/>
        <w:gridCol w:w="1461"/>
      </w:tblGrid>
      <w:tr w:rsidR="00870EC9" w14:paraId="325816F2" w14:textId="77777777" w:rsidTr="00937B17">
        <w:trPr>
          <w:trHeight w:val="380"/>
        </w:trPr>
        <w:tc>
          <w:tcPr>
            <w:tcW w:w="8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793123" w14:textId="77777777" w:rsidR="00870EC9" w:rsidRDefault="00E01DF4" w:rsidP="002035DB">
            <w:pPr>
              <w:spacing w:line="276" w:lineRule="auto"/>
              <w:jc w:val="both"/>
            </w:pPr>
            <w:r>
              <w:t># of observation</w:t>
            </w:r>
          </w:p>
        </w:tc>
        <w:tc>
          <w:tcPr>
            <w:tcW w:w="1297" w:type="pct"/>
            <w:tcBorders>
              <w:top w:val="single" w:sz="4" w:space="0" w:color="auto"/>
              <w:left w:val="nil"/>
              <w:bottom w:val="single" w:sz="4" w:space="0" w:color="auto"/>
              <w:right w:val="single" w:sz="4" w:space="0" w:color="auto"/>
            </w:tcBorders>
            <w:shd w:val="clear" w:color="auto" w:fill="auto"/>
            <w:noWrap/>
            <w:vAlign w:val="bottom"/>
          </w:tcPr>
          <w:p w14:paraId="555EEC85" w14:textId="77777777" w:rsidR="00870EC9" w:rsidRDefault="00E01DF4" w:rsidP="002035DB">
            <w:pPr>
              <w:spacing w:line="276" w:lineRule="auto"/>
              <w:jc w:val="both"/>
            </w:pPr>
            <w:r>
              <w:t>Mean</w:t>
            </w:r>
          </w:p>
        </w:tc>
        <w:tc>
          <w:tcPr>
            <w:tcW w:w="1147" w:type="pct"/>
            <w:tcBorders>
              <w:top w:val="single" w:sz="4" w:space="0" w:color="auto"/>
              <w:left w:val="nil"/>
              <w:bottom w:val="single" w:sz="4" w:space="0" w:color="auto"/>
              <w:right w:val="single" w:sz="4" w:space="0" w:color="auto"/>
            </w:tcBorders>
            <w:shd w:val="clear" w:color="auto" w:fill="auto"/>
            <w:noWrap/>
            <w:vAlign w:val="bottom"/>
          </w:tcPr>
          <w:p w14:paraId="35A49E3B" w14:textId="77777777" w:rsidR="00870EC9" w:rsidRDefault="00E01DF4" w:rsidP="002035DB">
            <w:pPr>
              <w:spacing w:line="276" w:lineRule="auto"/>
              <w:jc w:val="both"/>
            </w:pPr>
            <w:r>
              <w:t>Standard Deviation</w:t>
            </w:r>
          </w:p>
        </w:tc>
        <w:tc>
          <w:tcPr>
            <w:tcW w:w="898" w:type="pct"/>
            <w:tcBorders>
              <w:top w:val="single" w:sz="4" w:space="0" w:color="auto"/>
              <w:left w:val="nil"/>
              <w:bottom w:val="single" w:sz="4" w:space="0" w:color="auto"/>
              <w:right w:val="single" w:sz="4" w:space="0" w:color="auto"/>
            </w:tcBorders>
            <w:shd w:val="clear" w:color="auto" w:fill="auto"/>
            <w:noWrap/>
            <w:vAlign w:val="bottom"/>
          </w:tcPr>
          <w:p w14:paraId="07571734" w14:textId="77777777" w:rsidR="00870EC9" w:rsidRDefault="00E01DF4" w:rsidP="002035DB">
            <w:pPr>
              <w:spacing w:line="276" w:lineRule="auto"/>
              <w:jc w:val="both"/>
            </w:pPr>
            <w:r>
              <w:t>Max</w:t>
            </w:r>
          </w:p>
        </w:tc>
        <w:tc>
          <w:tcPr>
            <w:tcW w:w="810" w:type="pct"/>
            <w:tcBorders>
              <w:top w:val="single" w:sz="4" w:space="0" w:color="auto"/>
              <w:left w:val="nil"/>
              <w:bottom w:val="single" w:sz="4" w:space="0" w:color="auto"/>
              <w:right w:val="single" w:sz="4" w:space="0" w:color="auto"/>
            </w:tcBorders>
            <w:shd w:val="clear" w:color="auto" w:fill="auto"/>
            <w:noWrap/>
            <w:vAlign w:val="bottom"/>
          </w:tcPr>
          <w:p w14:paraId="3321CA3B" w14:textId="77777777" w:rsidR="00870EC9" w:rsidRDefault="00E01DF4" w:rsidP="002035DB">
            <w:pPr>
              <w:spacing w:line="276" w:lineRule="auto"/>
              <w:jc w:val="both"/>
            </w:pPr>
            <w:r>
              <w:t>Min</w:t>
            </w:r>
          </w:p>
        </w:tc>
      </w:tr>
      <w:tr w:rsidR="00870EC9" w14:paraId="006C91A7" w14:textId="77777777" w:rsidTr="00937B17">
        <w:trPr>
          <w:trHeight w:val="380"/>
        </w:trPr>
        <w:tc>
          <w:tcPr>
            <w:tcW w:w="847" w:type="pct"/>
            <w:tcBorders>
              <w:top w:val="nil"/>
              <w:left w:val="single" w:sz="4" w:space="0" w:color="auto"/>
              <w:bottom w:val="single" w:sz="4" w:space="0" w:color="auto"/>
              <w:right w:val="single" w:sz="4" w:space="0" w:color="auto"/>
            </w:tcBorders>
            <w:shd w:val="clear" w:color="auto" w:fill="auto"/>
            <w:noWrap/>
            <w:vAlign w:val="bottom"/>
          </w:tcPr>
          <w:p w14:paraId="78750FC3" w14:textId="77777777" w:rsidR="00870EC9" w:rsidRDefault="00E01DF4" w:rsidP="002035DB">
            <w:pPr>
              <w:spacing w:line="276" w:lineRule="auto"/>
              <w:jc w:val="both"/>
            </w:pPr>
            <w:r>
              <w:t>23</w:t>
            </w:r>
          </w:p>
        </w:tc>
        <w:tc>
          <w:tcPr>
            <w:tcW w:w="1297" w:type="pct"/>
            <w:tcBorders>
              <w:top w:val="nil"/>
              <w:left w:val="nil"/>
              <w:bottom w:val="single" w:sz="4" w:space="0" w:color="auto"/>
              <w:right w:val="single" w:sz="4" w:space="0" w:color="auto"/>
            </w:tcBorders>
            <w:shd w:val="clear" w:color="auto" w:fill="auto"/>
            <w:noWrap/>
            <w:vAlign w:val="bottom"/>
          </w:tcPr>
          <w:p w14:paraId="3DEAA17A" w14:textId="77777777" w:rsidR="00870EC9" w:rsidRDefault="00E01DF4" w:rsidP="002035DB">
            <w:pPr>
              <w:spacing w:line="276" w:lineRule="auto"/>
              <w:jc w:val="both"/>
            </w:pPr>
            <w:r>
              <w:t xml:space="preserve"> $        8.550.826.087 </w:t>
            </w:r>
          </w:p>
        </w:tc>
        <w:tc>
          <w:tcPr>
            <w:tcW w:w="1147" w:type="pct"/>
            <w:tcBorders>
              <w:top w:val="nil"/>
              <w:left w:val="nil"/>
              <w:bottom w:val="single" w:sz="4" w:space="0" w:color="auto"/>
              <w:right w:val="single" w:sz="4" w:space="0" w:color="auto"/>
            </w:tcBorders>
            <w:shd w:val="clear" w:color="auto" w:fill="auto"/>
            <w:noWrap/>
            <w:vAlign w:val="bottom"/>
          </w:tcPr>
          <w:p w14:paraId="6D41A5E7" w14:textId="77777777" w:rsidR="00870EC9" w:rsidRDefault="00E01DF4" w:rsidP="002035DB">
            <w:pPr>
              <w:spacing w:line="276" w:lineRule="auto"/>
              <w:jc w:val="both"/>
            </w:pPr>
            <w:r>
              <w:t xml:space="preserve"> $      5.631.125.631 </w:t>
            </w:r>
          </w:p>
        </w:tc>
        <w:tc>
          <w:tcPr>
            <w:tcW w:w="898" w:type="pct"/>
            <w:tcBorders>
              <w:top w:val="nil"/>
              <w:left w:val="nil"/>
              <w:bottom w:val="single" w:sz="4" w:space="0" w:color="auto"/>
              <w:right w:val="single" w:sz="4" w:space="0" w:color="auto"/>
            </w:tcBorders>
            <w:shd w:val="clear" w:color="auto" w:fill="auto"/>
            <w:noWrap/>
            <w:vAlign w:val="bottom"/>
          </w:tcPr>
          <w:p w14:paraId="0A866DEE" w14:textId="77777777" w:rsidR="00870EC9" w:rsidRDefault="00E01DF4" w:rsidP="002035DB">
            <w:pPr>
              <w:spacing w:line="276" w:lineRule="auto"/>
              <w:jc w:val="both"/>
            </w:pPr>
            <w:r>
              <w:t>17900000000</w:t>
            </w:r>
          </w:p>
        </w:tc>
        <w:tc>
          <w:tcPr>
            <w:tcW w:w="810" w:type="pct"/>
            <w:tcBorders>
              <w:top w:val="nil"/>
              <w:left w:val="nil"/>
              <w:bottom w:val="single" w:sz="4" w:space="0" w:color="auto"/>
              <w:right w:val="single" w:sz="4" w:space="0" w:color="auto"/>
            </w:tcBorders>
            <w:shd w:val="clear" w:color="auto" w:fill="auto"/>
            <w:noWrap/>
            <w:vAlign w:val="bottom"/>
          </w:tcPr>
          <w:p w14:paraId="62340339" w14:textId="77777777" w:rsidR="00870EC9" w:rsidRDefault="00E01DF4" w:rsidP="002035DB">
            <w:pPr>
              <w:spacing w:line="276" w:lineRule="auto"/>
              <w:jc w:val="both"/>
            </w:pPr>
            <w:r>
              <w:t>1298000000</w:t>
            </w:r>
          </w:p>
        </w:tc>
      </w:tr>
    </w:tbl>
    <w:p w14:paraId="601C7561" w14:textId="77777777" w:rsidR="00870EC9" w:rsidRDefault="00870EC9" w:rsidP="002035DB">
      <w:pPr>
        <w:spacing w:line="276" w:lineRule="auto"/>
        <w:jc w:val="both"/>
        <w:rPr>
          <w:lang w:val="vi-VN"/>
        </w:rPr>
      </w:pPr>
    </w:p>
    <w:p w14:paraId="3ECFEF8B" w14:textId="77777777" w:rsidR="00870EC9" w:rsidRDefault="00E01DF4" w:rsidP="002035DB">
      <w:pPr>
        <w:spacing w:line="276" w:lineRule="auto"/>
        <w:jc w:val="both"/>
        <w:rPr>
          <w:lang w:val="vi-VN"/>
        </w:rPr>
      </w:pPr>
      <w:r>
        <w:lastRenderedPageBreak/>
        <w:t xml:space="preserve">In addition, the problem may exist in the model due to some </w:t>
      </w:r>
      <w:r>
        <w:t>incomplete data (some missing from the secondary data in the original sources and unbalanced panel structure from 10 specific countries (Argentina, Saudi Arica, Thailand, Indonesia, Thailand, Malaysia, Philippine, Lao)</w:t>
      </w:r>
      <w:r>
        <w:rPr>
          <w:lang w:val="vi-VN"/>
        </w:rPr>
        <w:t xml:space="preserve"> in the period 2007 to 2022</w:t>
      </w:r>
      <w:r>
        <w:t>. The</w:t>
      </w:r>
      <w:r>
        <w:rPr>
          <w:lang w:val="vi-VN"/>
        </w:rPr>
        <w:t xml:space="preserve"> </w:t>
      </w:r>
      <w:r>
        <w:t>remaining</w:t>
      </w:r>
      <w:r>
        <w:rPr>
          <w:lang w:val="vi-VN"/>
        </w:rPr>
        <w:t xml:space="preserve"> number of observations is 167 obs, </w:t>
      </w:r>
      <w:r>
        <w:t xml:space="preserve">including </w:t>
      </w:r>
      <w:r>
        <w:rPr>
          <w:lang w:val="vi-VN"/>
        </w:rPr>
        <w:t xml:space="preserve">23 observations for Vietnam. </w:t>
      </w:r>
    </w:p>
    <w:p w14:paraId="0B455B65" w14:textId="19AA1CF5" w:rsidR="004E1D81" w:rsidRDefault="00E01DF4" w:rsidP="002035DB">
      <w:pPr>
        <w:pStyle w:val="Heading1"/>
        <w:spacing w:line="276" w:lineRule="auto"/>
        <w:jc w:val="both"/>
        <w:rPr>
          <w:rFonts w:cs="Times New Roman"/>
          <w:color w:val="auto"/>
          <w:szCs w:val="24"/>
          <w:lang w:val="vi-VN"/>
        </w:rPr>
      </w:pPr>
      <w:bookmarkStart w:id="20" w:name="_Toc157241261"/>
      <w:r>
        <w:rPr>
          <w:rFonts w:cs="Times New Roman"/>
          <w:color w:val="auto"/>
          <w:szCs w:val="24"/>
          <w:lang w:val="vi-VN"/>
        </w:rPr>
        <w:t>2.RESEARCH RESULT</w:t>
      </w:r>
      <w:bookmarkEnd w:id="20"/>
    </w:p>
    <w:p w14:paraId="056FA197" w14:textId="17232958" w:rsidR="00720397" w:rsidRDefault="00E01DF4" w:rsidP="002035DB">
      <w:pPr>
        <w:spacing w:line="276" w:lineRule="auto"/>
        <w:jc w:val="both"/>
        <w:rPr>
          <w:lang w:val="vi-VN"/>
        </w:rPr>
      </w:pPr>
      <w:r>
        <w:t>T</w:t>
      </w:r>
      <w:r>
        <w:t xml:space="preserve">his multiple regression model interprets the significance relationship </w:t>
      </w:r>
      <w:r>
        <w:t>between</w:t>
      </w:r>
      <w:r w:rsidR="00720397">
        <w:rPr>
          <w:lang w:val="vi-VN"/>
        </w:rPr>
        <w:t>:</w:t>
      </w:r>
    </w:p>
    <w:p w14:paraId="72E758E3" w14:textId="77777777" w:rsidR="00720397" w:rsidRDefault="00720397" w:rsidP="002035DB">
      <w:pPr>
        <w:spacing w:line="276" w:lineRule="auto"/>
        <w:jc w:val="both"/>
      </w:pPr>
      <w:r>
        <w:rPr>
          <w:lang w:val="vi-VN"/>
        </w:rPr>
        <w:t>- T</w:t>
      </w:r>
      <w:r w:rsidR="00E01DF4">
        <w:t>he dependent variable (</w:t>
      </w:r>
      <w:r w:rsidR="00E01DF4">
        <w:rPr>
          <w:lang w:val="vi-VN"/>
        </w:rPr>
        <w:t>Y_FDI</w:t>
      </w:r>
      <w:r w:rsidR="00E01DF4">
        <w:t>)</w:t>
      </w:r>
    </w:p>
    <w:p w14:paraId="02BFF72F" w14:textId="77777777" w:rsidR="00720397" w:rsidRDefault="00720397" w:rsidP="002035DB">
      <w:pPr>
        <w:spacing w:line="276" w:lineRule="auto"/>
        <w:jc w:val="both"/>
      </w:pPr>
      <w:r>
        <w:rPr>
          <w:lang w:val="vi-VN"/>
        </w:rPr>
        <w:t>- The independent varibale (X2_POP)</w:t>
      </w:r>
      <w:r w:rsidR="00E01DF4">
        <w:t>.</w:t>
      </w:r>
    </w:p>
    <w:p w14:paraId="5198B422" w14:textId="77777777" w:rsidR="00720397" w:rsidRDefault="00E01DF4" w:rsidP="002035DB">
      <w:pPr>
        <w:spacing w:line="276" w:lineRule="auto"/>
        <w:jc w:val="both"/>
        <w:rPr>
          <w:lang w:val="vi-VN"/>
        </w:rPr>
      </w:pPr>
      <w:r>
        <w:t>Overall, the results of the date set model are statistically relevant and consistent with our team estimated research before. At the first glance, based on the table, the intercept (B0) of the formular is negative,</w:t>
      </w:r>
      <w:r w:rsidR="00720397" w:rsidRPr="00720397">
        <w:rPr>
          <w:noProof/>
          <w14:ligatures w14:val="standardContextual"/>
        </w:rPr>
        <w:t xml:space="preserve"> </w:t>
      </w:r>
      <w:r w:rsidRPr="00720397">
        <w:rPr>
          <w:b/>
          <w:bCs/>
          <w:color w:val="C45911" w:themeColor="accent2" w:themeShade="BF"/>
        </w:rPr>
        <w:t>(</w:t>
      </w:r>
      <w:r w:rsidRPr="00720397">
        <w:rPr>
          <w:b/>
          <w:bCs/>
          <w:color w:val="C45911" w:themeColor="accent2" w:themeShade="BF"/>
        </w:rPr>
        <w:sym w:font="Symbol" w:char="F062"/>
      </w:r>
      <w:r w:rsidRPr="00720397">
        <w:rPr>
          <w:b/>
          <w:bCs/>
          <w:color w:val="C45911" w:themeColor="accent2" w:themeShade="BF"/>
        </w:rPr>
        <w:t xml:space="preserve"> </w:t>
      </w:r>
      <w:r w:rsidR="004E1D81" w:rsidRPr="00720397">
        <w:rPr>
          <w:b/>
          <w:bCs/>
          <w:color w:val="C45911" w:themeColor="accent2" w:themeShade="BF"/>
        </w:rPr>
        <w:t>= -</w:t>
      </w:r>
      <w:r w:rsidRPr="00720397">
        <w:rPr>
          <w:b/>
          <w:bCs/>
          <w:color w:val="C45911" w:themeColor="accent2" w:themeShade="BF"/>
        </w:rPr>
        <w:t>11571419114)</w:t>
      </w:r>
      <w:r w:rsidR="00720397" w:rsidRPr="00720397">
        <w:rPr>
          <w:b/>
          <w:bCs/>
          <w:color w:val="C45911" w:themeColor="accent2" w:themeShade="BF"/>
          <w:lang w:val="vi-VN"/>
        </w:rPr>
        <w:t>.</w:t>
      </w:r>
    </w:p>
    <w:p w14:paraId="47998849" w14:textId="66B1E485" w:rsidR="00870EC9" w:rsidRPr="00720397" w:rsidRDefault="00E01DF4" w:rsidP="002035DB">
      <w:pPr>
        <w:spacing w:line="276" w:lineRule="auto"/>
        <w:jc w:val="both"/>
        <w:rPr>
          <w:i/>
          <w:iCs/>
          <w:lang w:val="vi-VN"/>
        </w:rPr>
      </w:pPr>
      <w:r>
        <w:t xml:space="preserve">we possibly conclude that hen all independent variable such as GDP, POP, TRADE... are equal, that is, FDI flows into our country are very low too. </w:t>
      </w:r>
      <w:r w:rsidRPr="00720397">
        <w:rPr>
          <w:i/>
          <w:iCs/>
        </w:rPr>
        <w:t>It is simplified when there are no factors to attract FDI, investors will not see the potential such as the labor market or the consumer market, they will not pour enormous investment into sunk nations.</w:t>
      </w:r>
      <w:r w:rsidRPr="00720397">
        <w:rPr>
          <w:i/>
          <w:iCs/>
        </w:rPr>
        <w:tab/>
      </w:r>
    </w:p>
    <w:p w14:paraId="680E3581" w14:textId="6FA5BFD0" w:rsidR="00870EC9" w:rsidRDefault="00720397" w:rsidP="002035DB">
      <w:pPr>
        <w:spacing w:line="276" w:lineRule="auto"/>
        <w:jc w:val="both"/>
      </w:pPr>
      <w:r>
        <w:rPr>
          <w:noProof/>
          <w14:ligatures w14:val="standardContextual"/>
        </w:rPr>
        <w:drawing>
          <wp:inline distT="0" distB="0" distL="0" distR="0" wp14:anchorId="44BC82C7" wp14:editId="585474B5">
            <wp:extent cx="5713095" cy="2718033"/>
            <wp:effectExtent l="0" t="0" r="14605" b="12700"/>
            <wp:docPr id="12976265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338C01A" w14:textId="02E3A780" w:rsidR="00720397" w:rsidRPr="006509B1" w:rsidRDefault="00720397" w:rsidP="002035DB">
      <w:pPr>
        <w:spacing w:line="276" w:lineRule="auto"/>
        <w:jc w:val="both"/>
        <w:rPr>
          <w:i/>
          <w:iCs/>
          <w:color w:val="C45911" w:themeColor="accent2" w:themeShade="BF"/>
          <w:lang w:val="vi-VN"/>
        </w:rPr>
      </w:pPr>
      <w:r w:rsidRPr="006509B1">
        <w:rPr>
          <w:i/>
          <w:iCs/>
          <w:color w:val="C45911" w:themeColor="accent2" w:themeShade="BF"/>
        </w:rPr>
        <w:t>Figure</w:t>
      </w:r>
      <w:r w:rsidRPr="006509B1">
        <w:rPr>
          <w:i/>
          <w:iCs/>
          <w:color w:val="C45911" w:themeColor="accent2" w:themeShade="BF"/>
          <w:lang w:val="vi-VN"/>
        </w:rPr>
        <w:t xml:space="preserve"> </w:t>
      </w:r>
      <w:r>
        <w:rPr>
          <w:i/>
          <w:iCs/>
          <w:color w:val="C45911" w:themeColor="accent2" w:themeShade="BF"/>
          <w:lang w:val="vi-VN"/>
        </w:rPr>
        <w:t>10</w:t>
      </w:r>
      <w:r w:rsidRPr="006509B1">
        <w:rPr>
          <w:i/>
          <w:iCs/>
          <w:color w:val="C45911" w:themeColor="accent2" w:themeShade="BF"/>
          <w:lang w:val="vi-VN"/>
        </w:rPr>
        <w:t xml:space="preserve">: </w:t>
      </w:r>
      <w:r w:rsidR="002035DB">
        <w:rPr>
          <w:i/>
          <w:iCs/>
          <w:color w:val="C45911" w:themeColor="accent2" w:themeShade="BF"/>
          <w:lang w:val="vi-VN"/>
        </w:rPr>
        <w:t xml:space="preserve">The </w:t>
      </w:r>
      <w:r>
        <w:rPr>
          <w:i/>
          <w:iCs/>
          <w:color w:val="C45911" w:themeColor="accent2" w:themeShade="BF"/>
          <w:lang w:val="vi-VN"/>
        </w:rPr>
        <w:t xml:space="preserve">orrelation between </w:t>
      </w:r>
      <w:r w:rsidRPr="002035DB">
        <w:rPr>
          <w:b/>
          <w:bCs/>
          <w:i/>
          <w:iCs/>
          <w:color w:val="C45911" w:themeColor="accent2" w:themeShade="BF"/>
          <w:lang w:val="vi-VN"/>
        </w:rPr>
        <w:t>Population</w:t>
      </w:r>
      <w:r>
        <w:rPr>
          <w:i/>
          <w:iCs/>
          <w:color w:val="C45911" w:themeColor="accent2" w:themeShade="BF"/>
          <w:lang w:val="vi-VN"/>
        </w:rPr>
        <w:t xml:space="preserve"> and FDI.</w:t>
      </w:r>
    </w:p>
    <w:p w14:paraId="467936D1" w14:textId="77777777" w:rsidR="00720397" w:rsidRDefault="00720397" w:rsidP="002035DB">
      <w:pPr>
        <w:spacing w:line="276" w:lineRule="auto"/>
        <w:jc w:val="both"/>
      </w:pPr>
    </w:p>
    <w:p w14:paraId="04277FAA" w14:textId="77777777" w:rsidR="00870EC9" w:rsidRDefault="00E01DF4" w:rsidP="002035DB">
      <w:pPr>
        <w:pStyle w:val="Heading2"/>
        <w:spacing w:line="276" w:lineRule="auto"/>
        <w:jc w:val="both"/>
        <w:rPr>
          <w:rFonts w:cs="Times New Roman"/>
          <w:sz w:val="24"/>
          <w:szCs w:val="24"/>
        </w:rPr>
      </w:pPr>
      <w:bookmarkStart w:id="21" w:name="_Toc157241262"/>
      <w:r w:rsidRPr="00720397">
        <w:rPr>
          <w:rFonts w:cs="Times New Roman"/>
          <w:sz w:val="24"/>
          <w:szCs w:val="24"/>
          <w:u w:val="single"/>
          <w:lang w:val="vi-VN"/>
        </w:rPr>
        <w:t>2.1 Group of the</w:t>
      </w:r>
      <w:r w:rsidRPr="00720397">
        <w:rPr>
          <w:rFonts w:cs="Times New Roman"/>
          <w:sz w:val="24"/>
          <w:szCs w:val="24"/>
          <w:u w:val="single"/>
        </w:rPr>
        <w:t xml:space="preserve">se factors which have an </w:t>
      </w:r>
      <w:r w:rsidRPr="002035DB">
        <w:rPr>
          <w:rFonts w:cs="Times New Roman"/>
          <w:color w:val="FF0000"/>
          <w:sz w:val="24"/>
          <w:szCs w:val="24"/>
          <w:u w:val="single"/>
        </w:rPr>
        <w:t xml:space="preserve">estimated positive impact </w:t>
      </w:r>
      <w:r w:rsidRPr="00720397">
        <w:rPr>
          <w:rFonts w:cs="Times New Roman"/>
          <w:sz w:val="24"/>
          <w:szCs w:val="24"/>
          <w:u w:val="single"/>
        </w:rPr>
        <w:t>on FDI Flow in Vietnam</w:t>
      </w:r>
      <w:r>
        <w:rPr>
          <w:rFonts w:cs="Times New Roman"/>
          <w:sz w:val="24"/>
          <w:szCs w:val="24"/>
        </w:rPr>
        <w:t>.</w:t>
      </w:r>
      <w:bookmarkEnd w:id="21"/>
    </w:p>
    <w:p w14:paraId="785EF943" w14:textId="77777777" w:rsidR="002035DB" w:rsidRDefault="002035DB" w:rsidP="002035DB">
      <w:pPr>
        <w:spacing w:line="276" w:lineRule="auto"/>
        <w:jc w:val="both"/>
      </w:pPr>
      <w:bookmarkStart w:id="22" w:name="OLE_LINK5"/>
    </w:p>
    <w:p w14:paraId="7A596283" w14:textId="1814FDF2" w:rsidR="00870EC9" w:rsidRPr="002035DB" w:rsidRDefault="00E01DF4" w:rsidP="002035DB">
      <w:pPr>
        <w:spacing w:line="276" w:lineRule="auto"/>
        <w:jc w:val="both"/>
        <w:rPr>
          <w:b/>
          <w:bCs/>
          <w:color w:val="C45911" w:themeColor="accent2" w:themeShade="BF"/>
        </w:rPr>
      </w:pPr>
      <w:r w:rsidRPr="002035DB">
        <w:rPr>
          <w:b/>
          <w:bCs/>
          <w:color w:val="C45911" w:themeColor="accent2" w:themeShade="BF"/>
        </w:rPr>
        <w:t>* GDP and Population: X1_GDP; X2_POP</w:t>
      </w:r>
    </w:p>
    <w:bookmarkEnd w:id="22"/>
    <w:p w14:paraId="57F74A32" w14:textId="77777777" w:rsidR="002035DB" w:rsidRDefault="00E01DF4" w:rsidP="002035DB">
      <w:pPr>
        <w:spacing w:line="276" w:lineRule="auto"/>
        <w:jc w:val="both"/>
        <w:rPr>
          <w:b/>
          <w:bCs/>
        </w:rPr>
      </w:pPr>
      <w:r w:rsidRPr="002035DB">
        <w:rPr>
          <w:b/>
          <w:bCs/>
        </w:rPr>
        <w:t>One of the key determinants found to have a significant impact on attracting FDI in the model was GDP and total population representing market size</w:t>
      </w:r>
      <w:r w:rsidRPr="002035DB">
        <w:rPr>
          <w:b/>
          <w:bCs/>
          <w:lang w:val="vi-VN"/>
        </w:rPr>
        <w:t xml:space="preserve">, which model </w:t>
      </w:r>
      <w:r w:rsidR="000909E5" w:rsidRPr="002035DB">
        <w:rPr>
          <w:b/>
          <w:bCs/>
          <w:lang w:val="vi-VN"/>
        </w:rPr>
        <w:t>insight</w:t>
      </w:r>
      <w:r w:rsidRPr="002035DB">
        <w:rPr>
          <w:b/>
          <w:bCs/>
        </w:rPr>
        <w:t xml:space="preserve"> show the positive sign to FDI. </w:t>
      </w:r>
    </w:p>
    <w:p w14:paraId="50CD38B4" w14:textId="77777777" w:rsidR="002035DB" w:rsidRPr="002035DB" w:rsidRDefault="002035DB" w:rsidP="002035DB">
      <w:pPr>
        <w:spacing w:line="276" w:lineRule="auto"/>
        <w:jc w:val="both"/>
        <w:rPr>
          <w:b/>
          <w:bCs/>
        </w:rPr>
      </w:pPr>
    </w:p>
    <w:p w14:paraId="52253FEA" w14:textId="52CAC306" w:rsidR="00870EC9" w:rsidRPr="002035DB" w:rsidRDefault="00E01DF4" w:rsidP="002035DB">
      <w:pPr>
        <w:spacing w:line="276" w:lineRule="auto"/>
        <w:jc w:val="both"/>
        <w:rPr>
          <w:i/>
          <w:iCs/>
          <w:lang w:val="vi-VN"/>
        </w:rPr>
      </w:pPr>
      <w:r w:rsidRPr="00720397">
        <w:rPr>
          <w:i/>
          <w:iCs/>
        </w:rPr>
        <w:t>Obviously, when Vietnam's GDP increases by 1 unit (</w:t>
      </w:r>
      <w:r w:rsidR="00720397" w:rsidRPr="00720397">
        <w:rPr>
          <w:i/>
          <w:iCs/>
          <w:lang w:val="vi-VN"/>
        </w:rPr>
        <w:t xml:space="preserve">$), </w:t>
      </w:r>
      <w:r w:rsidRPr="00720397">
        <w:rPr>
          <w:i/>
          <w:iCs/>
        </w:rPr>
        <w:t>the average FDI flow increases by $1583038.61, similarly, each of 1 million people increase lead to level up $65.86 millions in FDI capital.</w:t>
      </w:r>
      <w:r w:rsidR="002035DB">
        <w:rPr>
          <w:i/>
          <w:iCs/>
          <w:lang w:val="vi-VN"/>
        </w:rPr>
        <w:t xml:space="preserve"> (table 7)</w:t>
      </w:r>
    </w:p>
    <w:p w14:paraId="7A11C54D" w14:textId="522799A4" w:rsidR="00870EC9" w:rsidRDefault="00E01DF4" w:rsidP="002035DB">
      <w:pPr>
        <w:spacing w:line="276" w:lineRule="auto"/>
        <w:jc w:val="both"/>
        <w:rPr>
          <w:i/>
          <w:iCs/>
          <w:color w:val="C45911" w:themeColor="accent2" w:themeShade="BF"/>
        </w:rPr>
      </w:pPr>
      <w:r>
        <w:rPr>
          <w:noProof/>
          <w14:ligatures w14:val="standardContextual"/>
        </w:rPr>
        <w:lastRenderedPageBreak/>
        <w:drawing>
          <wp:inline distT="0" distB="0" distL="0" distR="0" wp14:anchorId="77EC653D" wp14:editId="77EF1AC9">
            <wp:extent cx="5731510" cy="2843867"/>
            <wp:effectExtent l="0" t="0" r="8890" b="13970"/>
            <wp:docPr id="12179008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909E5">
        <w:rPr>
          <w:i/>
          <w:iCs/>
          <w:color w:val="C45911" w:themeColor="accent2" w:themeShade="BF"/>
        </w:rPr>
        <w:t xml:space="preserve">Figure </w:t>
      </w:r>
      <w:r w:rsidR="00720397" w:rsidRPr="000909E5">
        <w:rPr>
          <w:i/>
          <w:iCs/>
          <w:color w:val="C45911" w:themeColor="accent2" w:themeShade="BF"/>
          <w:lang w:val="vi-VN"/>
        </w:rPr>
        <w:t>1</w:t>
      </w:r>
      <w:r w:rsidR="000909E5" w:rsidRPr="000909E5">
        <w:rPr>
          <w:i/>
          <w:iCs/>
          <w:color w:val="C45911" w:themeColor="accent2" w:themeShade="BF"/>
          <w:lang w:val="vi-VN"/>
        </w:rPr>
        <w:t>1</w:t>
      </w:r>
      <w:r w:rsidRPr="000909E5">
        <w:rPr>
          <w:i/>
          <w:iCs/>
          <w:color w:val="C45911" w:themeColor="accent2" w:themeShade="BF"/>
        </w:rPr>
        <w:t xml:space="preserve">: </w:t>
      </w:r>
      <w:r w:rsidRPr="000909E5">
        <w:rPr>
          <w:i/>
          <w:iCs/>
          <w:color w:val="C45911" w:themeColor="accent2" w:themeShade="BF"/>
        </w:rPr>
        <w:t xml:space="preserve">the correlation </w:t>
      </w:r>
      <w:r w:rsidRPr="002035DB">
        <w:rPr>
          <w:b/>
          <w:bCs/>
          <w:i/>
          <w:iCs/>
          <w:color w:val="C45911" w:themeColor="accent2" w:themeShade="BF"/>
        </w:rPr>
        <w:t>btw</w:t>
      </w:r>
      <w:r w:rsidRPr="002035DB">
        <w:rPr>
          <w:b/>
          <w:bCs/>
          <w:i/>
          <w:iCs/>
          <w:color w:val="C45911" w:themeColor="accent2" w:themeShade="BF"/>
        </w:rPr>
        <w:t xml:space="preserve"> GDP</w:t>
      </w:r>
      <w:r w:rsidRPr="000909E5">
        <w:rPr>
          <w:i/>
          <w:iCs/>
          <w:color w:val="C45911" w:themeColor="accent2" w:themeShade="BF"/>
        </w:rPr>
        <w:t xml:space="preserve"> and FDI Flow.</w:t>
      </w:r>
    </w:p>
    <w:p w14:paraId="45E9E317" w14:textId="77777777" w:rsidR="002035DB" w:rsidRDefault="002035DB" w:rsidP="002035DB">
      <w:pPr>
        <w:spacing w:line="276" w:lineRule="auto"/>
        <w:jc w:val="both"/>
        <w:rPr>
          <w:i/>
          <w:iCs/>
        </w:rPr>
      </w:pPr>
    </w:p>
    <w:p w14:paraId="16CB1E40" w14:textId="77777777" w:rsidR="00870EC9" w:rsidRPr="002035DB" w:rsidRDefault="00E01DF4" w:rsidP="002035DB">
      <w:pPr>
        <w:spacing w:line="276" w:lineRule="auto"/>
        <w:jc w:val="both"/>
        <w:rPr>
          <w:b/>
          <w:bCs/>
          <w:i/>
          <w:iCs/>
        </w:rPr>
      </w:pPr>
      <w:r w:rsidRPr="002035DB">
        <w:rPr>
          <w:b/>
          <w:bCs/>
          <w:i/>
          <w:iCs/>
        </w:rPr>
        <w:t>*Correlation analysis using correlation coefficient:</w:t>
      </w:r>
    </w:p>
    <w:tbl>
      <w:tblPr>
        <w:tblStyle w:val="TableGrid"/>
        <w:tblW w:w="5000" w:type="pct"/>
        <w:tblLook w:val="04A0" w:firstRow="1" w:lastRow="0" w:firstColumn="1" w:lastColumn="0" w:noHBand="0" w:noVBand="1"/>
      </w:tblPr>
      <w:tblGrid>
        <w:gridCol w:w="856"/>
        <w:gridCol w:w="853"/>
        <w:gridCol w:w="853"/>
        <w:gridCol w:w="1657"/>
        <w:gridCol w:w="1657"/>
        <w:gridCol w:w="1361"/>
        <w:gridCol w:w="1361"/>
        <w:gridCol w:w="418"/>
      </w:tblGrid>
      <w:tr w:rsidR="00870EC9" w14:paraId="06572B6B" w14:textId="77777777">
        <w:trPr>
          <w:trHeight w:val="315"/>
        </w:trPr>
        <w:tc>
          <w:tcPr>
            <w:tcW w:w="474" w:type="pct"/>
          </w:tcPr>
          <w:p w14:paraId="095439B9" w14:textId="77777777" w:rsidR="00870EC9" w:rsidRDefault="00870EC9" w:rsidP="002035DB">
            <w:pPr>
              <w:spacing w:line="276" w:lineRule="auto"/>
              <w:jc w:val="both"/>
              <w:rPr>
                <w:i/>
                <w:iCs/>
              </w:rPr>
            </w:pPr>
          </w:p>
        </w:tc>
        <w:tc>
          <w:tcPr>
            <w:tcW w:w="473" w:type="pct"/>
          </w:tcPr>
          <w:p w14:paraId="7F3711B8" w14:textId="77777777" w:rsidR="00870EC9" w:rsidRDefault="00870EC9" w:rsidP="002035DB">
            <w:pPr>
              <w:spacing w:line="276" w:lineRule="auto"/>
              <w:jc w:val="both"/>
              <w:rPr>
                <w:i/>
                <w:iCs/>
              </w:rPr>
            </w:pPr>
          </w:p>
        </w:tc>
        <w:tc>
          <w:tcPr>
            <w:tcW w:w="473" w:type="pct"/>
          </w:tcPr>
          <w:p w14:paraId="7EAFC3CA" w14:textId="77777777" w:rsidR="00870EC9" w:rsidRDefault="00870EC9" w:rsidP="002035DB">
            <w:pPr>
              <w:spacing w:line="276" w:lineRule="auto"/>
              <w:jc w:val="both"/>
              <w:rPr>
                <w:i/>
                <w:iCs/>
              </w:rPr>
            </w:pPr>
          </w:p>
        </w:tc>
        <w:tc>
          <w:tcPr>
            <w:tcW w:w="919" w:type="pct"/>
          </w:tcPr>
          <w:p w14:paraId="37F717A4" w14:textId="77777777" w:rsidR="00870EC9" w:rsidRDefault="00E01DF4" w:rsidP="002035DB">
            <w:pPr>
              <w:spacing w:line="276" w:lineRule="auto"/>
              <w:jc w:val="both"/>
              <w:rPr>
                <w:i/>
                <w:iCs/>
              </w:rPr>
            </w:pPr>
            <w:r>
              <w:rPr>
                <w:i/>
                <w:iCs/>
              </w:rPr>
              <w:t>GDP</w:t>
            </w:r>
          </w:p>
        </w:tc>
        <w:tc>
          <w:tcPr>
            <w:tcW w:w="919" w:type="pct"/>
          </w:tcPr>
          <w:p w14:paraId="1D52C0C7" w14:textId="77777777" w:rsidR="00870EC9" w:rsidRDefault="00E01DF4" w:rsidP="002035DB">
            <w:pPr>
              <w:spacing w:line="276" w:lineRule="auto"/>
              <w:jc w:val="both"/>
              <w:rPr>
                <w:i/>
                <w:iCs/>
              </w:rPr>
            </w:pPr>
            <w:r>
              <w:rPr>
                <w:i/>
                <w:iCs/>
              </w:rPr>
              <w:t>POP</w:t>
            </w:r>
          </w:p>
        </w:tc>
        <w:tc>
          <w:tcPr>
            <w:tcW w:w="755" w:type="pct"/>
          </w:tcPr>
          <w:p w14:paraId="0ABA4FBD" w14:textId="77777777" w:rsidR="00870EC9" w:rsidRDefault="00870EC9" w:rsidP="002035DB">
            <w:pPr>
              <w:spacing w:line="276" w:lineRule="auto"/>
              <w:jc w:val="both"/>
              <w:rPr>
                <w:i/>
                <w:iCs/>
              </w:rPr>
            </w:pPr>
          </w:p>
        </w:tc>
        <w:tc>
          <w:tcPr>
            <w:tcW w:w="755" w:type="pct"/>
          </w:tcPr>
          <w:p w14:paraId="2891B70A" w14:textId="77777777" w:rsidR="00870EC9" w:rsidRDefault="00870EC9" w:rsidP="002035DB">
            <w:pPr>
              <w:spacing w:line="276" w:lineRule="auto"/>
              <w:jc w:val="both"/>
              <w:rPr>
                <w:i/>
                <w:iCs/>
              </w:rPr>
            </w:pPr>
          </w:p>
        </w:tc>
        <w:tc>
          <w:tcPr>
            <w:tcW w:w="232" w:type="pct"/>
          </w:tcPr>
          <w:p w14:paraId="7927C901" w14:textId="77777777" w:rsidR="00870EC9" w:rsidRDefault="00870EC9" w:rsidP="002035DB">
            <w:pPr>
              <w:spacing w:line="276" w:lineRule="auto"/>
              <w:jc w:val="both"/>
              <w:rPr>
                <w:i/>
                <w:iCs/>
              </w:rPr>
            </w:pPr>
          </w:p>
        </w:tc>
      </w:tr>
      <w:tr w:rsidR="00870EC9" w14:paraId="1E4DDC01" w14:textId="77777777">
        <w:trPr>
          <w:trHeight w:val="315"/>
        </w:trPr>
        <w:tc>
          <w:tcPr>
            <w:tcW w:w="1419" w:type="pct"/>
            <w:gridSpan w:val="3"/>
          </w:tcPr>
          <w:p w14:paraId="59296BAE" w14:textId="77777777" w:rsidR="00870EC9" w:rsidRDefault="00E01DF4" w:rsidP="002035DB">
            <w:pPr>
              <w:spacing w:line="276" w:lineRule="auto"/>
              <w:jc w:val="both"/>
              <w:rPr>
                <w:i/>
                <w:iCs/>
              </w:rPr>
            </w:pPr>
            <w:r>
              <w:rPr>
                <w:i/>
                <w:iCs/>
              </w:rPr>
              <w:t>Covariance:</w:t>
            </w:r>
          </w:p>
        </w:tc>
        <w:tc>
          <w:tcPr>
            <w:tcW w:w="919" w:type="pct"/>
          </w:tcPr>
          <w:p w14:paraId="2514DAD0" w14:textId="77777777" w:rsidR="00870EC9" w:rsidRDefault="00E01DF4" w:rsidP="002035DB">
            <w:pPr>
              <w:spacing w:line="276" w:lineRule="auto"/>
              <w:jc w:val="both"/>
              <w:rPr>
                <w:i/>
                <w:iCs/>
              </w:rPr>
            </w:pPr>
            <w:r>
              <w:rPr>
                <w:i/>
                <w:iCs/>
              </w:rPr>
              <w:t>1,72E+13</w:t>
            </w:r>
          </w:p>
        </w:tc>
        <w:tc>
          <w:tcPr>
            <w:tcW w:w="919" w:type="pct"/>
          </w:tcPr>
          <w:p w14:paraId="2C1B26EB" w14:textId="77777777" w:rsidR="00870EC9" w:rsidRDefault="00E01DF4" w:rsidP="002035DB">
            <w:pPr>
              <w:spacing w:line="276" w:lineRule="auto"/>
              <w:jc w:val="both"/>
              <w:rPr>
                <w:i/>
                <w:iCs/>
              </w:rPr>
            </w:pPr>
            <w:r>
              <w:rPr>
                <w:i/>
                <w:iCs/>
              </w:rPr>
              <w:t>3,31E+16</w:t>
            </w:r>
          </w:p>
        </w:tc>
        <w:tc>
          <w:tcPr>
            <w:tcW w:w="1510" w:type="pct"/>
            <w:gridSpan w:val="2"/>
          </w:tcPr>
          <w:p w14:paraId="28B0D88B" w14:textId="04E5EAB7" w:rsidR="00870EC9" w:rsidRPr="000909E5" w:rsidRDefault="00E01DF4" w:rsidP="002035DB">
            <w:pPr>
              <w:spacing w:line="276" w:lineRule="auto"/>
              <w:jc w:val="both"/>
              <w:rPr>
                <w:i/>
                <w:iCs/>
                <w:lang w:val="vi-VN"/>
              </w:rPr>
            </w:pPr>
            <w:r>
              <w:rPr>
                <w:i/>
                <w:iCs/>
              </w:rPr>
              <w:t xml:space="preserve">positive </w:t>
            </w:r>
            <w:r w:rsidR="000909E5">
              <w:rPr>
                <w:i/>
                <w:iCs/>
              </w:rPr>
              <w:t>correlation</w:t>
            </w:r>
          </w:p>
        </w:tc>
        <w:tc>
          <w:tcPr>
            <w:tcW w:w="232" w:type="pct"/>
          </w:tcPr>
          <w:p w14:paraId="237017CD" w14:textId="77777777" w:rsidR="00870EC9" w:rsidRDefault="00870EC9" w:rsidP="002035DB">
            <w:pPr>
              <w:spacing w:line="276" w:lineRule="auto"/>
              <w:jc w:val="both"/>
              <w:rPr>
                <w:i/>
                <w:iCs/>
              </w:rPr>
            </w:pPr>
          </w:p>
        </w:tc>
      </w:tr>
      <w:tr w:rsidR="00870EC9" w14:paraId="6DE108AD" w14:textId="77777777">
        <w:trPr>
          <w:trHeight w:val="315"/>
        </w:trPr>
        <w:tc>
          <w:tcPr>
            <w:tcW w:w="1419" w:type="pct"/>
            <w:gridSpan w:val="3"/>
          </w:tcPr>
          <w:p w14:paraId="2BFDE59C" w14:textId="77777777" w:rsidR="00870EC9" w:rsidRDefault="00E01DF4" w:rsidP="002035DB">
            <w:pPr>
              <w:spacing w:line="276" w:lineRule="auto"/>
              <w:jc w:val="both"/>
              <w:rPr>
                <w:i/>
                <w:iCs/>
              </w:rPr>
            </w:pPr>
            <w:r>
              <w:rPr>
                <w:i/>
                <w:iCs/>
              </w:rPr>
              <w:t>Correlation Efficient:</w:t>
            </w:r>
          </w:p>
        </w:tc>
        <w:tc>
          <w:tcPr>
            <w:tcW w:w="919" w:type="pct"/>
          </w:tcPr>
          <w:p w14:paraId="465E63F1" w14:textId="77777777" w:rsidR="00870EC9" w:rsidRDefault="00E01DF4" w:rsidP="002035DB">
            <w:pPr>
              <w:spacing w:line="276" w:lineRule="auto"/>
              <w:jc w:val="both"/>
              <w:rPr>
                <w:i/>
                <w:iCs/>
              </w:rPr>
            </w:pPr>
            <w:r>
              <w:rPr>
                <w:i/>
                <w:iCs/>
              </w:rPr>
              <w:t>0,960972611</w:t>
            </w:r>
          </w:p>
        </w:tc>
        <w:tc>
          <w:tcPr>
            <w:tcW w:w="919" w:type="pct"/>
          </w:tcPr>
          <w:p w14:paraId="2E2CFF53" w14:textId="77777777" w:rsidR="00870EC9" w:rsidRDefault="00E01DF4" w:rsidP="002035DB">
            <w:pPr>
              <w:spacing w:line="276" w:lineRule="auto"/>
              <w:jc w:val="both"/>
              <w:rPr>
                <w:i/>
                <w:iCs/>
              </w:rPr>
            </w:pPr>
            <w:r>
              <w:rPr>
                <w:i/>
                <w:iCs/>
              </w:rPr>
              <w:t>0,971625291</w:t>
            </w:r>
          </w:p>
        </w:tc>
        <w:tc>
          <w:tcPr>
            <w:tcW w:w="1742" w:type="pct"/>
            <w:gridSpan w:val="3"/>
          </w:tcPr>
          <w:p w14:paraId="0F4BE6C7" w14:textId="77777777" w:rsidR="00870EC9" w:rsidRDefault="00E01DF4" w:rsidP="002035DB">
            <w:pPr>
              <w:spacing w:line="276" w:lineRule="auto"/>
              <w:jc w:val="both"/>
              <w:rPr>
                <w:i/>
                <w:iCs/>
              </w:rPr>
            </w:pPr>
            <w:r>
              <w:rPr>
                <w:i/>
                <w:iCs/>
              </w:rPr>
              <w:t>positive correlation, strong</w:t>
            </w:r>
          </w:p>
        </w:tc>
      </w:tr>
    </w:tbl>
    <w:p w14:paraId="6D16D160" w14:textId="389DB61E" w:rsidR="00870EC9" w:rsidRDefault="00291CDC" w:rsidP="002035DB">
      <w:pPr>
        <w:spacing w:line="276" w:lineRule="auto"/>
        <w:jc w:val="both"/>
        <w:rPr>
          <w:i/>
          <w:iCs/>
          <w:lang w:val="vi-VN"/>
        </w:rPr>
      </w:pPr>
      <w:r w:rsidRPr="00291CDC">
        <w:rPr>
          <w:i/>
          <w:iCs/>
          <w:lang w:val="vi-VN"/>
        </w:rPr>
        <w:t>Table 8</w:t>
      </w:r>
    </w:p>
    <w:p w14:paraId="3092A404" w14:textId="77777777" w:rsidR="00291CDC" w:rsidRPr="00291CDC" w:rsidRDefault="00291CDC" w:rsidP="002035DB">
      <w:pPr>
        <w:spacing w:line="276" w:lineRule="auto"/>
        <w:jc w:val="both"/>
        <w:rPr>
          <w:i/>
          <w:iCs/>
          <w:lang w:val="vi-VN"/>
        </w:rPr>
      </w:pPr>
    </w:p>
    <w:p w14:paraId="1F6B4BBC" w14:textId="22D97106" w:rsidR="00870EC9" w:rsidRDefault="00291CDC" w:rsidP="002035DB">
      <w:pPr>
        <w:spacing w:line="276" w:lineRule="auto"/>
        <w:jc w:val="both"/>
      </w:pPr>
      <w:r w:rsidRPr="00291CDC">
        <w:rPr>
          <w:i/>
          <w:iCs/>
          <w:u w:val="single"/>
        </w:rPr>
        <w:t>Hidden</w:t>
      </w:r>
      <w:r w:rsidRPr="00291CDC">
        <w:rPr>
          <w:i/>
          <w:iCs/>
          <w:u w:val="single"/>
          <w:lang w:val="vi-VN"/>
        </w:rPr>
        <w:t xml:space="preserve"> cause</w:t>
      </w:r>
      <w:r>
        <w:rPr>
          <w:lang w:val="vi-VN"/>
        </w:rPr>
        <w:t xml:space="preserve">: </w:t>
      </w:r>
      <w:r w:rsidR="00E01DF4">
        <w:t xml:space="preserve">The need for a large market for </w:t>
      </w:r>
      <w:r w:rsidR="00E01DF4">
        <w:t xml:space="preserve">the efficient use of resources and harnessing the size of the economy has a positive influence on FDI. A large market will have high demand and large consumption capacity is a condition to attract foreign investors. The research results show that foreign businesses invest in developing countries in search of market expansion opportunities. </w:t>
      </w:r>
      <w:r w:rsidR="00E01DF4">
        <w:t>Here when referring to the size of the economy: “the larger the economy, when other factors are equivalent – its foreign trade with all other countries will be even greater." refers to scientific research published in FTU's journal.</w:t>
      </w:r>
    </w:p>
    <w:p w14:paraId="72452883" w14:textId="77777777" w:rsidR="00870EC9" w:rsidRDefault="00870EC9" w:rsidP="002035DB">
      <w:pPr>
        <w:spacing w:line="276" w:lineRule="auto"/>
        <w:jc w:val="both"/>
      </w:pPr>
    </w:p>
    <w:p w14:paraId="623012CA" w14:textId="5F8ED62F" w:rsidR="00870EC9" w:rsidRPr="002035DB" w:rsidRDefault="00E01DF4" w:rsidP="002035DB">
      <w:pPr>
        <w:spacing w:line="276" w:lineRule="auto"/>
        <w:jc w:val="both"/>
        <w:rPr>
          <w:b/>
          <w:bCs/>
          <w:color w:val="C45911" w:themeColor="accent2" w:themeShade="BF"/>
        </w:rPr>
      </w:pPr>
      <w:r w:rsidRPr="002035DB">
        <w:rPr>
          <w:b/>
          <w:bCs/>
          <w:color w:val="C45911" w:themeColor="accent2" w:themeShade="BF"/>
        </w:rPr>
        <w:t>*</w:t>
      </w:r>
      <w:r w:rsidR="000909E5" w:rsidRPr="002035DB">
        <w:rPr>
          <w:b/>
          <w:bCs/>
          <w:color w:val="C45911" w:themeColor="accent2" w:themeShade="BF"/>
          <w:lang w:val="vi-VN"/>
        </w:rPr>
        <w:t xml:space="preserve"> </w:t>
      </w:r>
      <w:r w:rsidRPr="002035DB">
        <w:rPr>
          <w:b/>
          <w:bCs/>
          <w:color w:val="C45911" w:themeColor="accent2" w:themeShade="BF"/>
        </w:rPr>
        <w:t>Trade: X3</w:t>
      </w:r>
    </w:p>
    <w:p w14:paraId="547011C4" w14:textId="77777777" w:rsidR="002035DB" w:rsidRDefault="00E01DF4" w:rsidP="002035DB">
      <w:pPr>
        <w:spacing w:line="276" w:lineRule="auto"/>
        <w:jc w:val="both"/>
      </w:pPr>
      <w:r w:rsidRPr="002035DB">
        <w:rPr>
          <w:b/>
          <w:bCs/>
        </w:rPr>
        <w:t xml:space="preserve">The results of the model </w:t>
      </w:r>
      <w:r w:rsidR="002035DB">
        <w:rPr>
          <w:b/>
          <w:bCs/>
        </w:rPr>
        <w:t>corresponding</w:t>
      </w:r>
      <w:r w:rsidR="002035DB">
        <w:rPr>
          <w:b/>
          <w:bCs/>
          <w:lang w:val="vi-VN"/>
        </w:rPr>
        <w:t xml:space="preserve"> to </w:t>
      </w:r>
      <w:r w:rsidRPr="002035DB">
        <w:rPr>
          <w:b/>
          <w:bCs/>
        </w:rPr>
        <w:t xml:space="preserve">Trade </w:t>
      </w:r>
      <w:r w:rsidR="002035DB">
        <w:rPr>
          <w:b/>
          <w:bCs/>
        </w:rPr>
        <w:t>var</w:t>
      </w:r>
      <w:r w:rsidR="002035DB">
        <w:rPr>
          <w:b/>
          <w:bCs/>
          <w:lang w:val="vi-VN"/>
        </w:rPr>
        <w:t xml:space="preserve"> </w:t>
      </w:r>
      <w:r w:rsidRPr="002035DB">
        <w:rPr>
          <w:b/>
          <w:bCs/>
        </w:rPr>
        <w:t>represent the openness of the economy.</w:t>
      </w:r>
      <w:r>
        <w:t xml:space="preserve"> </w:t>
      </w:r>
    </w:p>
    <w:p w14:paraId="74AAAE12" w14:textId="517C1DEF" w:rsidR="002035DB" w:rsidRPr="002035DB" w:rsidRDefault="00E01DF4" w:rsidP="002035DB">
      <w:pPr>
        <w:spacing w:line="276" w:lineRule="auto"/>
        <w:jc w:val="both"/>
        <w:rPr>
          <w:i/>
          <w:iCs/>
          <w:lang w:val="vi-VN"/>
        </w:rPr>
      </w:pPr>
      <w:r w:rsidRPr="002035DB">
        <w:rPr>
          <w:i/>
          <w:iCs/>
        </w:rPr>
        <w:t xml:space="preserve">At a significant level 1%, when Trade increases by 1% in Vietnam's GDP, the average FDI Flow will increase by 6.42 million of USD. </w:t>
      </w:r>
      <w:r w:rsidR="002035DB">
        <w:rPr>
          <w:i/>
          <w:iCs/>
          <w:lang w:val="vi-VN"/>
        </w:rPr>
        <w:t>(table 7)</w:t>
      </w:r>
    </w:p>
    <w:p w14:paraId="20C220CB" w14:textId="77777777" w:rsidR="002035DB" w:rsidRPr="002035DB" w:rsidRDefault="002035DB" w:rsidP="002035DB">
      <w:pPr>
        <w:spacing w:line="276" w:lineRule="auto"/>
        <w:jc w:val="both"/>
        <w:rPr>
          <w:i/>
          <w:iCs/>
        </w:rPr>
      </w:pPr>
    </w:p>
    <w:p w14:paraId="329674A3" w14:textId="63425C3E" w:rsidR="002035DB" w:rsidRDefault="00291CDC" w:rsidP="002035DB">
      <w:pPr>
        <w:spacing w:line="276" w:lineRule="auto"/>
        <w:jc w:val="both"/>
      </w:pPr>
      <w:r w:rsidRPr="00291CDC">
        <w:rPr>
          <w:i/>
          <w:iCs/>
          <w:u w:val="single"/>
        </w:rPr>
        <w:t>Hidden</w:t>
      </w:r>
      <w:r w:rsidRPr="00291CDC">
        <w:rPr>
          <w:i/>
          <w:iCs/>
          <w:u w:val="single"/>
          <w:lang w:val="vi-VN"/>
        </w:rPr>
        <w:t xml:space="preserve"> cause</w:t>
      </w:r>
      <w:r>
        <w:rPr>
          <w:lang w:val="vi-VN"/>
        </w:rPr>
        <w:t xml:space="preserve">: </w:t>
      </w:r>
      <w:r w:rsidR="00E01DF4">
        <w:t xml:space="preserve">Import-export turnover also reflects the health of the macro economy, whether it creates long-term confidence for foreign investors. The work of attracting foreign investment (FDI) has been carried out very well over the years thanks to the openness of the Vietnamese economy since it began opening trade. </w:t>
      </w:r>
    </w:p>
    <w:p w14:paraId="694DAA1E" w14:textId="52E4E79E" w:rsidR="00870EC9" w:rsidRDefault="00E01DF4" w:rsidP="002035DB">
      <w:pPr>
        <w:spacing w:line="276" w:lineRule="auto"/>
        <w:jc w:val="both"/>
      </w:pPr>
      <w:r w:rsidRPr="002035DB">
        <w:rPr>
          <w:b/>
          <w:bCs/>
          <w:i/>
          <w:iCs/>
          <w:color w:val="C45911" w:themeColor="accent2" w:themeShade="BF"/>
        </w:rPr>
        <w:t>The question here is</w:t>
      </w:r>
      <w:r>
        <w:t xml:space="preserve">, in addition to improving the quality of openness of the economy, how much openness will be appropriate for Vietnam's situation in the general context of the world today. In fact, in 2023 we have had certain achievements but are still struggling to overcome </w:t>
      </w:r>
      <w:r>
        <w:lastRenderedPageBreak/>
        <w:t>difficulties after the pandemic period. The need to maintain high growth rates seems to go against the desire for stability in the face of external influences. The research results are consistent with Regina Castro’s research, The Impact of FDI and Trad</w:t>
      </w:r>
      <w:r>
        <w:t>e Openness on the Economic Growth of the Transition Economies.L52</w:t>
      </w:r>
    </w:p>
    <w:p w14:paraId="6535000A" w14:textId="77777777" w:rsidR="004E1D81" w:rsidRDefault="004E1D81" w:rsidP="002035DB">
      <w:pPr>
        <w:spacing w:line="276" w:lineRule="auto"/>
        <w:jc w:val="both"/>
      </w:pPr>
    </w:p>
    <w:p w14:paraId="63843FD3" w14:textId="77777777" w:rsidR="00870EC9" w:rsidRDefault="00E01DF4" w:rsidP="002035DB">
      <w:pPr>
        <w:spacing w:line="276" w:lineRule="auto"/>
        <w:jc w:val="both"/>
      </w:pPr>
      <w:r>
        <w:rPr>
          <w:noProof/>
          <w14:ligatures w14:val="standardContextual"/>
        </w:rPr>
        <w:drawing>
          <wp:inline distT="0" distB="0" distL="0" distR="0" wp14:anchorId="42F4C853" wp14:editId="7DA5DFFD">
            <wp:extent cx="5713095" cy="3125755"/>
            <wp:effectExtent l="0" t="0" r="14605" b="11430"/>
            <wp:docPr id="10020920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3917650" w14:textId="17054E17" w:rsidR="00870EC9" w:rsidRPr="002035DB" w:rsidRDefault="00E01DF4" w:rsidP="002035DB">
      <w:pPr>
        <w:spacing w:line="276" w:lineRule="auto"/>
        <w:jc w:val="both"/>
        <w:rPr>
          <w:i/>
          <w:iCs/>
          <w:color w:val="C45911" w:themeColor="accent2" w:themeShade="BF"/>
        </w:rPr>
      </w:pPr>
      <w:r w:rsidRPr="002035DB">
        <w:rPr>
          <w:i/>
          <w:iCs/>
          <w:color w:val="C45911" w:themeColor="accent2" w:themeShade="BF"/>
        </w:rPr>
        <w:t xml:space="preserve">Figure </w:t>
      </w:r>
      <w:r w:rsidR="002035DB" w:rsidRPr="002035DB">
        <w:rPr>
          <w:i/>
          <w:iCs/>
          <w:color w:val="C45911" w:themeColor="accent2" w:themeShade="BF"/>
          <w:lang w:val="vi-VN"/>
        </w:rPr>
        <w:t>12:</w:t>
      </w:r>
      <w:r w:rsidRPr="002035DB">
        <w:rPr>
          <w:i/>
          <w:iCs/>
          <w:color w:val="C45911" w:themeColor="accent2" w:themeShade="BF"/>
        </w:rPr>
        <w:t xml:space="preserve"> the correlation btw</w:t>
      </w:r>
      <w:r w:rsidR="004E1D81" w:rsidRPr="002035DB">
        <w:rPr>
          <w:i/>
          <w:iCs/>
          <w:color w:val="C45911" w:themeColor="accent2" w:themeShade="BF"/>
          <w:lang w:val="vi-VN"/>
        </w:rPr>
        <w:t xml:space="preserve"> </w:t>
      </w:r>
      <w:r w:rsidR="004E1D81" w:rsidRPr="002035DB">
        <w:rPr>
          <w:b/>
          <w:bCs/>
          <w:i/>
          <w:iCs/>
          <w:color w:val="C45911" w:themeColor="accent2" w:themeShade="BF"/>
          <w:lang w:val="vi-VN"/>
        </w:rPr>
        <w:t>t</w:t>
      </w:r>
      <w:r w:rsidRPr="002035DB">
        <w:rPr>
          <w:b/>
          <w:bCs/>
          <w:i/>
          <w:iCs/>
          <w:color w:val="C45911" w:themeColor="accent2" w:themeShade="BF"/>
        </w:rPr>
        <w:t>he openness of the market</w:t>
      </w:r>
      <w:r w:rsidRPr="002035DB">
        <w:rPr>
          <w:i/>
          <w:iCs/>
          <w:color w:val="C45911" w:themeColor="accent2" w:themeShade="BF"/>
        </w:rPr>
        <w:t xml:space="preserve"> and FDI Flow.</w:t>
      </w:r>
    </w:p>
    <w:p w14:paraId="45109DA7" w14:textId="77777777" w:rsidR="00870EC9" w:rsidRDefault="00870EC9" w:rsidP="002035DB">
      <w:pPr>
        <w:spacing w:line="276" w:lineRule="auto"/>
        <w:jc w:val="both"/>
      </w:pPr>
    </w:p>
    <w:p w14:paraId="297CE0AB" w14:textId="729D8B53" w:rsidR="00870EC9" w:rsidRPr="002035DB" w:rsidRDefault="00E01DF4" w:rsidP="002035DB">
      <w:pPr>
        <w:pStyle w:val="Heading2"/>
        <w:spacing w:line="276" w:lineRule="auto"/>
        <w:jc w:val="both"/>
        <w:rPr>
          <w:rFonts w:cs="Times New Roman"/>
          <w:sz w:val="24"/>
          <w:szCs w:val="24"/>
          <w:u w:val="single"/>
        </w:rPr>
      </w:pPr>
      <w:bookmarkStart w:id="23" w:name="_Toc157241263"/>
      <w:r w:rsidRPr="002035DB">
        <w:rPr>
          <w:rFonts w:cs="Times New Roman"/>
          <w:sz w:val="24"/>
          <w:szCs w:val="24"/>
          <w:u w:val="single"/>
          <w:lang w:val="vi-VN"/>
        </w:rPr>
        <w:t xml:space="preserve">2.2 Group of </w:t>
      </w:r>
      <w:r w:rsidRPr="002035DB">
        <w:rPr>
          <w:rFonts w:cs="Times New Roman"/>
          <w:sz w:val="24"/>
          <w:szCs w:val="24"/>
          <w:u w:val="single"/>
        </w:rPr>
        <w:t xml:space="preserve">factors which have an </w:t>
      </w:r>
      <w:r w:rsidRPr="002035DB">
        <w:rPr>
          <w:rFonts w:cs="Times New Roman"/>
          <w:color w:val="FF0000"/>
          <w:sz w:val="24"/>
          <w:szCs w:val="24"/>
          <w:u w:val="single"/>
        </w:rPr>
        <w:t>estimated negative impact</w:t>
      </w:r>
      <w:r w:rsidRPr="002035DB">
        <w:rPr>
          <w:rFonts w:cs="Times New Roman"/>
          <w:sz w:val="24"/>
          <w:szCs w:val="24"/>
          <w:u w:val="single"/>
        </w:rPr>
        <w:t xml:space="preserve"> on FDI Flow in Vietnam.</w:t>
      </w:r>
      <w:bookmarkEnd w:id="23"/>
    </w:p>
    <w:p w14:paraId="3B15CC7F" w14:textId="77777777" w:rsidR="002035DB" w:rsidRPr="002035DB" w:rsidRDefault="002035DB" w:rsidP="002035DB"/>
    <w:p w14:paraId="36C3C129" w14:textId="77777777" w:rsidR="00870EC9" w:rsidRPr="002035DB" w:rsidRDefault="00E01DF4" w:rsidP="002035DB">
      <w:pPr>
        <w:spacing w:line="276" w:lineRule="auto"/>
        <w:jc w:val="both"/>
        <w:rPr>
          <w:b/>
          <w:bCs/>
          <w:color w:val="C45911" w:themeColor="accent2" w:themeShade="BF"/>
        </w:rPr>
      </w:pPr>
      <w:r w:rsidRPr="002035DB">
        <w:rPr>
          <w:b/>
          <w:bCs/>
          <w:color w:val="C45911" w:themeColor="accent2" w:themeShade="BF"/>
        </w:rPr>
        <w:t>*Inflation rate: X4_INF</w:t>
      </w:r>
    </w:p>
    <w:p w14:paraId="262B9AB6" w14:textId="77777777" w:rsidR="002035DB" w:rsidRPr="002035DB" w:rsidRDefault="00E01DF4" w:rsidP="002035DB">
      <w:pPr>
        <w:spacing w:line="276" w:lineRule="auto"/>
        <w:jc w:val="both"/>
        <w:rPr>
          <w:b/>
          <w:bCs/>
        </w:rPr>
      </w:pPr>
      <w:r w:rsidRPr="002035DB">
        <w:rPr>
          <w:b/>
          <w:bCs/>
        </w:rPr>
        <w:t xml:space="preserve">Inflation, consumer prices (% annual) of country </w:t>
      </w:r>
      <w:r w:rsidR="002035DB" w:rsidRPr="002035DB">
        <w:rPr>
          <w:b/>
          <w:bCs/>
          <w:lang w:val="vi-VN"/>
        </w:rPr>
        <w:t>i</w:t>
      </w:r>
      <w:r w:rsidRPr="002035DB">
        <w:rPr>
          <w:b/>
          <w:bCs/>
        </w:rPr>
        <w:t xml:space="preserve"> in year t, represents a macroeconomic stability factor. </w:t>
      </w:r>
    </w:p>
    <w:p w14:paraId="7B37A9B9" w14:textId="77777777" w:rsidR="002035DB" w:rsidRPr="002035DB" w:rsidRDefault="00E01DF4" w:rsidP="002035DB">
      <w:pPr>
        <w:spacing w:line="276" w:lineRule="auto"/>
        <w:jc w:val="both"/>
        <w:rPr>
          <w:i/>
          <w:iCs/>
        </w:rPr>
      </w:pPr>
      <w:r w:rsidRPr="002035DB">
        <w:rPr>
          <w:i/>
          <w:iCs/>
        </w:rPr>
        <w:t xml:space="preserve">A 1% annual increase in inflation would result in a decrease of 123.16 million USD FDI flow. </w:t>
      </w:r>
    </w:p>
    <w:p w14:paraId="6E5E3BC7" w14:textId="77777777" w:rsidR="002035DB" w:rsidRDefault="002035DB" w:rsidP="002035DB">
      <w:pPr>
        <w:spacing w:line="276" w:lineRule="auto"/>
        <w:jc w:val="both"/>
      </w:pPr>
    </w:p>
    <w:p w14:paraId="0ED60ED9" w14:textId="78DDE2CC" w:rsidR="00870EC9" w:rsidRDefault="00291CDC" w:rsidP="002035DB">
      <w:pPr>
        <w:spacing w:line="276" w:lineRule="auto"/>
        <w:jc w:val="both"/>
        <w:rPr>
          <w:shd w:val="clear" w:color="auto" w:fill="FFFFFF"/>
        </w:rPr>
      </w:pPr>
      <w:r w:rsidRPr="00291CDC">
        <w:rPr>
          <w:i/>
          <w:iCs/>
          <w:u w:val="single"/>
        </w:rPr>
        <w:t>Hidden</w:t>
      </w:r>
      <w:r w:rsidRPr="00291CDC">
        <w:rPr>
          <w:i/>
          <w:iCs/>
          <w:u w:val="single"/>
          <w:lang w:val="vi-VN"/>
        </w:rPr>
        <w:t xml:space="preserve"> Cause</w:t>
      </w:r>
      <w:r>
        <w:rPr>
          <w:lang w:val="vi-VN"/>
        </w:rPr>
        <w:t xml:space="preserve">: </w:t>
      </w:r>
      <w:r w:rsidR="00E01DF4">
        <w:t xml:space="preserve">Usually, it is shown that inflation has positive implications for FDI attraction, the reason is that FDI invested in SEA is a type of FDI seeking profit.  High inflation will be accompanied by high economic growth and high rates of return. </w:t>
      </w:r>
      <w:r w:rsidR="00E01DF4">
        <w:rPr>
          <w:shd w:val="clear" w:color="auto" w:fill="FFFFFF"/>
        </w:rPr>
        <w:t>However, the model shows that inflation has a negative impact on FDI capital flowing into Vietnam</w:t>
      </w:r>
      <w:r>
        <w:rPr>
          <w:shd w:val="clear" w:color="auto" w:fill="FFFFFF"/>
          <w:lang w:val="vi-VN"/>
        </w:rPr>
        <w:t xml:space="preserve">. </w:t>
      </w:r>
      <w:r w:rsidR="00E01DF4">
        <w:rPr>
          <w:shd w:val="clear" w:color="auto" w:fill="FFFFFF"/>
        </w:rPr>
        <w:t>High inflation is expected to bring risks to post-pandemic growth expectations in Vietnam and many other countries.  Especially in developing countries like Vietnam, investors often focus on long-term goals, especially the stability of the host economy. Fluctuations in inflation and other financial factors will increase financial risks when investing for foreign investors, which reduces the attraction of FDI capital flows.</w:t>
      </w:r>
    </w:p>
    <w:p w14:paraId="1DEFC91A" w14:textId="77777777" w:rsidR="002035DB" w:rsidRDefault="002035DB" w:rsidP="002035DB">
      <w:pPr>
        <w:spacing w:line="276" w:lineRule="auto"/>
        <w:jc w:val="both"/>
        <w:rPr>
          <w:shd w:val="clear" w:color="auto" w:fill="FFFFFF"/>
        </w:rPr>
      </w:pPr>
    </w:p>
    <w:tbl>
      <w:tblPr>
        <w:tblStyle w:val="TableGrid"/>
        <w:tblW w:w="9016" w:type="dxa"/>
        <w:tblLook w:val="04A0" w:firstRow="1" w:lastRow="0" w:firstColumn="1" w:lastColumn="0" w:noHBand="0" w:noVBand="1"/>
      </w:tblPr>
      <w:tblGrid>
        <w:gridCol w:w="846"/>
        <w:gridCol w:w="1268"/>
        <w:gridCol w:w="1443"/>
        <w:gridCol w:w="1444"/>
        <w:gridCol w:w="1444"/>
        <w:gridCol w:w="1444"/>
        <w:gridCol w:w="1127"/>
      </w:tblGrid>
      <w:tr w:rsidR="00870EC9" w14:paraId="33E851E4" w14:textId="77777777" w:rsidTr="002035DB">
        <w:trPr>
          <w:trHeight w:val="390"/>
        </w:trPr>
        <w:tc>
          <w:tcPr>
            <w:tcW w:w="846" w:type="dxa"/>
            <w:noWrap/>
          </w:tcPr>
          <w:p w14:paraId="5AB4C365" w14:textId="77777777" w:rsidR="00870EC9" w:rsidRDefault="00E01DF4" w:rsidP="002035DB">
            <w:pPr>
              <w:spacing w:line="276" w:lineRule="auto"/>
              <w:jc w:val="both"/>
            </w:pPr>
            <w:r>
              <w:t> </w:t>
            </w:r>
          </w:p>
        </w:tc>
        <w:tc>
          <w:tcPr>
            <w:tcW w:w="1268" w:type="dxa"/>
            <w:noWrap/>
          </w:tcPr>
          <w:p w14:paraId="63B8E3B7" w14:textId="77777777" w:rsidR="00870EC9" w:rsidRDefault="00E01DF4" w:rsidP="002035DB">
            <w:pPr>
              <w:spacing w:line="276" w:lineRule="auto"/>
              <w:jc w:val="both"/>
            </w:pPr>
            <w:r>
              <w:t>Vietnam</w:t>
            </w:r>
          </w:p>
        </w:tc>
        <w:tc>
          <w:tcPr>
            <w:tcW w:w="0" w:type="auto"/>
            <w:noWrap/>
          </w:tcPr>
          <w:p w14:paraId="4704BE25" w14:textId="77777777" w:rsidR="00870EC9" w:rsidRDefault="00E01DF4" w:rsidP="002035DB">
            <w:pPr>
              <w:spacing w:line="276" w:lineRule="auto"/>
              <w:jc w:val="both"/>
            </w:pPr>
            <w:r>
              <w:t>Indo</w:t>
            </w:r>
          </w:p>
        </w:tc>
        <w:tc>
          <w:tcPr>
            <w:tcW w:w="0" w:type="auto"/>
            <w:noWrap/>
          </w:tcPr>
          <w:p w14:paraId="1BFF630A" w14:textId="77777777" w:rsidR="00870EC9" w:rsidRDefault="00E01DF4" w:rsidP="002035DB">
            <w:pPr>
              <w:spacing w:line="276" w:lineRule="auto"/>
              <w:jc w:val="both"/>
            </w:pPr>
            <w:r>
              <w:t>Malay</w:t>
            </w:r>
          </w:p>
        </w:tc>
        <w:tc>
          <w:tcPr>
            <w:tcW w:w="0" w:type="auto"/>
            <w:noWrap/>
          </w:tcPr>
          <w:p w14:paraId="2F87490E" w14:textId="0B926023" w:rsidR="00870EC9" w:rsidRPr="002035DB" w:rsidRDefault="002035DB" w:rsidP="002035DB">
            <w:pPr>
              <w:spacing w:line="276" w:lineRule="auto"/>
              <w:jc w:val="both"/>
              <w:rPr>
                <w:lang w:val="vi-VN"/>
              </w:rPr>
            </w:pPr>
            <w:r>
              <w:rPr>
                <w:lang w:val="vi-VN"/>
              </w:rPr>
              <w:t>Philipin</w:t>
            </w:r>
          </w:p>
        </w:tc>
        <w:tc>
          <w:tcPr>
            <w:tcW w:w="0" w:type="auto"/>
            <w:noWrap/>
          </w:tcPr>
          <w:p w14:paraId="740A706E" w14:textId="77777777" w:rsidR="00870EC9" w:rsidRDefault="00E01DF4" w:rsidP="002035DB">
            <w:pPr>
              <w:spacing w:line="276" w:lineRule="auto"/>
              <w:jc w:val="both"/>
            </w:pPr>
            <w:r>
              <w:t xml:space="preserve">Lao </w:t>
            </w:r>
          </w:p>
        </w:tc>
        <w:tc>
          <w:tcPr>
            <w:tcW w:w="0" w:type="auto"/>
            <w:noWrap/>
          </w:tcPr>
          <w:p w14:paraId="4F881DB4" w14:textId="77777777" w:rsidR="00870EC9" w:rsidRDefault="00E01DF4" w:rsidP="002035DB">
            <w:pPr>
              <w:spacing w:line="276" w:lineRule="auto"/>
              <w:jc w:val="both"/>
            </w:pPr>
            <w:r>
              <w:t>Thailand</w:t>
            </w:r>
          </w:p>
        </w:tc>
      </w:tr>
      <w:tr w:rsidR="00870EC9" w14:paraId="7CD3F055" w14:textId="77777777" w:rsidTr="002035DB">
        <w:trPr>
          <w:trHeight w:val="349"/>
        </w:trPr>
        <w:tc>
          <w:tcPr>
            <w:tcW w:w="846" w:type="dxa"/>
            <w:noWrap/>
          </w:tcPr>
          <w:p w14:paraId="729A66F3" w14:textId="62B97F8B" w:rsidR="00870EC9" w:rsidRDefault="00E01DF4" w:rsidP="002035DB">
            <w:pPr>
              <w:spacing w:line="276" w:lineRule="auto"/>
              <w:jc w:val="both"/>
            </w:pPr>
            <w:r>
              <w:t>STD</w:t>
            </w:r>
          </w:p>
        </w:tc>
        <w:tc>
          <w:tcPr>
            <w:tcW w:w="1268" w:type="dxa"/>
            <w:noWrap/>
          </w:tcPr>
          <w:p w14:paraId="286C714A" w14:textId="30D8294E" w:rsidR="00870EC9" w:rsidRPr="002035DB" w:rsidRDefault="00E01DF4" w:rsidP="002035DB">
            <w:pPr>
              <w:spacing w:line="276" w:lineRule="auto"/>
              <w:jc w:val="both"/>
              <w:rPr>
                <w:sz w:val="22"/>
                <w:szCs w:val="22"/>
              </w:rPr>
            </w:pPr>
            <w:r w:rsidRPr="002035DB">
              <w:rPr>
                <w:sz w:val="22"/>
                <w:szCs w:val="22"/>
              </w:rPr>
              <w:t>11,2262836</w:t>
            </w:r>
          </w:p>
        </w:tc>
        <w:tc>
          <w:tcPr>
            <w:tcW w:w="0" w:type="auto"/>
            <w:noWrap/>
          </w:tcPr>
          <w:p w14:paraId="6342E4D8" w14:textId="77777777" w:rsidR="00870EC9" w:rsidRPr="002035DB" w:rsidRDefault="00E01DF4" w:rsidP="002035DB">
            <w:pPr>
              <w:spacing w:line="276" w:lineRule="auto"/>
              <w:jc w:val="both"/>
              <w:rPr>
                <w:sz w:val="22"/>
                <w:szCs w:val="22"/>
              </w:rPr>
            </w:pPr>
            <w:r w:rsidRPr="002035DB">
              <w:rPr>
                <w:sz w:val="22"/>
                <w:szCs w:val="22"/>
              </w:rPr>
              <w:t>4,941450908</w:t>
            </w:r>
          </w:p>
        </w:tc>
        <w:tc>
          <w:tcPr>
            <w:tcW w:w="0" w:type="auto"/>
            <w:noWrap/>
          </w:tcPr>
          <w:p w14:paraId="18521ED1" w14:textId="77777777" w:rsidR="00870EC9" w:rsidRPr="002035DB" w:rsidRDefault="00E01DF4" w:rsidP="002035DB">
            <w:pPr>
              <w:spacing w:line="276" w:lineRule="auto"/>
              <w:jc w:val="both"/>
              <w:rPr>
                <w:sz w:val="22"/>
                <w:szCs w:val="22"/>
              </w:rPr>
            </w:pPr>
            <w:r w:rsidRPr="002035DB">
              <w:rPr>
                <w:sz w:val="22"/>
                <w:szCs w:val="22"/>
              </w:rPr>
              <w:t>3,896877757</w:t>
            </w:r>
          </w:p>
        </w:tc>
        <w:tc>
          <w:tcPr>
            <w:tcW w:w="0" w:type="auto"/>
            <w:noWrap/>
          </w:tcPr>
          <w:p w14:paraId="2175046E" w14:textId="77777777" w:rsidR="00870EC9" w:rsidRPr="002035DB" w:rsidRDefault="00E01DF4" w:rsidP="002035DB">
            <w:pPr>
              <w:spacing w:line="276" w:lineRule="auto"/>
              <w:jc w:val="both"/>
              <w:rPr>
                <w:sz w:val="22"/>
                <w:szCs w:val="22"/>
              </w:rPr>
            </w:pPr>
            <w:r w:rsidRPr="002035DB">
              <w:rPr>
                <w:sz w:val="22"/>
                <w:szCs w:val="22"/>
              </w:rPr>
              <w:t>1,884931659</w:t>
            </w:r>
          </w:p>
        </w:tc>
        <w:tc>
          <w:tcPr>
            <w:tcW w:w="0" w:type="auto"/>
            <w:noWrap/>
          </w:tcPr>
          <w:p w14:paraId="2137B4E6" w14:textId="77777777" w:rsidR="00870EC9" w:rsidRPr="002035DB" w:rsidRDefault="00E01DF4" w:rsidP="002035DB">
            <w:pPr>
              <w:spacing w:line="276" w:lineRule="auto"/>
              <w:jc w:val="both"/>
              <w:rPr>
                <w:sz w:val="22"/>
                <w:szCs w:val="22"/>
              </w:rPr>
            </w:pPr>
            <w:r w:rsidRPr="002035DB">
              <w:rPr>
                <w:sz w:val="22"/>
                <w:szCs w:val="22"/>
              </w:rPr>
              <w:t>4,775827373</w:t>
            </w:r>
          </w:p>
        </w:tc>
        <w:tc>
          <w:tcPr>
            <w:tcW w:w="0" w:type="auto"/>
            <w:noWrap/>
          </w:tcPr>
          <w:p w14:paraId="71239339" w14:textId="1D3E2FB4" w:rsidR="00870EC9" w:rsidRPr="002035DB" w:rsidRDefault="00E01DF4" w:rsidP="002035DB">
            <w:pPr>
              <w:spacing w:line="276" w:lineRule="auto"/>
              <w:jc w:val="both"/>
              <w:rPr>
                <w:sz w:val="22"/>
                <w:szCs w:val="22"/>
              </w:rPr>
            </w:pPr>
            <w:r w:rsidRPr="002035DB">
              <w:rPr>
                <w:sz w:val="22"/>
                <w:szCs w:val="22"/>
              </w:rPr>
              <w:t>1,681836</w:t>
            </w:r>
          </w:p>
        </w:tc>
      </w:tr>
    </w:tbl>
    <w:p w14:paraId="3533AD54" w14:textId="45283806" w:rsidR="00291CDC" w:rsidRPr="00291CDC" w:rsidRDefault="00291CDC" w:rsidP="002035DB">
      <w:pPr>
        <w:spacing w:line="276" w:lineRule="auto"/>
        <w:jc w:val="both"/>
        <w:rPr>
          <w:b/>
          <w:bCs/>
          <w:i/>
          <w:iCs/>
          <w:color w:val="C45911" w:themeColor="accent2" w:themeShade="BF"/>
          <w:lang w:val="vi-VN"/>
        </w:rPr>
      </w:pPr>
      <w:r w:rsidRPr="00291CDC">
        <w:rPr>
          <w:i/>
          <w:iCs/>
          <w:color w:val="C45911" w:themeColor="accent2" w:themeShade="BF"/>
          <w:lang w:val="vi-VN"/>
        </w:rPr>
        <w:t xml:space="preserve">Table 9: standard deviation of </w:t>
      </w:r>
      <w:r w:rsidRPr="00291CDC">
        <w:rPr>
          <w:b/>
          <w:bCs/>
          <w:i/>
          <w:iCs/>
          <w:color w:val="C45911" w:themeColor="accent2" w:themeShade="BF"/>
          <w:lang w:val="vi-VN"/>
        </w:rPr>
        <w:t xml:space="preserve">inflation rate </w:t>
      </w:r>
    </w:p>
    <w:p w14:paraId="4FE6D230" w14:textId="6155D75B" w:rsidR="00870EC9" w:rsidRDefault="00E01DF4" w:rsidP="002035DB">
      <w:pPr>
        <w:spacing w:line="276" w:lineRule="auto"/>
        <w:jc w:val="both"/>
      </w:pPr>
      <w:r>
        <w:lastRenderedPageBreak/>
        <w:t xml:space="preserve">Among 6 nations in Asian area, Vietnam has the most dispersed standardize deviation is synonymous with </w:t>
      </w:r>
      <w:r>
        <w:t>inflation rate in Vietnam has witnessed a changeable fluctuation over past 20 years, considerably affecting Vietnam’s FDI attractiveness.</w:t>
      </w:r>
    </w:p>
    <w:p w14:paraId="12F4351F" w14:textId="77777777" w:rsidR="004E1D81" w:rsidRDefault="004E1D81" w:rsidP="002035DB">
      <w:pPr>
        <w:spacing w:line="276" w:lineRule="auto"/>
        <w:jc w:val="both"/>
      </w:pPr>
    </w:p>
    <w:p w14:paraId="651A48C3" w14:textId="77777777" w:rsidR="00870EC9" w:rsidRDefault="00E01DF4" w:rsidP="002035DB">
      <w:pPr>
        <w:spacing w:line="276" w:lineRule="auto"/>
        <w:jc w:val="both"/>
      </w:pPr>
      <w:r>
        <w:rPr>
          <w:noProof/>
          <w14:ligatures w14:val="standardContextual"/>
        </w:rPr>
        <w:drawing>
          <wp:inline distT="0" distB="0" distL="0" distR="0" wp14:anchorId="43B5F909" wp14:editId="1385DA84">
            <wp:extent cx="5570220" cy="2509934"/>
            <wp:effectExtent l="0" t="0" r="17780" b="17780"/>
            <wp:docPr id="4890614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664C10" w14:textId="779AEB7B" w:rsidR="00870EC9" w:rsidRDefault="00E01DF4" w:rsidP="002035DB">
      <w:pPr>
        <w:spacing w:line="276" w:lineRule="auto"/>
        <w:jc w:val="both"/>
        <w:rPr>
          <w:i/>
          <w:iCs/>
          <w:color w:val="C45911" w:themeColor="accent2" w:themeShade="BF"/>
        </w:rPr>
      </w:pPr>
      <w:r w:rsidRPr="00291CDC">
        <w:rPr>
          <w:i/>
          <w:iCs/>
          <w:color w:val="C45911" w:themeColor="accent2" w:themeShade="BF"/>
        </w:rPr>
        <w:t xml:space="preserve">Figure </w:t>
      </w:r>
      <w:r w:rsidR="00291CDC" w:rsidRPr="00291CDC">
        <w:rPr>
          <w:i/>
          <w:iCs/>
          <w:color w:val="C45911" w:themeColor="accent2" w:themeShade="BF"/>
          <w:lang w:val="vi-VN"/>
        </w:rPr>
        <w:t>13</w:t>
      </w:r>
      <w:r w:rsidRPr="00291CDC">
        <w:rPr>
          <w:i/>
          <w:iCs/>
          <w:color w:val="C45911" w:themeColor="accent2" w:themeShade="BF"/>
        </w:rPr>
        <w:t>: Fluctuation of Vietnam’s Inflation rate and FDI from 2000 to 2022.</w:t>
      </w:r>
    </w:p>
    <w:p w14:paraId="6497000A" w14:textId="561A54B1" w:rsidR="00870EC9" w:rsidRDefault="00870EC9" w:rsidP="002035DB">
      <w:pPr>
        <w:spacing w:line="276" w:lineRule="auto"/>
        <w:jc w:val="both"/>
      </w:pPr>
    </w:p>
    <w:p w14:paraId="0FE9665D" w14:textId="77777777" w:rsidR="00870EC9" w:rsidRDefault="00E01DF4" w:rsidP="002035DB">
      <w:pPr>
        <w:spacing w:line="276" w:lineRule="auto"/>
        <w:jc w:val="both"/>
        <w:rPr>
          <w:b/>
          <w:bCs/>
        </w:rPr>
      </w:pPr>
      <w:r>
        <w:rPr>
          <w:b/>
          <w:bCs/>
        </w:rPr>
        <w:t xml:space="preserve">*Time to start a business: X9_TIME. </w:t>
      </w:r>
    </w:p>
    <w:p w14:paraId="0808B263" w14:textId="77777777" w:rsidR="00870EC9" w:rsidRDefault="00E01DF4" w:rsidP="002035DB">
      <w:pPr>
        <w:spacing w:line="276" w:lineRule="auto"/>
        <w:jc w:val="both"/>
        <w:rPr>
          <w:b/>
          <w:bCs/>
        </w:rPr>
      </w:pPr>
      <w:r>
        <w:rPr>
          <w:noProof/>
          <w14:ligatures w14:val="standardContextual"/>
        </w:rPr>
        <w:drawing>
          <wp:inline distT="0" distB="0" distL="0" distR="0" wp14:anchorId="371FA2CA" wp14:editId="0CF37806">
            <wp:extent cx="5570220" cy="2771775"/>
            <wp:effectExtent l="0" t="0" r="17780" b="9525"/>
            <wp:docPr id="13433825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BAB0F03" w14:textId="5FF3690D" w:rsidR="00291CDC" w:rsidRDefault="00291CDC" w:rsidP="002035DB">
      <w:pPr>
        <w:spacing w:line="276" w:lineRule="auto"/>
        <w:jc w:val="both"/>
        <w:rPr>
          <w:i/>
          <w:iCs/>
          <w:color w:val="C45911" w:themeColor="accent2" w:themeShade="BF"/>
        </w:rPr>
      </w:pPr>
      <w:r w:rsidRPr="002035DB">
        <w:rPr>
          <w:i/>
          <w:iCs/>
          <w:color w:val="C45911" w:themeColor="accent2" w:themeShade="BF"/>
        </w:rPr>
        <w:t xml:space="preserve">Figure </w:t>
      </w:r>
      <w:r w:rsidRPr="002035DB">
        <w:rPr>
          <w:i/>
          <w:iCs/>
          <w:color w:val="C45911" w:themeColor="accent2" w:themeShade="BF"/>
          <w:lang w:val="vi-VN"/>
        </w:rPr>
        <w:t>1</w:t>
      </w:r>
      <w:r>
        <w:rPr>
          <w:i/>
          <w:iCs/>
          <w:color w:val="C45911" w:themeColor="accent2" w:themeShade="BF"/>
          <w:lang w:val="vi-VN"/>
        </w:rPr>
        <w:t>4</w:t>
      </w:r>
      <w:r w:rsidRPr="002035DB">
        <w:rPr>
          <w:i/>
          <w:iCs/>
          <w:color w:val="C45911" w:themeColor="accent2" w:themeShade="BF"/>
          <w:lang w:val="vi-VN"/>
        </w:rPr>
        <w:t>:</w:t>
      </w:r>
      <w:r w:rsidRPr="002035DB">
        <w:rPr>
          <w:i/>
          <w:iCs/>
          <w:color w:val="C45911" w:themeColor="accent2" w:themeShade="BF"/>
        </w:rPr>
        <w:t xml:space="preserve"> the correlation btw</w:t>
      </w:r>
      <w:r w:rsidRPr="002035DB">
        <w:rPr>
          <w:i/>
          <w:iCs/>
          <w:color w:val="C45911" w:themeColor="accent2" w:themeShade="BF"/>
          <w:lang w:val="vi-VN"/>
        </w:rPr>
        <w:t xml:space="preserve"> </w:t>
      </w:r>
      <w:r w:rsidRPr="00291CDC">
        <w:rPr>
          <w:b/>
          <w:bCs/>
          <w:i/>
          <w:iCs/>
          <w:color w:val="C45911" w:themeColor="accent2" w:themeShade="BF"/>
          <w:lang w:val="vi-VN"/>
        </w:rPr>
        <w:t>Time Var</w:t>
      </w:r>
      <w:r w:rsidRPr="002035DB">
        <w:rPr>
          <w:i/>
          <w:iCs/>
          <w:color w:val="C45911" w:themeColor="accent2" w:themeShade="BF"/>
        </w:rPr>
        <w:t xml:space="preserve"> and FDI Flow</w:t>
      </w:r>
    </w:p>
    <w:p w14:paraId="044D28E7" w14:textId="77777777" w:rsidR="00291CDC" w:rsidRDefault="00291CDC" w:rsidP="002035DB">
      <w:pPr>
        <w:spacing w:line="276" w:lineRule="auto"/>
        <w:jc w:val="both"/>
        <w:rPr>
          <w:b/>
          <w:bCs/>
        </w:rPr>
      </w:pPr>
    </w:p>
    <w:tbl>
      <w:tblPr>
        <w:tblStyle w:val="TableGrid"/>
        <w:tblW w:w="5000" w:type="pct"/>
        <w:tblLook w:val="04A0" w:firstRow="1" w:lastRow="0" w:firstColumn="1" w:lastColumn="0" w:noHBand="0" w:noVBand="1"/>
      </w:tblPr>
      <w:tblGrid>
        <w:gridCol w:w="1853"/>
        <w:gridCol w:w="2220"/>
        <w:gridCol w:w="2220"/>
        <w:gridCol w:w="2723"/>
      </w:tblGrid>
      <w:tr w:rsidR="00870EC9" w14:paraId="6C1D2FA0" w14:textId="77777777">
        <w:trPr>
          <w:trHeight w:val="340"/>
        </w:trPr>
        <w:tc>
          <w:tcPr>
            <w:tcW w:w="1028" w:type="pct"/>
            <w:noWrap/>
          </w:tcPr>
          <w:p w14:paraId="50B04712" w14:textId="77777777" w:rsidR="00870EC9" w:rsidRDefault="00E01DF4" w:rsidP="002035DB">
            <w:pPr>
              <w:spacing w:line="276" w:lineRule="auto"/>
              <w:jc w:val="both"/>
              <w:rPr>
                <w:i/>
                <w:iCs/>
              </w:rPr>
            </w:pPr>
            <w:r>
              <w:rPr>
                <w:i/>
                <w:iCs/>
              </w:rPr>
              <w:t xml:space="preserve">Covariance: </w:t>
            </w:r>
          </w:p>
        </w:tc>
        <w:tc>
          <w:tcPr>
            <w:tcW w:w="1231" w:type="pct"/>
            <w:noWrap/>
          </w:tcPr>
          <w:p w14:paraId="15A365D8" w14:textId="77777777" w:rsidR="00870EC9" w:rsidRDefault="00E01DF4" w:rsidP="002035DB">
            <w:pPr>
              <w:spacing w:line="276" w:lineRule="auto"/>
              <w:jc w:val="both"/>
              <w:rPr>
                <w:i/>
                <w:iCs/>
              </w:rPr>
            </w:pPr>
            <w:r>
              <w:rPr>
                <w:i/>
                <w:iCs/>
              </w:rPr>
              <w:t>-40317893281</w:t>
            </w:r>
          </w:p>
        </w:tc>
        <w:tc>
          <w:tcPr>
            <w:tcW w:w="1231" w:type="pct"/>
            <w:noWrap/>
          </w:tcPr>
          <w:p w14:paraId="3886BCF3" w14:textId="77777777" w:rsidR="00870EC9" w:rsidRDefault="00E01DF4" w:rsidP="002035DB">
            <w:pPr>
              <w:spacing w:line="276" w:lineRule="auto"/>
              <w:jc w:val="both"/>
              <w:rPr>
                <w:i/>
                <w:iCs/>
              </w:rPr>
            </w:pPr>
            <w:r>
              <w:rPr>
                <w:i/>
                <w:iCs/>
              </w:rPr>
              <w:t xml:space="preserve">&lt;0 </w:t>
            </w:r>
          </w:p>
        </w:tc>
        <w:tc>
          <w:tcPr>
            <w:tcW w:w="1510" w:type="pct"/>
            <w:noWrap/>
          </w:tcPr>
          <w:p w14:paraId="240B99EF" w14:textId="77777777" w:rsidR="00870EC9" w:rsidRDefault="00E01DF4" w:rsidP="002035DB">
            <w:pPr>
              <w:spacing w:line="276" w:lineRule="auto"/>
              <w:jc w:val="both"/>
              <w:rPr>
                <w:i/>
                <w:iCs/>
              </w:rPr>
            </w:pPr>
            <w:r>
              <w:rPr>
                <w:i/>
                <w:iCs/>
              </w:rPr>
              <w:t>negative correlation</w:t>
            </w:r>
          </w:p>
        </w:tc>
      </w:tr>
      <w:tr w:rsidR="00870EC9" w14:paraId="5940CF7C" w14:textId="77777777">
        <w:trPr>
          <w:trHeight w:val="340"/>
        </w:trPr>
        <w:tc>
          <w:tcPr>
            <w:tcW w:w="1028" w:type="pct"/>
            <w:noWrap/>
          </w:tcPr>
          <w:p w14:paraId="36B90A1B" w14:textId="77777777" w:rsidR="00870EC9" w:rsidRDefault="00E01DF4" w:rsidP="002035DB">
            <w:pPr>
              <w:spacing w:line="276" w:lineRule="auto"/>
              <w:jc w:val="both"/>
              <w:rPr>
                <w:i/>
                <w:iCs/>
              </w:rPr>
            </w:pPr>
            <w:r>
              <w:rPr>
                <w:i/>
                <w:iCs/>
              </w:rPr>
              <w:t>Correl</w:t>
            </w:r>
          </w:p>
        </w:tc>
        <w:tc>
          <w:tcPr>
            <w:tcW w:w="1231" w:type="pct"/>
            <w:noWrap/>
          </w:tcPr>
          <w:p w14:paraId="73C586BF" w14:textId="77777777" w:rsidR="00870EC9" w:rsidRDefault="00E01DF4" w:rsidP="002035DB">
            <w:pPr>
              <w:spacing w:line="276" w:lineRule="auto"/>
              <w:jc w:val="both"/>
              <w:rPr>
                <w:i/>
                <w:iCs/>
              </w:rPr>
            </w:pPr>
            <w:r>
              <w:rPr>
                <w:i/>
                <w:iCs/>
              </w:rPr>
              <w:t>-0,393274515</w:t>
            </w:r>
          </w:p>
        </w:tc>
        <w:tc>
          <w:tcPr>
            <w:tcW w:w="1231" w:type="pct"/>
            <w:noWrap/>
          </w:tcPr>
          <w:p w14:paraId="7BCF3E86" w14:textId="77777777" w:rsidR="00870EC9" w:rsidRDefault="00E01DF4" w:rsidP="002035DB">
            <w:pPr>
              <w:spacing w:line="276" w:lineRule="auto"/>
              <w:jc w:val="both"/>
              <w:rPr>
                <w:i/>
                <w:iCs/>
              </w:rPr>
            </w:pPr>
            <w:r>
              <w:rPr>
                <w:i/>
                <w:iCs/>
              </w:rPr>
              <w:t xml:space="preserve">&lt;0 </w:t>
            </w:r>
          </w:p>
        </w:tc>
        <w:tc>
          <w:tcPr>
            <w:tcW w:w="1510" w:type="pct"/>
            <w:noWrap/>
          </w:tcPr>
          <w:p w14:paraId="589EA585" w14:textId="77777777" w:rsidR="00870EC9" w:rsidRDefault="00E01DF4" w:rsidP="002035DB">
            <w:pPr>
              <w:spacing w:line="276" w:lineRule="auto"/>
              <w:jc w:val="both"/>
              <w:rPr>
                <w:i/>
                <w:iCs/>
              </w:rPr>
            </w:pPr>
            <w:r>
              <w:rPr>
                <w:i/>
                <w:iCs/>
              </w:rPr>
              <w:t>negative correlation</w:t>
            </w:r>
          </w:p>
        </w:tc>
      </w:tr>
    </w:tbl>
    <w:p w14:paraId="26649EAA" w14:textId="5BC1150A" w:rsidR="00870EC9" w:rsidRDefault="00291CDC" w:rsidP="002035DB">
      <w:pPr>
        <w:spacing w:line="276" w:lineRule="auto"/>
        <w:jc w:val="both"/>
        <w:rPr>
          <w:i/>
          <w:iCs/>
          <w:color w:val="C45911" w:themeColor="accent2" w:themeShade="BF"/>
          <w:lang w:val="vi-VN"/>
        </w:rPr>
      </w:pPr>
      <w:r w:rsidRPr="00291CDC">
        <w:rPr>
          <w:i/>
          <w:iCs/>
          <w:color w:val="C45911" w:themeColor="accent2" w:themeShade="BF"/>
          <w:lang w:val="vi-VN"/>
        </w:rPr>
        <w:t>Table 10.</w:t>
      </w:r>
    </w:p>
    <w:p w14:paraId="52AB855F" w14:textId="77777777" w:rsidR="00291CDC" w:rsidRPr="00291CDC" w:rsidRDefault="00291CDC" w:rsidP="002035DB">
      <w:pPr>
        <w:spacing w:line="276" w:lineRule="auto"/>
        <w:jc w:val="both"/>
        <w:rPr>
          <w:i/>
          <w:iCs/>
          <w:color w:val="C45911" w:themeColor="accent2" w:themeShade="BF"/>
          <w:lang w:val="vi-VN"/>
        </w:rPr>
      </w:pPr>
    </w:p>
    <w:p w14:paraId="3CC4485F" w14:textId="39E69B87" w:rsidR="00291CDC" w:rsidRPr="00291CDC" w:rsidRDefault="00E01DF4" w:rsidP="002035DB">
      <w:pPr>
        <w:spacing w:line="276" w:lineRule="auto"/>
        <w:jc w:val="both"/>
        <w:rPr>
          <w:i/>
          <w:iCs/>
          <w:lang w:val="vi-VN"/>
        </w:rPr>
      </w:pPr>
      <w:r w:rsidRPr="00291CDC">
        <w:rPr>
          <w:i/>
          <w:iCs/>
        </w:rPr>
        <w:t xml:space="preserve">When the </w:t>
      </w:r>
      <w:r w:rsidRPr="00291CDC">
        <w:rPr>
          <w:i/>
          <w:iCs/>
        </w:rPr>
        <w:t>time to register for operations increases by 1 day, it is estimated that FDI inflows will decrease by 19.66 million</w:t>
      </w:r>
      <w:r w:rsidR="00291CDC">
        <w:rPr>
          <w:i/>
          <w:iCs/>
          <w:lang w:val="vi-VN"/>
        </w:rPr>
        <w:t xml:space="preserve"> (table 7).</w:t>
      </w:r>
    </w:p>
    <w:p w14:paraId="09449236" w14:textId="77777777" w:rsidR="00291CDC" w:rsidRDefault="00291CDC" w:rsidP="002035DB">
      <w:pPr>
        <w:spacing w:line="276" w:lineRule="auto"/>
        <w:jc w:val="both"/>
      </w:pPr>
    </w:p>
    <w:p w14:paraId="7D27B8B2" w14:textId="22CE96A9" w:rsidR="00870EC9" w:rsidRDefault="00291CDC" w:rsidP="002035DB">
      <w:pPr>
        <w:spacing w:line="276" w:lineRule="auto"/>
        <w:jc w:val="both"/>
      </w:pPr>
      <w:r w:rsidRPr="00291CDC">
        <w:rPr>
          <w:i/>
          <w:iCs/>
          <w:u w:val="single"/>
        </w:rPr>
        <w:lastRenderedPageBreak/>
        <w:t>Hidden</w:t>
      </w:r>
      <w:r w:rsidRPr="00291CDC">
        <w:rPr>
          <w:i/>
          <w:iCs/>
          <w:u w:val="single"/>
          <w:lang w:val="vi-VN"/>
        </w:rPr>
        <w:t xml:space="preserve"> cause:</w:t>
      </w:r>
      <w:r>
        <w:rPr>
          <w:lang w:val="vi-VN"/>
        </w:rPr>
        <w:t xml:space="preserve"> </w:t>
      </w:r>
      <w:r w:rsidR="00E01DF4">
        <w:t>This is consistent with the nature of foreign investment as business activities, a favorable institutional environment will reduce risks and costs incurred, thereby creating motivation for FDI to participate in the market. In this case, an investor needs to have a business license and not be put on the waiting list for a backlogged license in an ununified regime. Component index reflects post-business registration policies and regulations at the local level: transparency is a measure to know whether busines</w:t>
      </w:r>
      <w:r w:rsidR="00E01DF4">
        <w:t>ses have access to legal documents and related documents, planning necessary to operate their business or not.</w:t>
      </w:r>
    </w:p>
    <w:p w14:paraId="77E575CD" w14:textId="77777777" w:rsidR="00870EC9" w:rsidRPr="00E01DF4" w:rsidRDefault="00870EC9" w:rsidP="002035DB">
      <w:pPr>
        <w:spacing w:line="276" w:lineRule="auto"/>
        <w:jc w:val="both"/>
        <w:rPr>
          <w:lang w:val="vi-VN"/>
        </w:rPr>
      </w:pPr>
    </w:p>
    <w:p w14:paraId="4E7AA13B" w14:textId="77777777" w:rsidR="00B719CB" w:rsidRDefault="00B719CB" w:rsidP="002035DB">
      <w:pPr>
        <w:spacing w:line="276" w:lineRule="auto"/>
        <w:jc w:val="both"/>
      </w:pPr>
    </w:p>
    <w:p w14:paraId="51882B0D" w14:textId="77777777" w:rsidR="00870EC9" w:rsidRPr="00291CDC" w:rsidRDefault="00E01DF4" w:rsidP="002035DB">
      <w:pPr>
        <w:pStyle w:val="NormalWeb"/>
        <w:spacing w:before="0" w:beforeAutospacing="0" w:after="0" w:afterAutospacing="0" w:line="276" w:lineRule="auto"/>
        <w:jc w:val="both"/>
        <w:rPr>
          <w:rStyle w:val="SubtleReference1"/>
          <w:sz w:val="28"/>
          <w:szCs w:val="28"/>
        </w:rPr>
      </w:pPr>
      <w:r w:rsidRPr="00291CDC">
        <w:rPr>
          <w:b/>
          <w:bCs/>
          <w:smallCaps/>
          <w:color w:val="4472C4" w:themeColor="accent1"/>
          <w:sz w:val="28"/>
          <w:szCs w:val="28"/>
          <w:lang w:val="vi-VN"/>
        </w:rPr>
        <w:t>Section</w:t>
      </w:r>
      <w:r w:rsidRPr="00291CDC">
        <w:rPr>
          <w:b/>
          <w:bCs/>
          <w:smallCaps/>
          <w:color w:val="4472C4" w:themeColor="accent1"/>
          <w:sz w:val="28"/>
          <w:szCs w:val="28"/>
        </w:rPr>
        <w:t xml:space="preserve"> 3.</w:t>
      </w:r>
      <w:r w:rsidRPr="00291CDC">
        <w:rPr>
          <w:b/>
          <w:bCs/>
          <w:smallCaps/>
          <w:color w:val="4472C4" w:themeColor="accent1"/>
          <w:sz w:val="28"/>
          <w:szCs w:val="28"/>
          <w:lang w:val="vi-VN"/>
        </w:rPr>
        <w:t xml:space="preserve"> Conclusion and policy implication</w:t>
      </w:r>
    </w:p>
    <w:p w14:paraId="6FE86AA9" w14:textId="77777777" w:rsidR="00870EC9" w:rsidRDefault="00E01DF4" w:rsidP="002035DB">
      <w:pPr>
        <w:pStyle w:val="Heading1"/>
        <w:numPr>
          <w:ilvl w:val="0"/>
          <w:numId w:val="4"/>
        </w:numPr>
        <w:spacing w:line="276" w:lineRule="auto"/>
        <w:ind w:left="360"/>
        <w:jc w:val="both"/>
        <w:rPr>
          <w:rFonts w:cs="Times New Roman"/>
          <w:color w:val="auto"/>
          <w:szCs w:val="24"/>
        </w:rPr>
      </w:pPr>
      <w:bookmarkStart w:id="24" w:name="_Toc157241264"/>
      <w:r>
        <w:rPr>
          <w:rFonts w:cs="Times New Roman"/>
          <w:color w:val="auto"/>
          <w:szCs w:val="24"/>
        </w:rPr>
        <w:t>CONCLUSION</w:t>
      </w:r>
      <w:bookmarkEnd w:id="24"/>
      <w:r>
        <w:rPr>
          <w:rFonts w:cs="Times New Roman"/>
          <w:color w:val="auto"/>
          <w:szCs w:val="24"/>
        </w:rPr>
        <w:t xml:space="preserve"> </w:t>
      </w:r>
    </w:p>
    <w:p w14:paraId="6B720C87" w14:textId="77777777" w:rsidR="00291CDC" w:rsidRDefault="00E01DF4" w:rsidP="002035DB">
      <w:pPr>
        <w:spacing w:line="276" w:lineRule="auto"/>
        <w:jc w:val="both"/>
      </w:pPr>
      <w:r>
        <w:t>Based on the points mentioned above, it can clearly see that FDI in Vietnam has grown significantly and has an important role in global economics. Factors influencing foreign direct investment (FDI) include the "investment climate," which encompasses general policies and conditions that impact a nation's ease of doing business (corruption, macroeconomic environment, legal system, infrastructure), and the "market potential for growth," which impacts the market's supply and demand. Some factors are less signi</w:t>
      </w:r>
      <w:r>
        <w:t xml:space="preserve">ficant than those mentioned but still have a significant impact on the flow of foreign direct investment into Vietnam, such as "tax rates," "human rights," "rule of law," and protection of property rights. "Political and security" factors are related to the stability and transparency of the political and legal system in the country. </w:t>
      </w:r>
    </w:p>
    <w:p w14:paraId="2FDD5A40" w14:textId="1FEB716C" w:rsidR="00870EC9" w:rsidRDefault="00E01DF4" w:rsidP="002035DB">
      <w:pPr>
        <w:spacing w:line="276" w:lineRule="auto"/>
        <w:jc w:val="both"/>
      </w:pPr>
      <w:r>
        <w:t xml:space="preserve">Vietnam’s technical innovation is falling behind other nations, which presents a serious challenge as global demands shift to include greater criteria for quality, environmental responsibility, and sustainable value. Because of the changes in production, higher degrees of technology and innovation are needed. Our analysis revealed that Vietnam's potential for innovation is still low, with both domestic and foreign direct investment (FDI) spending little on research and development (R&amp;D). </w:t>
      </w:r>
    </w:p>
    <w:p w14:paraId="59DC12FA" w14:textId="1D829B85" w:rsidR="00870EC9" w:rsidRDefault="00E01DF4" w:rsidP="00291CDC">
      <w:pPr>
        <w:pStyle w:val="Heading1"/>
        <w:numPr>
          <w:ilvl w:val="0"/>
          <w:numId w:val="4"/>
        </w:numPr>
        <w:spacing w:line="276" w:lineRule="auto"/>
        <w:jc w:val="both"/>
        <w:rPr>
          <w:rFonts w:cs="Times New Roman"/>
          <w:color w:val="auto"/>
          <w:szCs w:val="24"/>
        </w:rPr>
      </w:pPr>
      <w:bookmarkStart w:id="25" w:name="_Toc157241265"/>
      <w:r>
        <w:rPr>
          <w:rFonts w:cs="Times New Roman"/>
          <w:color w:val="auto"/>
          <w:szCs w:val="24"/>
        </w:rPr>
        <w:t>RECOMMENDATION</w:t>
      </w:r>
      <w:bookmarkEnd w:id="25"/>
    </w:p>
    <w:p w14:paraId="52ABA26A" w14:textId="58E183C7" w:rsidR="00291CDC" w:rsidRPr="0003734A" w:rsidRDefault="00291CDC" w:rsidP="00291CDC">
      <w:pPr>
        <w:rPr>
          <w:u w:val="single"/>
          <w:lang w:val="vi-VN"/>
        </w:rPr>
      </w:pPr>
      <w:r w:rsidRPr="0003734A">
        <w:rPr>
          <w:u w:val="single"/>
          <w:lang w:val="vi-VN"/>
        </w:rPr>
        <w:t>a. Shift concentration to exchange rate factors</w:t>
      </w:r>
      <w:r w:rsidR="0003734A" w:rsidRPr="0003734A">
        <w:rPr>
          <w:u w:val="single"/>
          <w:lang w:val="vi-VN"/>
        </w:rPr>
        <w:t xml:space="preserve">: </w:t>
      </w:r>
    </w:p>
    <w:p w14:paraId="737A3CBF" w14:textId="77777777" w:rsidR="00291CDC" w:rsidRDefault="00E01DF4" w:rsidP="002035DB">
      <w:pPr>
        <w:spacing w:line="276" w:lineRule="auto"/>
        <w:jc w:val="both"/>
      </w:pPr>
      <w:r>
        <w:t>A</w:t>
      </w:r>
      <w:r>
        <w:t xml:space="preserve">ccording to Dr.  Nguyen Tu Anh, Director of the Center for Economic Information, Analysis and Forecasting (Central Economic Committee), Vietnam is becoming a "magnet" to attract FDI. It should be emphasized that foreign investors only pour capital into Vietnam when the exchange rate is kept stable. </w:t>
      </w:r>
    </w:p>
    <w:p w14:paraId="48035DCF" w14:textId="77777777" w:rsidR="00291CDC" w:rsidRDefault="00291CDC" w:rsidP="002035DB">
      <w:pPr>
        <w:spacing w:line="276" w:lineRule="auto"/>
        <w:jc w:val="both"/>
      </w:pPr>
      <w:r>
        <w:rPr>
          <w:lang w:val="vi-VN"/>
        </w:rPr>
        <w:t xml:space="preserve">- </w:t>
      </w:r>
      <w:r w:rsidR="00E01DF4">
        <w:t xml:space="preserve">Exchange rate fluctuations can impact the relative prices of goods and services between countries, affecting the ability of domestic businesses to compete in global markets.  </w:t>
      </w:r>
    </w:p>
    <w:p w14:paraId="1FD97B02" w14:textId="77777777" w:rsidR="00291CDC" w:rsidRDefault="00291CDC" w:rsidP="002035DB">
      <w:pPr>
        <w:spacing w:line="276" w:lineRule="auto"/>
        <w:jc w:val="both"/>
      </w:pPr>
      <w:r>
        <w:rPr>
          <w:lang w:val="vi-VN"/>
        </w:rPr>
        <w:t>- C</w:t>
      </w:r>
      <w:proofErr w:type="spellStart"/>
      <w:r w:rsidR="00E01DF4">
        <w:t>hanges</w:t>
      </w:r>
      <w:proofErr w:type="spellEnd"/>
      <w:r w:rsidR="00E01DF4">
        <w:t xml:space="preserve"> in production costs, trade flows and income levels can affect a country's attractiveness for foreign investment.  </w:t>
      </w:r>
    </w:p>
    <w:p w14:paraId="6AD0F6D5" w14:textId="215548D4" w:rsidR="00870EC9" w:rsidRDefault="00291CDC" w:rsidP="002035DB">
      <w:pPr>
        <w:spacing w:line="276" w:lineRule="auto"/>
        <w:jc w:val="both"/>
        <w:rPr>
          <w:rFonts w:ascii="Cambria Math" w:hAnsi="Cambria Math" w:cs="Cambria Math"/>
        </w:rPr>
      </w:pPr>
      <w:r>
        <w:rPr>
          <w:lang w:val="vi-VN"/>
        </w:rPr>
        <w:t>- E</w:t>
      </w:r>
      <w:proofErr w:type="spellStart"/>
      <w:r w:rsidR="00E01DF4">
        <w:t>xchange</w:t>
      </w:r>
      <w:proofErr w:type="spellEnd"/>
      <w:r w:rsidR="00E01DF4">
        <w:t xml:space="preserve"> rate fluctuations can affect the expected return and risk of foreign investment, which can impact investment decisions </w:t>
      </w:r>
    </w:p>
    <w:p w14:paraId="74BE15D7" w14:textId="56B845D7" w:rsidR="0003734A" w:rsidRPr="0003734A" w:rsidRDefault="0003734A" w:rsidP="002035DB">
      <w:pPr>
        <w:spacing w:line="276" w:lineRule="auto"/>
        <w:jc w:val="both"/>
        <w:rPr>
          <w:u w:val="single"/>
          <w:lang w:val="vi-VN"/>
        </w:rPr>
      </w:pPr>
      <w:r w:rsidRPr="0003734A">
        <w:rPr>
          <w:u w:val="single"/>
          <w:lang w:val="vi-VN"/>
        </w:rPr>
        <w:t xml:space="preserve">b. </w:t>
      </w:r>
      <w:r>
        <w:rPr>
          <w:u w:val="single"/>
          <w:lang w:val="vi-VN"/>
        </w:rPr>
        <w:t>S</w:t>
      </w:r>
      <w:r w:rsidRPr="0003734A">
        <w:rPr>
          <w:u w:val="single"/>
          <w:lang w:val="vi-VN"/>
        </w:rPr>
        <w:t>ecurity environment careness.</w:t>
      </w:r>
    </w:p>
    <w:p w14:paraId="31CEB5E7" w14:textId="6C027589" w:rsidR="0003734A" w:rsidRPr="0003734A" w:rsidRDefault="00E01DF4" w:rsidP="002035DB">
      <w:pPr>
        <w:spacing w:line="276" w:lineRule="auto"/>
        <w:jc w:val="both"/>
        <w:rPr>
          <w:lang w:val="vi-VN"/>
        </w:rPr>
      </w:pPr>
      <w:r>
        <w:t xml:space="preserve">Foreign investors are highly interested in Vietnam due to its numerous advantages in attracting FDI. Since starting activities in Vietnam requires </w:t>
      </w:r>
      <w:r>
        <w:t>security environment</w:t>
      </w:r>
      <w:r w:rsidR="0003734A">
        <w:rPr>
          <w:lang w:val="vi-VN"/>
        </w:rPr>
        <w:t>:</w:t>
      </w:r>
    </w:p>
    <w:p w14:paraId="4F5193B6" w14:textId="77777777" w:rsidR="0003734A" w:rsidRDefault="0003734A" w:rsidP="002035DB">
      <w:pPr>
        <w:spacing w:line="276" w:lineRule="auto"/>
        <w:jc w:val="both"/>
      </w:pPr>
      <w:r>
        <w:rPr>
          <w:lang w:val="vi-VN"/>
        </w:rPr>
        <w:lastRenderedPageBreak/>
        <w:t xml:space="preserve">- </w:t>
      </w:r>
      <w:r>
        <w:t xml:space="preserve">Vietnam's commercial investment climate is evolving annually to bring it into compliance with global norms. </w:t>
      </w:r>
    </w:p>
    <w:p w14:paraId="2CD06BB7" w14:textId="77777777" w:rsidR="0003734A" w:rsidRDefault="0003734A" w:rsidP="002035DB">
      <w:pPr>
        <w:spacing w:line="276" w:lineRule="auto"/>
        <w:jc w:val="both"/>
        <w:rPr>
          <w:lang w:val="vi-VN"/>
        </w:rPr>
      </w:pPr>
      <w:r>
        <w:rPr>
          <w:lang w:val="vi-VN"/>
        </w:rPr>
        <w:t>- E</w:t>
      </w:r>
      <w:proofErr w:type="spellStart"/>
      <w:r>
        <w:t>nhance</w:t>
      </w:r>
      <w:proofErr w:type="spellEnd"/>
      <w:r>
        <w:rPr>
          <w:lang w:val="vi-VN"/>
        </w:rPr>
        <w:t xml:space="preserve"> law enforcement capabilities</w:t>
      </w:r>
    </w:p>
    <w:p w14:paraId="3237D8DC" w14:textId="5561FC78" w:rsidR="0003734A" w:rsidRDefault="0003734A" w:rsidP="002035DB">
      <w:pPr>
        <w:spacing w:line="276" w:lineRule="auto"/>
        <w:jc w:val="both"/>
      </w:pPr>
      <w:r>
        <w:rPr>
          <w:lang w:val="vi-VN"/>
        </w:rPr>
        <w:t>- B</w:t>
      </w:r>
      <w:r>
        <w:rPr>
          <w:lang w:val="vi-VN"/>
        </w:rPr>
        <w:t>oost economic viability and foster investment climates, ease corporate operations, and responsibly and thoroughly carry out global responsibilities.</w:t>
      </w:r>
    </w:p>
    <w:p w14:paraId="2EF7F56F" w14:textId="77777777" w:rsidR="0003734A" w:rsidRPr="0003734A" w:rsidRDefault="0003734A" w:rsidP="002035DB">
      <w:pPr>
        <w:spacing w:line="276" w:lineRule="auto"/>
        <w:jc w:val="both"/>
        <w:rPr>
          <w:u w:val="single"/>
          <w:lang w:val="vi-VN"/>
        </w:rPr>
      </w:pPr>
      <w:r w:rsidRPr="0003734A">
        <w:rPr>
          <w:u w:val="single"/>
          <w:lang w:val="vi-VN"/>
        </w:rPr>
        <w:t>c. Make use of geographic advantages.</w:t>
      </w:r>
    </w:p>
    <w:p w14:paraId="6D9A2670" w14:textId="503E04B6" w:rsidR="00870EC9" w:rsidRDefault="00E01DF4" w:rsidP="002035DB">
      <w:pPr>
        <w:spacing w:line="276" w:lineRule="auto"/>
        <w:jc w:val="both"/>
        <w:rPr>
          <w:lang w:val="vi-VN"/>
        </w:rPr>
      </w:pPr>
      <w:r>
        <w:t xml:space="preserve">Furthermore, it is evident that Vietnam's geographic location draws foreign direct investment (FDI) given its advantageous position for global trade and its status as a connecting hub. </w:t>
      </w:r>
    </w:p>
    <w:p w14:paraId="74EEC657" w14:textId="77777777" w:rsidR="0003734A" w:rsidRPr="0003734A" w:rsidRDefault="0003734A" w:rsidP="002035DB">
      <w:pPr>
        <w:spacing w:line="276" w:lineRule="auto"/>
        <w:jc w:val="both"/>
        <w:rPr>
          <w:u w:val="single"/>
          <w:lang w:val="vi-VN"/>
        </w:rPr>
      </w:pPr>
      <w:r w:rsidRPr="0003734A">
        <w:rPr>
          <w:u w:val="single"/>
          <w:lang w:val="vi-VN"/>
        </w:rPr>
        <w:t xml:space="preserve">d. </w:t>
      </w:r>
      <w:r w:rsidR="00E01DF4" w:rsidRPr="0003734A">
        <w:rPr>
          <w:u w:val="single"/>
          <w:lang w:val="vi-VN"/>
        </w:rPr>
        <w:t xml:space="preserve">Develop the system of labor and employment laws and policies. </w:t>
      </w:r>
    </w:p>
    <w:p w14:paraId="56A8CB9D" w14:textId="77777777" w:rsidR="0003734A" w:rsidRDefault="0003734A" w:rsidP="002035DB">
      <w:pPr>
        <w:spacing w:line="276" w:lineRule="auto"/>
        <w:jc w:val="both"/>
        <w:rPr>
          <w:lang w:val="vi-VN"/>
        </w:rPr>
      </w:pPr>
      <w:r>
        <w:rPr>
          <w:lang w:val="vi-VN"/>
        </w:rPr>
        <w:t xml:space="preserve">- </w:t>
      </w:r>
      <w:r w:rsidR="00E01DF4">
        <w:rPr>
          <w:lang w:val="vi-VN"/>
        </w:rPr>
        <w:t>Particularly, research on matters pertaining to pay, labor disputes, labor contracts, collective labor agreements, and modifying and supplementing the Labor Code is required</w:t>
      </w:r>
    </w:p>
    <w:p w14:paraId="7AA92740" w14:textId="77777777" w:rsidR="0003734A" w:rsidRDefault="0003734A" w:rsidP="002035DB">
      <w:pPr>
        <w:spacing w:line="276" w:lineRule="auto"/>
        <w:jc w:val="both"/>
      </w:pPr>
      <w:r>
        <w:rPr>
          <w:lang w:val="vi-VN"/>
        </w:rPr>
        <w:t xml:space="preserve">- </w:t>
      </w:r>
      <w:r w:rsidR="00E01DF4">
        <w:rPr>
          <w:lang w:val="vi-VN"/>
        </w:rPr>
        <w:t>In addition, rules to protect workers' interests and grassroots trade union officials should be added to the sector collective labor agreement signing process</w:t>
      </w:r>
      <w:r w:rsidR="00E01DF4">
        <w:rPr>
          <w:lang w:val="vi-VN"/>
        </w:rPr>
        <w:t>.</w:t>
      </w:r>
      <w:r w:rsidR="00E01DF4">
        <w:t xml:space="preserve"> </w:t>
      </w:r>
    </w:p>
    <w:p w14:paraId="7FCDBD7A" w14:textId="77777777" w:rsidR="0003734A" w:rsidRDefault="0003734A" w:rsidP="002035DB">
      <w:pPr>
        <w:spacing w:line="276" w:lineRule="auto"/>
        <w:jc w:val="both"/>
      </w:pPr>
      <w:r>
        <w:rPr>
          <w:lang w:val="vi-VN"/>
        </w:rPr>
        <w:t xml:space="preserve">- </w:t>
      </w:r>
      <w:r w:rsidR="00E01DF4">
        <w:rPr>
          <w:lang w:val="vi-VN"/>
        </w:rPr>
        <w:t>The government is constructing a network of standard vocational training schools, developing a trained, skilled workforce, and supporting more in the fields of education and training through a number of policies and methods. work.</w:t>
      </w:r>
      <w:r w:rsidR="00E01DF4">
        <w:t xml:space="preserve"> </w:t>
      </w:r>
    </w:p>
    <w:p w14:paraId="4DC18774" w14:textId="593ADF1E" w:rsidR="00870EC9" w:rsidRDefault="0003734A" w:rsidP="002035DB">
      <w:pPr>
        <w:spacing w:line="276" w:lineRule="auto"/>
        <w:jc w:val="both"/>
        <w:rPr>
          <w:lang w:val="vi-VN"/>
        </w:rPr>
      </w:pPr>
      <w:r>
        <w:rPr>
          <w:lang w:val="vi-VN"/>
        </w:rPr>
        <w:t xml:space="preserve">- </w:t>
      </w:r>
      <w:r w:rsidR="00E01DF4">
        <w:rPr>
          <w:lang w:val="vi-VN"/>
        </w:rPr>
        <w:t>Organizations must take a more proactive approach to enhancing their own labor resources as well as forming partnerships with labor supply organizations and vocational training</w:t>
      </w:r>
      <w:r w:rsidR="00760EAD">
        <w:rPr>
          <w:lang w:val="vi-VN"/>
        </w:rPr>
        <w:t>.</w:t>
      </w:r>
    </w:p>
    <w:p w14:paraId="14765538" w14:textId="77777777" w:rsidR="00870EC9" w:rsidRDefault="00870EC9" w:rsidP="002035DB">
      <w:pPr>
        <w:spacing w:line="276" w:lineRule="auto"/>
        <w:jc w:val="both"/>
      </w:pPr>
    </w:p>
    <w:p w14:paraId="1AB00449" w14:textId="77777777" w:rsidR="00870EC9" w:rsidRDefault="00870EC9" w:rsidP="002035DB">
      <w:pPr>
        <w:spacing w:line="276" w:lineRule="auto"/>
        <w:jc w:val="both"/>
      </w:pPr>
    </w:p>
    <w:p w14:paraId="6DA12E2C" w14:textId="77777777" w:rsidR="00870EC9" w:rsidRDefault="00870EC9" w:rsidP="002035DB">
      <w:pPr>
        <w:pStyle w:val="NormalWeb"/>
        <w:spacing w:before="0" w:beforeAutospacing="0" w:after="0" w:afterAutospacing="0" w:line="276" w:lineRule="auto"/>
        <w:ind w:left="360"/>
        <w:jc w:val="both"/>
      </w:pPr>
    </w:p>
    <w:p w14:paraId="5B753D07" w14:textId="77777777" w:rsidR="00870EC9" w:rsidRDefault="00870EC9" w:rsidP="002035DB">
      <w:pPr>
        <w:pStyle w:val="NormalWeb"/>
        <w:spacing w:before="0" w:beforeAutospacing="0" w:after="0" w:afterAutospacing="0" w:line="276" w:lineRule="auto"/>
        <w:jc w:val="both"/>
      </w:pPr>
    </w:p>
    <w:p w14:paraId="3BB316BA" w14:textId="77777777" w:rsidR="00870EC9" w:rsidRDefault="00870EC9" w:rsidP="002035DB">
      <w:pPr>
        <w:pStyle w:val="NormalWeb"/>
        <w:spacing w:before="0" w:beforeAutospacing="0" w:after="0" w:afterAutospacing="0" w:line="276" w:lineRule="auto"/>
        <w:jc w:val="both"/>
      </w:pPr>
    </w:p>
    <w:p w14:paraId="607BA799" w14:textId="77777777" w:rsidR="00870EC9" w:rsidRDefault="00870EC9" w:rsidP="002035DB">
      <w:pPr>
        <w:pStyle w:val="NormalWeb"/>
        <w:spacing w:before="0" w:beforeAutospacing="0" w:after="0" w:afterAutospacing="0" w:line="276" w:lineRule="auto"/>
        <w:jc w:val="both"/>
      </w:pPr>
    </w:p>
    <w:p w14:paraId="02D9841C" w14:textId="77777777" w:rsidR="00870EC9" w:rsidRDefault="00870EC9" w:rsidP="002035DB">
      <w:pPr>
        <w:pStyle w:val="NormalWeb"/>
        <w:spacing w:before="0" w:beforeAutospacing="0" w:after="0" w:afterAutospacing="0" w:line="276" w:lineRule="auto"/>
        <w:jc w:val="both"/>
        <w:rPr>
          <w:lang w:val="vi-VN"/>
        </w:rPr>
        <w:sectPr w:rsidR="00870EC9" w:rsidSect="00146B15">
          <w:type w:val="continuous"/>
          <w:pgSz w:w="11906" w:h="16838"/>
          <w:pgMar w:top="1440" w:right="1440" w:bottom="1440" w:left="1440" w:header="709" w:footer="709" w:gutter="0"/>
          <w:cols w:space="708"/>
          <w:docGrid w:linePitch="360"/>
        </w:sectPr>
      </w:pPr>
    </w:p>
    <w:p w14:paraId="6DADCC62" w14:textId="77777777" w:rsidR="00870EC9" w:rsidRDefault="00870EC9" w:rsidP="002035DB">
      <w:pPr>
        <w:pStyle w:val="NormalWeb"/>
        <w:spacing w:before="0" w:beforeAutospacing="0" w:after="0" w:afterAutospacing="0" w:line="276" w:lineRule="auto"/>
        <w:jc w:val="both"/>
        <w:sectPr w:rsidR="00870EC9" w:rsidSect="00146B15">
          <w:type w:val="continuous"/>
          <w:pgSz w:w="11906" w:h="16838"/>
          <w:pgMar w:top="1440" w:right="1440" w:bottom="1440" w:left="1440" w:header="709" w:footer="709" w:gutter="0"/>
          <w:cols w:space="567"/>
          <w:docGrid w:linePitch="360"/>
        </w:sectPr>
      </w:pPr>
    </w:p>
    <w:p w14:paraId="3F86BDDF" w14:textId="77777777" w:rsidR="00870EC9" w:rsidRDefault="00870EC9" w:rsidP="002035DB">
      <w:pPr>
        <w:pStyle w:val="NormalWeb"/>
        <w:spacing w:before="0" w:beforeAutospacing="0" w:after="0" w:afterAutospacing="0" w:line="276" w:lineRule="auto"/>
        <w:jc w:val="both"/>
      </w:pPr>
    </w:p>
    <w:p w14:paraId="2F2EDE91" w14:textId="77777777" w:rsidR="00870EC9" w:rsidRDefault="00870EC9" w:rsidP="002035DB">
      <w:pPr>
        <w:pStyle w:val="NormalWeb"/>
        <w:spacing w:before="0" w:beforeAutospacing="0" w:after="0" w:afterAutospacing="0" w:line="276" w:lineRule="auto"/>
        <w:jc w:val="both"/>
        <w:textAlignment w:val="baseline"/>
        <w:rPr>
          <w:rStyle w:val="Hyperlink"/>
          <w:color w:val="auto"/>
          <w:lang w:val="vi-VN"/>
        </w:rPr>
        <w:sectPr w:rsidR="00870EC9" w:rsidSect="00146B15">
          <w:type w:val="continuous"/>
          <w:pgSz w:w="11906" w:h="16838"/>
          <w:pgMar w:top="1440" w:right="1440" w:bottom="1440" w:left="1440" w:header="709" w:footer="709" w:gutter="0"/>
          <w:cols w:space="708"/>
          <w:docGrid w:linePitch="360"/>
        </w:sectPr>
      </w:pPr>
    </w:p>
    <w:p w14:paraId="341D3040" w14:textId="77777777" w:rsidR="00870EC9" w:rsidRDefault="00870EC9" w:rsidP="002035DB">
      <w:pPr>
        <w:pStyle w:val="NormalWeb"/>
        <w:spacing w:before="0" w:beforeAutospacing="0" w:after="0" w:afterAutospacing="0" w:line="276" w:lineRule="auto"/>
        <w:jc w:val="both"/>
        <w:textAlignment w:val="baseline"/>
        <w:rPr>
          <w:rStyle w:val="Hyperlink"/>
          <w:color w:val="auto"/>
          <w:lang w:val="vi-VN"/>
        </w:rPr>
      </w:pPr>
    </w:p>
    <w:p w14:paraId="5ED0DD57" w14:textId="77777777" w:rsidR="00870EC9" w:rsidRDefault="00870EC9" w:rsidP="002035DB">
      <w:pPr>
        <w:pStyle w:val="NormalWeb"/>
        <w:spacing w:before="0" w:beforeAutospacing="0" w:after="0" w:afterAutospacing="0" w:line="276" w:lineRule="auto"/>
        <w:jc w:val="both"/>
        <w:textAlignment w:val="baseline"/>
        <w:rPr>
          <w:rStyle w:val="Hyperlink"/>
          <w:color w:val="auto"/>
        </w:rPr>
      </w:pPr>
    </w:p>
    <w:p w14:paraId="0DC8477F" w14:textId="77777777" w:rsidR="00870EC9" w:rsidRDefault="00870EC9" w:rsidP="002035DB">
      <w:pPr>
        <w:pStyle w:val="NormalWeb"/>
        <w:spacing w:before="0" w:beforeAutospacing="0" w:after="0" w:afterAutospacing="0" w:line="276" w:lineRule="auto"/>
        <w:jc w:val="both"/>
        <w:textAlignment w:val="baseline"/>
      </w:pPr>
    </w:p>
    <w:p w14:paraId="576B9466" w14:textId="77777777" w:rsidR="00870EC9" w:rsidRDefault="00870EC9" w:rsidP="002035DB">
      <w:pPr>
        <w:pStyle w:val="NormalWeb"/>
        <w:spacing w:before="0" w:beforeAutospacing="0" w:after="0" w:afterAutospacing="0" w:line="276" w:lineRule="auto"/>
        <w:jc w:val="both"/>
        <w:textAlignment w:val="baseline"/>
      </w:pPr>
    </w:p>
    <w:p w14:paraId="5528EEE9" w14:textId="77777777" w:rsidR="00870EC9" w:rsidRDefault="00870EC9" w:rsidP="002035DB">
      <w:pPr>
        <w:pStyle w:val="NormalWeb"/>
        <w:spacing w:before="0" w:beforeAutospacing="0" w:after="0" w:afterAutospacing="0" w:line="276" w:lineRule="auto"/>
        <w:jc w:val="both"/>
        <w:textAlignment w:val="baseline"/>
      </w:pPr>
    </w:p>
    <w:p w14:paraId="1E624307" w14:textId="77777777" w:rsidR="00870EC9" w:rsidRDefault="00870EC9" w:rsidP="002035DB">
      <w:pPr>
        <w:pStyle w:val="NormalWeb"/>
        <w:spacing w:before="0" w:beforeAutospacing="0" w:after="0" w:afterAutospacing="0" w:line="276" w:lineRule="auto"/>
        <w:jc w:val="both"/>
        <w:textAlignment w:val="baseline"/>
      </w:pPr>
    </w:p>
    <w:p w14:paraId="3AB229FA" w14:textId="77777777" w:rsidR="00870EC9" w:rsidRDefault="00870EC9" w:rsidP="002035DB">
      <w:pPr>
        <w:pStyle w:val="NormalWeb"/>
        <w:spacing w:before="0" w:beforeAutospacing="0" w:after="0" w:afterAutospacing="0" w:line="276" w:lineRule="auto"/>
        <w:jc w:val="both"/>
        <w:textAlignment w:val="baseline"/>
      </w:pPr>
    </w:p>
    <w:p w14:paraId="60012BC4" w14:textId="77777777" w:rsidR="00870EC9" w:rsidRDefault="00870EC9" w:rsidP="002035DB">
      <w:pPr>
        <w:pStyle w:val="NormalWeb"/>
        <w:spacing w:before="0" w:beforeAutospacing="0" w:after="0" w:afterAutospacing="0" w:line="276" w:lineRule="auto"/>
        <w:jc w:val="both"/>
        <w:textAlignment w:val="baseline"/>
      </w:pPr>
    </w:p>
    <w:p w14:paraId="27F8F724" w14:textId="77777777" w:rsidR="00870EC9" w:rsidRDefault="00870EC9" w:rsidP="002035DB">
      <w:pPr>
        <w:pStyle w:val="NormalWeb"/>
        <w:spacing w:before="0" w:beforeAutospacing="0" w:after="0" w:afterAutospacing="0" w:line="276" w:lineRule="auto"/>
        <w:jc w:val="both"/>
        <w:textAlignment w:val="baseline"/>
      </w:pPr>
    </w:p>
    <w:p w14:paraId="152DDA00" w14:textId="77777777" w:rsidR="00870EC9" w:rsidRDefault="00870EC9" w:rsidP="002035DB">
      <w:pPr>
        <w:pStyle w:val="NormalWeb"/>
        <w:spacing w:before="0" w:beforeAutospacing="0" w:after="0" w:afterAutospacing="0" w:line="276" w:lineRule="auto"/>
        <w:jc w:val="both"/>
        <w:textAlignment w:val="baseline"/>
      </w:pPr>
    </w:p>
    <w:p w14:paraId="1B10F523" w14:textId="77777777" w:rsidR="00870EC9" w:rsidRDefault="00870EC9" w:rsidP="002035DB">
      <w:pPr>
        <w:pStyle w:val="NormalWeb"/>
        <w:spacing w:before="0" w:beforeAutospacing="0" w:after="0" w:afterAutospacing="0" w:line="276" w:lineRule="auto"/>
        <w:jc w:val="both"/>
        <w:textAlignment w:val="baseline"/>
        <w:rPr>
          <w:i/>
          <w:iCs/>
        </w:rPr>
      </w:pPr>
    </w:p>
    <w:p w14:paraId="74990FF6" w14:textId="77777777" w:rsidR="00870EC9" w:rsidRDefault="00E01DF4" w:rsidP="002035DB">
      <w:pPr>
        <w:spacing w:line="276" w:lineRule="auto"/>
        <w:jc w:val="both"/>
        <w:rPr>
          <w:lang w:val="vi-VN"/>
        </w:rPr>
      </w:pPr>
      <w:r>
        <w:rPr>
          <w:lang w:val="vi-VN"/>
        </w:rPr>
        <w:br w:type="page"/>
      </w:r>
    </w:p>
    <w:p w14:paraId="2F063ED0" w14:textId="77777777" w:rsidR="00870EC9" w:rsidRDefault="00870EC9" w:rsidP="002035DB">
      <w:pPr>
        <w:pStyle w:val="NormalWeb"/>
        <w:spacing w:before="0" w:beforeAutospacing="0" w:after="0" w:afterAutospacing="0" w:line="276" w:lineRule="auto"/>
        <w:jc w:val="both"/>
        <w:textAlignment w:val="baseline"/>
        <w:sectPr w:rsidR="00870EC9" w:rsidSect="00146B15">
          <w:type w:val="continuous"/>
          <w:pgSz w:w="11906" w:h="16838"/>
          <w:pgMar w:top="1440" w:right="1440" w:bottom="1440" w:left="1440" w:header="709" w:footer="709" w:gutter="0"/>
          <w:cols w:space="708"/>
          <w:docGrid w:linePitch="360"/>
        </w:sectPr>
      </w:pPr>
    </w:p>
    <w:p w14:paraId="1DA4815D" w14:textId="77777777" w:rsidR="00870EC9" w:rsidRDefault="00E01DF4" w:rsidP="002035DB">
      <w:pPr>
        <w:pStyle w:val="Heading1"/>
        <w:spacing w:line="276" w:lineRule="auto"/>
        <w:jc w:val="both"/>
        <w:rPr>
          <w:rFonts w:cs="Times New Roman"/>
          <w:color w:val="auto"/>
          <w:szCs w:val="24"/>
          <w:lang w:val="vi-VN" w:eastAsia="en-US"/>
        </w:rPr>
      </w:pPr>
      <w:bookmarkStart w:id="26" w:name="_Toc157241266"/>
      <w:r>
        <w:rPr>
          <w:rFonts w:cs="Times New Roman"/>
          <w:color w:val="auto"/>
          <w:szCs w:val="24"/>
          <w:lang w:eastAsia="en-US"/>
        </w:rPr>
        <w:lastRenderedPageBreak/>
        <w:t>REFERENCES</w:t>
      </w:r>
      <w:bookmarkEnd w:id="26"/>
      <w:r>
        <w:rPr>
          <w:rFonts w:cs="Times New Roman"/>
          <w:color w:val="auto"/>
          <w:szCs w:val="24"/>
          <w:lang w:val="vi-VN" w:eastAsia="en-US"/>
        </w:rPr>
        <w:t xml:space="preserve"> </w:t>
      </w:r>
    </w:p>
    <w:p w14:paraId="4B03916B" w14:textId="77777777" w:rsidR="00870EC9" w:rsidRDefault="00E01DF4" w:rsidP="002035DB">
      <w:pPr>
        <w:pStyle w:val="NormalWeb"/>
        <w:numPr>
          <w:ilvl w:val="0"/>
          <w:numId w:val="5"/>
        </w:numPr>
        <w:spacing w:before="240" w:beforeAutospacing="0" w:after="240" w:afterAutospacing="0" w:line="276" w:lineRule="auto"/>
        <w:jc w:val="both"/>
        <w:rPr>
          <w:lang w:eastAsia="en-US"/>
        </w:rPr>
      </w:pPr>
      <w:hyperlink r:id="rId29" w:history="1">
        <w:r>
          <w:rPr>
            <w:rStyle w:val="Hyperlink"/>
            <w:b/>
            <w:bCs/>
            <w:color w:val="auto"/>
            <w:u w:val="none"/>
          </w:rPr>
          <w:t>Full article: Education, health, and labor force supply: Broadening human capital for national development in Malawi</w:t>
        </w:r>
      </w:hyperlink>
      <w:r>
        <w:t xml:space="preserve"> </w:t>
      </w:r>
      <w:hyperlink r:id="rId30" w:history="1">
        <w:r>
          <w:rPr>
            <w:rStyle w:val="Hyperlink"/>
            <w:color w:val="auto"/>
          </w:rPr>
          <w:t>https://www.tandfonline.com/doi/full/10.1080/2331186X.2016.1149041</w:t>
        </w:r>
      </w:hyperlink>
      <w:r>
        <w:t xml:space="preserve"> </w:t>
      </w:r>
    </w:p>
    <w:p w14:paraId="62EE9E65" w14:textId="77777777" w:rsidR="00870EC9" w:rsidRDefault="00E01DF4" w:rsidP="002035DB">
      <w:pPr>
        <w:pStyle w:val="NormalWeb"/>
        <w:numPr>
          <w:ilvl w:val="0"/>
          <w:numId w:val="5"/>
        </w:numPr>
        <w:spacing w:before="240" w:beforeAutospacing="0" w:after="240" w:afterAutospacing="0" w:line="276" w:lineRule="auto"/>
        <w:jc w:val="both"/>
      </w:pPr>
      <w:hyperlink r:id="rId31" w:history="1">
        <w:r>
          <w:rPr>
            <w:rStyle w:val="Hyperlink"/>
            <w:b/>
            <w:bCs/>
            <w:color w:val="auto"/>
            <w:u w:val="none"/>
          </w:rPr>
          <w:t>Laos vs Vietnam Economies: 61 Stats Compared</w:t>
        </w:r>
      </w:hyperlink>
      <w:r>
        <w:rPr>
          <w:rStyle w:val="Hyperlink"/>
          <w:b/>
          <w:bCs/>
          <w:color w:val="auto"/>
          <w:u w:val="none"/>
        </w:rPr>
        <w:t>:</w:t>
      </w:r>
      <w:r>
        <w:t xml:space="preserve"> </w:t>
      </w:r>
      <w:hyperlink r:id="rId32" w:history="1">
        <w:r>
          <w:rPr>
            <w:rStyle w:val="Hyperlink"/>
            <w:color w:val="auto"/>
          </w:rPr>
          <w:t>https://www.tandfonline.com/doi/full/10.1080/2331186X.2016.1149041</w:t>
        </w:r>
      </w:hyperlink>
      <w:r>
        <w:t xml:space="preserve"> </w:t>
      </w:r>
    </w:p>
    <w:p w14:paraId="773F7170" w14:textId="77777777" w:rsidR="00870EC9" w:rsidRDefault="00E01DF4" w:rsidP="002035DB">
      <w:pPr>
        <w:pStyle w:val="NormalWeb"/>
        <w:numPr>
          <w:ilvl w:val="0"/>
          <w:numId w:val="5"/>
        </w:numPr>
        <w:spacing w:before="240" w:beforeAutospacing="0" w:after="240" w:afterAutospacing="0" w:line="276" w:lineRule="auto"/>
        <w:jc w:val="both"/>
      </w:pPr>
      <w:hyperlink r:id="rId33" w:history="1">
        <w:r>
          <w:rPr>
            <w:rStyle w:val="Hyperlink"/>
            <w:b/>
            <w:bCs/>
            <w:color w:val="auto"/>
            <w:u w:val="none"/>
          </w:rPr>
          <w:t xml:space="preserve">Cơ sở hạ tầng - Thách thức lớn nhất trong tiến trình phát triển kinh tế Lào 25/01/2018 </w:t>
        </w:r>
      </w:hyperlink>
      <w:r>
        <w:t xml:space="preserve">: </w:t>
      </w:r>
      <w:hyperlink r:id="rId34" w:history="1">
        <w:r>
          <w:rPr>
            <w:rStyle w:val="Hyperlink"/>
            <w:color w:val="auto"/>
          </w:rPr>
          <w:t>https://mof.gov.vn/webcenter/portal/btcvn/pages_r/l/tin-bo-tai-chinh?dDocName=MOFUCM120602</w:t>
        </w:r>
      </w:hyperlink>
      <w:r>
        <w:t xml:space="preserve"> </w:t>
      </w:r>
    </w:p>
    <w:p w14:paraId="57EFD357" w14:textId="77777777" w:rsidR="00870EC9" w:rsidRDefault="00E01DF4" w:rsidP="002035DB">
      <w:pPr>
        <w:pStyle w:val="NormalWeb"/>
        <w:numPr>
          <w:ilvl w:val="0"/>
          <w:numId w:val="5"/>
        </w:numPr>
        <w:spacing w:before="240" w:beforeAutospacing="0" w:after="240" w:afterAutospacing="0" w:line="276" w:lineRule="auto"/>
        <w:jc w:val="both"/>
      </w:pPr>
      <w:hyperlink r:id="rId35" w:history="1">
        <w:r>
          <w:rPr>
            <w:rStyle w:val="Hyperlink"/>
            <w:b/>
            <w:bCs/>
            <w:color w:val="auto"/>
            <w:u w:val="none"/>
          </w:rPr>
          <w:t>Cơ cấu lao động theo trình độ nhằm đáp ứng nhu cầu phát triển kinh tế đến năm 2025</w:t>
        </w:r>
        <w:r w:rsidR="00760EAD">
          <w:rPr>
            <w:rStyle w:val="Hyperlink"/>
            <w:b/>
            <w:bCs/>
            <w:color w:val="auto"/>
            <w:u w:val="none"/>
          </w:rPr>
          <w:t>,</w:t>
        </w:r>
        <w:r>
          <w:rPr>
            <w:rStyle w:val="Hyperlink"/>
            <w:b/>
            <w:bCs/>
            <w:color w:val="auto"/>
            <w:u w:val="none"/>
          </w:rPr>
          <w:t xml:space="preserve"> 07/05/2020 </w:t>
        </w:r>
      </w:hyperlink>
      <w:r>
        <w:rPr>
          <w:rStyle w:val="Hyperlink"/>
          <w:b/>
          <w:bCs/>
          <w:color w:val="auto"/>
          <w:u w:val="none"/>
        </w:rPr>
        <w:t>:</w:t>
      </w:r>
      <w:r>
        <w:t xml:space="preserve">                                                  https://mof.gov.vn/webcenter/portal/vclvcstc/pages_r/l/chi-tiet</w:t>
      </w:r>
      <w:r>
        <w:rPr>
          <w:lang w:val="vi-VN"/>
        </w:rPr>
        <w:t xml:space="preserve"> </w:t>
      </w:r>
      <w:proofErr w:type="spellStart"/>
      <w:r>
        <w:t>tin?dDocName</w:t>
      </w:r>
      <w:proofErr w:type="spellEnd"/>
      <w:r>
        <w:t xml:space="preserve">=MOFUCM176309 </w:t>
      </w:r>
    </w:p>
    <w:p w14:paraId="268BA1F9" w14:textId="77777777" w:rsidR="00870EC9" w:rsidRDefault="00E01DF4" w:rsidP="002035DB">
      <w:pPr>
        <w:pStyle w:val="NormalWeb"/>
        <w:numPr>
          <w:ilvl w:val="0"/>
          <w:numId w:val="5"/>
        </w:numPr>
        <w:spacing w:before="240" w:beforeAutospacing="0" w:after="240" w:afterAutospacing="0" w:line="276" w:lineRule="auto"/>
        <w:jc w:val="both"/>
      </w:pPr>
      <w:hyperlink r:id="rId36" w:history="1">
        <w:r>
          <w:rPr>
            <w:rStyle w:val="Hyperlink"/>
            <w:b/>
            <w:bCs/>
            <w:color w:val="auto"/>
            <w:u w:val="none"/>
          </w:rPr>
          <w:t>Lao động Lào đối mặt với tình trạng không có việc làm do hạn chế về năng lực và trách nhiệm</w:t>
        </w:r>
        <w:r w:rsidR="00760EAD">
          <w:rPr>
            <w:rStyle w:val="Hyperlink"/>
            <w:b/>
            <w:bCs/>
            <w:color w:val="auto"/>
            <w:u w:val="none"/>
          </w:rPr>
          <w:t xml:space="preserve">, </w:t>
        </w:r>
        <w:r>
          <w:rPr>
            <w:rStyle w:val="Hyperlink"/>
            <w:b/>
            <w:bCs/>
            <w:color w:val="auto"/>
            <w:u w:val="none"/>
          </w:rPr>
          <w:t>29/03/2019</w:t>
        </w:r>
      </w:hyperlink>
      <w:r>
        <w:rPr>
          <w:rStyle w:val="Hyperlink"/>
          <w:b/>
          <w:bCs/>
          <w:color w:val="auto"/>
          <w:u w:val="none"/>
        </w:rPr>
        <w:t xml:space="preserve">                                                                                                                                   </w:t>
      </w:r>
      <w:hyperlink r:id="rId37" w:history="1">
        <w:r>
          <w:rPr>
            <w:rStyle w:val="Hyperlink"/>
            <w:color w:val="auto"/>
          </w:rPr>
          <w:t>https://tapchilaoviet.org/tin-ngay/lao-dong-lao-doi-mat-voi-tinh-trang-khong-co-viec-lam-do-han-che-ve-nang-luc-va-trach-nhiem-5259.html</w:t>
        </w:r>
      </w:hyperlink>
      <w:r>
        <w:t xml:space="preserve"> </w:t>
      </w:r>
    </w:p>
    <w:p w14:paraId="55D1A07A" w14:textId="77777777" w:rsidR="00870EC9" w:rsidRDefault="00E01DF4" w:rsidP="002035DB">
      <w:pPr>
        <w:pStyle w:val="NormalWeb"/>
        <w:numPr>
          <w:ilvl w:val="0"/>
          <w:numId w:val="5"/>
        </w:numPr>
        <w:spacing w:before="0" w:beforeAutospacing="0" w:after="0" w:afterAutospacing="0" w:line="276" w:lineRule="auto"/>
        <w:jc w:val="both"/>
        <w:rPr>
          <w:rStyle w:val="Hyperlink"/>
          <w:b/>
          <w:bCs/>
          <w:color w:val="auto"/>
          <w:u w:val="none"/>
        </w:rPr>
      </w:pPr>
      <w:proofErr w:type="spellStart"/>
      <w:r>
        <w:rPr>
          <w:rStyle w:val="Hyperlink"/>
          <w:b/>
          <w:bCs/>
          <w:color w:val="auto"/>
          <w:u w:val="none"/>
        </w:rPr>
        <w:t>Heru</w:t>
      </w:r>
      <w:proofErr w:type="spellEnd"/>
      <w:r>
        <w:rPr>
          <w:rStyle w:val="Hyperlink"/>
          <w:b/>
          <w:bCs/>
          <w:color w:val="auto"/>
          <w:u w:val="none"/>
        </w:rPr>
        <w:t xml:space="preserve"> </w:t>
      </w:r>
      <w:proofErr w:type="spellStart"/>
      <w:r>
        <w:rPr>
          <w:rStyle w:val="Hyperlink"/>
          <w:b/>
          <w:bCs/>
          <w:color w:val="auto"/>
          <w:u w:val="none"/>
        </w:rPr>
        <w:t>Andriyanto</w:t>
      </w:r>
      <w:proofErr w:type="spellEnd"/>
      <w:r>
        <w:rPr>
          <w:rStyle w:val="Hyperlink"/>
          <w:b/>
          <w:bCs/>
          <w:color w:val="auto"/>
          <w:u w:val="none"/>
        </w:rPr>
        <w:t>, 2023, Indonesia Reports Highest FDI in History, Jakarta Globe.</w:t>
      </w:r>
    </w:p>
    <w:p w14:paraId="66064C0C" w14:textId="77777777" w:rsidR="00870EC9" w:rsidRDefault="00E01DF4" w:rsidP="002035DB">
      <w:pPr>
        <w:pStyle w:val="NormalWeb"/>
        <w:spacing w:before="0" w:beforeAutospacing="0" w:after="0" w:afterAutospacing="0" w:line="276" w:lineRule="auto"/>
        <w:ind w:left="720"/>
        <w:jc w:val="both"/>
      </w:pPr>
      <w:hyperlink r:id="rId38" w:history="1">
        <w:r>
          <w:rPr>
            <w:rStyle w:val="Hyperlink"/>
            <w:color w:val="auto"/>
          </w:rPr>
          <w:t>https://jakartaglobe.id/business/indonesia-reports-highest-fdi-in-history</w:t>
        </w:r>
      </w:hyperlink>
      <w:r>
        <w:t xml:space="preserve"> </w:t>
      </w:r>
    </w:p>
    <w:p w14:paraId="1AA05F7F" w14:textId="77777777" w:rsidR="00870EC9" w:rsidRDefault="00E01DF4" w:rsidP="002035DB">
      <w:pPr>
        <w:spacing w:line="276" w:lineRule="auto"/>
        <w:ind w:left="360"/>
        <w:jc w:val="both"/>
      </w:pPr>
      <w:r>
        <w:t xml:space="preserve"> </w:t>
      </w:r>
    </w:p>
    <w:p w14:paraId="157C5DA3" w14:textId="77777777" w:rsidR="00870EC9" w:rsidRDefault="00E01DF4" w:rsidP="002035DB">
      <w:pPr>
        <w:pStyle w:val="NormalWeb"/>
        <w:numPr>
          <w:ilvl w:val="0"/>
          <w:numId w:val="5"/>
        </w:numPr>
        <w:spacing w:before="0" w:beforeAutospacing="0" w:after="0" w:afterAutospacing="0" w:line="276" w:lineRule="auto"/>
        <w:jc w:val="both"/>
        <w:rPr>
          <w:rStyle w:val="Hyperlink"/>
          <w:b/>
          <w:bCs/>
          <w:color w:val="auto"/>
          <w:u w:val="none"/>
        </w:rPr>
      </w:pPr>
      <w:r>
        <w:rPr>
          <w:rStyle w:val="Hyperlink"/>
          <w:b/>
          <w:bCs/>
          <w:color w:val="auto"/>
          <w:u w:val="none"/>
        </w:rPr>
        <w:t xml:space="preserve">2022, Economic Security in Emerging Markets: A Look at India, Vietnam, and Indonesia, CISI. </w:t>
      </w:r>
    </w:p>
    <w:p w14:paraId="5F20E92A" w14:textId="77777777" w:rsidR="00870EC9" w:rsidRDefault="00E01DF4" w:rsidP="002035DB">
      <w:pPr>
        <w:pStyle w:val="NormalWeb"/>
        <w:spacing w:before="0" w:beforeAutospacing="0" w:after="0" w:afterAutospacing="0" w:line="276" w:lineRule="auto"/>
        <w:ind w:left="720"/>
        <w:jc w:val="both"/>
      </w:pPr>
      <w:hyperlink r:id="rId39" w:history="1">
        <w:r>
          <w:rPr>
            <w:rStyle w:val="Hyperlink"/>
            <w:color w:val="auto"/>
          </w:rPr>
          <w:t>https://www.csis.org/analysis/economic-security-emerging-markets-look-india-vietnam-and-indonesia</w:t>
        </w:r>
      </w:hyperlink>
      <w:r>
        <w:t xml:space="preserve"> </w:t>
      </w:r>
    </w:p>
    <w:p w14:paraId="0C9DDDE2" w14:textId="77777777" w:rsidR="00870EC9" w:rsidRDefault="00870EC9" w:rsidP="002035DB">
      <w:pPr>
        <w:spacing w:line="276" w:lineRule="auto"/>
        <w:ind w:left="360" w:firstLine="60"/>
        <w:jc w:val="both"/>
      </w:pPr>
    </w:p>
    <w:p w14:paraId="1F55D09D" w14:textId="77777777" w:rsidR="00870EC9" w:rsidRDefault="00E01DF4" w:rsidP="002035DB">
      <w:pPr>
        <w:pStyle w:val="NormalWeb"/>
        <w:numPr>
          <w:ilvl w:val="0"/>
          <w:numId w:val="5"/>
        </w:numPr>
        <w:spacing w:before="0" w:beforeAutospacing="0" w:after="0" w:afterAutospacing="0" w:line="276" w:lineRule="auto"/>
        <w:jc w:val="both"/>
      </w:pPr>
      <w:r>
        <w:rPr>
          <w:rStyle w:val="Hyperlink"/>
          <w:b/>
          <w:bCs/>
          <w:color w:val="auto"/>
          <w:u w:val="none"/>
        </w:rPr>
        <w:t xml:space="preserve">Dr Daniel Borer and Dr Van Ha </w:t>
      </w:r>
      <w:proofErr w:type="spellStart"/>
      <w:r>
        <w:rPr>
          <w:rStyle w:val="Hyperlink"/>
          <w:b/>
          <w:bCs/>
          <w:color w:val="auto"/>
          <w:u w:val="none"/>
        </w:rPr>
        <w:t>Thi</w:t>
      </w:r>
      <w:proofErr w:type="spellEnd"/>
      <w:r>
        <w:rPr>
          <w:rStyle w:val="Hyperlink"/>
          <w:color w:val="auto"/>
          <w:u w:val="none"/>
        </w:rPr>
        <w:t xml:space="preserve"> </w:t>
      </w:r>
      <w:r>
        <w:rPr>
          <w:rStyle w:val="Hyperlink"/>
          <w:b/>
          <w:bCs/>
          <w:color w:val="auto"/>
          <w:u w:val="none"/>
        </w:rPr>
        <w:t>Cam, 2023, Foreign Direct Investment in Vietnam 2023: Challenges are Yet to Come, Australian Institute of International Affairs, Australian Institute of International Affairs.</w:t>
      </w:r>
    </w:p>
    <w:p w14:paraId="3A30E2A3" w14:textId="77777777" w:rsidR="00870EC9" w:rsidRDefault="00E01DF4" w:rsidP="002035DB">
      <w:pPr>
        <w:pStyle w:val="NormalWeb"/>
        <w:spacing w:before="0" w:beforeAutospacing="0" w:after="0" w:afterAutospacing="0" w:line="276" w:lineRule="auto"/>
        <w:ind w:left="720"/>
        <w:jc w:val="both"/>
      </w:pPr>
      <w:hyperlink r:id="rId40" w:history="1">
        <w:r>
          <w:rPr>
            <w:rStyle w:val="Hyperlink"/>
            <w:color w:val="auto"/>
          </w:rPr>
          <w:t>https://www.internationalaffairs.org.au/australianoutlook/foreign-direct-investment-in-vietnam-2023-challenges-are-yet-to-come/</w:t>
        </w:r>
      </w:hyperlink>
      <w:r>
        <w:t xml:space="preserve"> </w:t>
      </w:r>
    </w:p>
    <w:p w14:paraId="00736B9F" w14:textId="77777777" w:rsidR="00870EC9" w:rsidRDefault="00E01DF4" w:rsidP="002035DB">
      <w:pPr>
        <w:spacing w:line="276" w:lineRule="auto"/>
        <w:ind w:left="360"/>
        <w:jc w:val="both"/>
      </w:pPr>
      <w:r>
        <w:t xml:space="preserve"> </w:t>
      </w:r>
    </w:p>
    <w:p w14:paraId="66F47585" w14:textId="77777777" w:rsidR="00870EC9" w:rsidRDefault="00E01DF4" w:rsidP="002035DB">
      <w:pPr>
        <w:pStyle w:val="NormalWeb"/>
        <w:numPr>
          <w:ilvl w:val="0"/>
          <w:numId w:val="5"/>
        </w:numPr>
        <w:spacing w:before="0" w:beforeAutospacing="0" w:after="0" w:afterAutospacing="0" w:line="276" w:lineRule="auto"/>
        <w:jc w:val="both"/>
        <w:rPr>
          <w:rStyle w:val="Hyperlink"/>
          <w:b/>
          <w:bCs/>
          <w:color w:val="auto"/>
          <w:u w:val="none"/>
        </w:rPr>
      </w:pPr>
      <w:r>
        <w:rPr>
          <w:rStyle w:val="Hyperlink"/>
          <w:b/>
          <w:bCs/>
          <w:color w:val="auto"/>
          <w:u w:val="none"/>
        </w:rPr>
        <w:t xml:space="preserve">2018, ASEAN Investment Report. </w:t>
      </w:r>
    </w:p>
    <w:p w14:paraId="4B4D6973" w14:textId="77777777" w:rsidR="00870EC9" w:rsidRDefault="00E01DF4" w:rsidP="002035DB">
      <w:pPr>
        <w:pStyle w:val="NormalWeb"/>
        <w:spacing w:before="0" w:beforeAutospacing="0" w:after="0" w:afterAutospacing="0" w:line="276" w:lineRule="auto"/>
        <w:ind w:left="360"/>
        <w:jc w:val="both"/>
      </w:pPr>
      <w:r>
        <w:rPr>
          <w:lang w:val="vi-VN"/>
        </w:rPr>
        <w:t xml:space="preserve">       </w:t>
      </w:r>
      <w:hyperlink r:id="rId41" w:history="1">
        <w:r>
          <w:rPr>
            <w:rStyle w:val="Hyperlink"/>
            <w:color w:val="auto"/>
          </w:rPr>
          <w:t>https://asean.org/asean-investment-report-2018-published/</w:t>
        </w:r>
      </w:hyperlink>
      <w:r>
        <w:t xml:space="preserve"> </w:t>
      </w:r>
    </w:p>
    <w:p w14:paraId="73D348ED" w14:textId="77777777" w:rsidR="00870EC9" w:rsidRDefault="00870EC9" w:rsidP="002035DB">
      <w:pPr>
        <w:spacing w:line="276" w:lineRule="auto"/>
        <w:ind w:left="360" w:firstLine="60"/>
        <w:jc w:val="both"/>
      </w:pPr>
    </w:p>
    <w:p w14:paraId="0BA1985F" w14:textId="77777777" w:rsidR="00870EC9" w:rsidRDefault="00E01DF4" w:rsidP="002035DB">
      <w:pPr>
        <w:pStyle w:val="NormalWeb"/>
        <w:numPr>
          <w:ilvl w:val="0"/>
          <w:numId w:val="5"/>
        </w:numPr>
        <w:spacing w:before="0" w:beforeAutospacing="0" w:after="0" w:afterAutospacing="0" w:line="276" w:lineRule="auto"/>
        <w:jc w:val="both"/>
        <w:rPr>
          <w:rStyle w:val="Hyperlink"/>
          <w:b/>
          <w:bCs/>
          <w:color w:val="auto"/>
          <w:u w:val="none"/>
        </w:rPr>
      </w:pPr>
      <w:r>
        <w:rPr>
          <w:rStyle w:val="Hyperlink"/>
          <w:b/>
          <w:bCs/>
          <w:color w:val="auto"/>
          <w:u w:val="none"/>
        </w:rPr>
        <w:t xml:space="preserve">Stefan </w:t>
      </w:r>
      <w:proofErr w:type="spellStart"/>
      <w:r>
        <w:rPr>
          <w:rStyle w:val="Hyperlink"/>
          <w:b/>
          <w:bCs/>
          <w:color w:val="auto"/>
          <w:u w:val="none"/>
        </w:rPr>
        <w:t>Calimanu</w:t>
      </w:r>
      <w:proofErr w:type="spellEnd"/>
      <w:r>
        <w:rPr>
          <w:rStyle w:val="Hyperlink"/>
          <w:b/>
          <w:bCs/>
          <w:color w:val="auto"/>
          <w:u w:val="none"/>
        </w:rPr>
        <w:t>, 2023, How Rising Interest Rates Impact Foreign Direct Investment, Research FDI.</w:t>
      </w:r>
    </w:p>
    <w:p w14:paraId="515F3A1F" w14:textId="77777777" w:rsidR="00870EC9" w:rsidRDefault="00E01DF4" w:rsidP="002035DB">
      <w:pPr>
        <w:pStyle w:val="NormalWeb"/>
        <w:spacing w:before="0" w:beforeAutospacing="0" w:after="0" w:afterAutospacing="0" w:line="276" w:lineRule="auto"/>
        <w:ind w:left="720"/>
        <w:jc w:val="both"/>
      </w:pPr>
      <w:hyperlink r:id="rId42" w:history="1">
        <w:r>
          <w:rPr>
            <w:rStyle w:val="Hyperlink"/>
            <w:color w:val="auto"/>
          </w:rPr>
          <w:t>https://researchfdi.com/resources/articles/how-rising-interest-rates-impact-foreign-direct-investment/</w:t>
        </w:r>
      </w:hyperlink>
      <w:r>
        <w:t xml:space="preserve"> </w:t>
      </w:r>
    </w:p>
    <w:p w14:paraId="4D458749" w14:textId="77777777" w:rsidR="00870EC9" w:rsidRDefault="00E01DF4" w:rsidP="002035DB">
      <w:pPr>
        <w:spacing w:line="276" w:lineRule="auto"/>
        <w:ind w:left="360"/>
        <w:jc w:val="both"/>
        <w:rPr>
          <w:rStyle w:val="Hyperlink"/>
          <w:b/>
          <w:bCs/>
          <w:color w:val="auto"/>
          <w:u w:val="none"/>
        </w:rPr>
      </w:pPr>
      <w:r>
        <w:rPr>
          <w:rStyle w:val="Hyperlink"/>
          <w:b/>
          <w:bCs/>
          <w:color w:val="auto"/>
          <w:u w:val="none"/>
        </w:rPr>
        <w:lastRenderedPageBreak/>
        <w:t xml:space="preserve"> </w:t>
      </w:r>
    </w:p>
    <w:p w14:paraId="7F63D50E" w14:textId="77777777" w:rsidR="00760EAD" w:rsidRDefault="00760EAD" w:rsidP="002035DB">
      <w:pPr>
        <w:pStyle w:val="NormalWeb"/>
        <w:spacing w:before="0" w:beforeAutospacing="0" w:after="0" w:afterAutospacing="0" w:line="276" w:lineRule="auto"/>
        <w:ind w:left="720"/>
        <w:jc w:val="both"/>
        <w:rPr>
          <w:rStyle w:val="Hyperlink"/>
          <w:b/>
          <w:bCs/>
          <w:color w:val="auto"/>
          <w:u w:val="none"/>
        </w:rPr>
      </w:pPr>
    </w:p>
    <w:p w14:paraId="33F17C9D" w14:textId="77777777" w:rsidR="00870EC9" w:rsidRDefault="00E01DF4" w:rsidP="002035DB">
      <w:pPr>
        <w:pStyle w:val="NormalWeb"/>
        <w:numPr>
          <w:ilvl w:val="0"/>
          <w:numId w:val="5"/>
        </w:numPr>
        <w:spacing w:before="0" w:beforeAutospacing="0" w:after="0" w:afterAutospacing="0" w:line="276" w:lineRule="auto"/>
        <w:jc w:val="both"/>
        <w:rPr>
          <w:rStyle w:val="Hyperlink"/>
          <w:b/>
          <w:bCs/>
          <w:color w:val="auto"/>
          <w:u w:val="none"/>
        </w:rPr>
      </w:pPr>
      <w:r>
        <w:rPr>
          <w:rStyle w:val="Hyperlink"/>
          <w:b/>
          <w:bCs/>
          <w:color w:val="auto"/>
          <w:u w:val="none"/>
        </w:rPr>
        <w:t xml:space="preserve">Özcan Karahan and Musa </w:t>
      </w:r>
      <w:proofErr w:type="spellStart"/>
      <w:r>
        <w:rPr>
          <w:rStyle w:val="Hyperlink"/>
          <w:b/>
          <w:bCs/>
          <w:color w:val="auto"/>
          <w:u w:val="none"/>
        </w:rPr>
        <w:t>Bayır</w:t>
      </w:r>
      <w:proofErr w:type="spellEnd"/>
      <w:r>
        <w:rPr>
          <w:rStyle w:val="Hyperlink"/>
          <w:b/>
          <w:bCs/>
          <w:color w:val="auto"/>
          <w:u w:val="none"/>
        </w:rPr>
        <w:t xml:space="preserve">, 2022, The effects of monetary policies on foreign direct investment inflows in emerging economies: some policy </w:t>
      </w:r>
      <w:r>
        <w:rPr>
          <w:rStyle w:val="Hyperlink"/>
          <w:b/>
          <w:bCs/>
          <w:color w:val="auto"/>
          <w:u w:val="none"/>
        </w:rPr>
        <w:t>implications for post-COVID-19.</w:t>
      </w:r>
    </w:p>
    <w:p w14:paraId="5246568B" w14:textId="77777777" w:rsidR="00870EC9" w:rsidRDefault="00E01DF4" w:rsidP="002035DB">
      <w:pPr>
        <w:pStyle w:val="NormalWeb"/>
        <w:spacing w:before="0" w:beforeAutospacing="0" w:after="0" w:afterAutospacing="0" w:line="276" w:lineRule="auto"/>
        <w:ind w:left="720"/>
        <w:jc w:val="both"/>
      </w:pPr>
      <w:hyperlink r:id="rId43" w:history="1">
        <w:r>
          <w:rPr>
            <w:rStyle w:val="Hyperlink"/>
            <w:color w:val="auto"/>
          </w:rPr>
          <w:t>https://fbj.springeropen.com/articles/10.1186/s43093-022-00152-6</w:t>
        </w:r>
      </w:hyperlink>
    </w:p>
    <w:p w14:paraId="6F730595" w14:textId="77777777" w:rsidR="00B719CB" w:rsidRDefault="00B719CB" w:rsidP="002035DB">
      <w:pPr>
        <w:pStyle w:val="ListParagraph"/>
        <w:spacing w:line="276" w:lineRule="auto"/>
        <w:jc w:val="both"/>
        <w:rPr>
          <w:rFonts w:ascii="Times New Roman" w:hAnsi="Times New Roman" w:cs="Times New Roman"/>
          <w:b/>
          <w:bCs/>
        </w:rPr>
      </w:pPr>
    </w:p>
    <w:p w14:paraId="2AAA2555" w14:textId="77777777" w:rsidR="00870EC9" w:rsidRDefault="00E01DF4" w:rsidP="002035DB">
      <w:pPr>
        <w:pStyle w:val="ListParagraph"/>
        <w:numPr>
          <w:ilvl w:val="0"/>
          <w:numId w:val="6"/>
        </w:numPr>
        <w:spacing w:line="276" w:lineRule="auto"/>
        <w:jc w:val="both"/>
        <w:rPr>
          <w:rFonts w:ascii="Times New Roman" w:hAnsi="Times New Roman" w:cs="Times New Roman"/>
          <w:b/>
          <w:bCs/>
        </w:rPr>
      </w:pPr>
      <w:r>
        <w:rPr>
          <w:rFonts w:ascii="Times New Roman" w:hAnsi="Times New Roman" w:cs="Times New Roman"/>
          <w:b/>
          <w:bCs/>
        </w:rPr>
        <w:t>New strategies for attracting quality FDI to Vietnam</w:t>
      </w:r>
    </w:p>
    <w:p w14:paraId="5C66FFA0" w14:textId="77777777" w:rsidR="00870EC9" w:rsidRDefault="00E01DF4" w:rsidP="002035DB">
      <w:pPr>
        <w:pStyle w:val="ListParagraph"/>
        <w:spacing w:line="276" w:lineRule="auto"/>
        <w:jc w:val="both"/>
        <w:rPr>
          <w:rFonts w:ascii="Times New Roman" w:hAnsi="Times New Roman" w:cs="Times New Roman"/>
        </w:rPr>
      </w:pPr>
      <w:hyperlink r:id="rId44" w:history="1">
        <w:r>
          <w:rPr>
            <w:rStyle w:val="Hyperlink"/>
            <w:rFonts w:ascii="Times New Roman" w:hAnsi="Times New Roman" w:cs="Times New Roman"/>
            <w:color w:val="auto"/>
          </w:rPr>
          <w:t>https://vietnamnews.vn/economy/talking-shop/1638591/new-strategies-for-attracting-quality-fdi to-viet-nam.html</w:t>
        </w:r>
      </w:hyperlink>
    </w:p>
    <w:p w14:paraId="76697D7B" w14:textId="77777777" w:rsidR="00B719CB" w:rsidRDefault="00B719CB" w:rsidP="002035DB">
      <w:pPr>
        <w:pStyle w:val="ListParagraph"/>
        <w:spacing w:line="276" w:lineRule="auto"/>
        <w:jc w:val="both"/>
        <w:rPr>
          <w:rFonts w:ascii="Times New Roman" w:hAnsi="Times New Roman" w:cs="Times New Roman"/>
          <w:b/>
          <w:bCs/>
        </w:rPr>
      </w:pPr>
    </w:p>
    <w:p w14:paraId="47FFC827" w14:textId="77777777" w:rsidR="00870EC9" w:rsidRDefault="00E01DF4" w:rsidP="002035DB">
      <w:pPr>
        <w:pStyle w:val="ListParagraph"/>
        <w:numPr>
          <w:ilvl w:val="0"/>
          <w:numId w:val="6"/>
        </w:numPr>
        <w:spacing w:line="276" w:lineRule="auto"/>
        <w:jc w:val="both"/>
        <w:rPr>
          <w:rFonts w:ascii="Times New Roman" w:hAnsi="Times New Roman" w:cs="Times New Roman"/>
          <w:b/>
          <w:bCs/>
        </w:rPr>
      </w:pPr>
      <w:r>
        <w:rPr>
          <w:rFonts w:ascii="Times New Roman" w:hAnsi="Times New Roman" w:cs="Times New Roman"/>
          <w:b/>
          <w:bCs/>
        </w:rPr>
        <w:t>FDI enterprise in Vietnam- solution to attract and maintain- Dr. Nguyen Hoang Tien</w:t>
      </w:r>
    </w:p>
    <w:p w14:paraId="3AAE4C5F" w14:textId="77777777" w:rsidR="00870EC9" w:rsidRDefault="00E01DF4" w:rsidP="002035DB">
      <w:pPr>
        <w:pStyle w:val="NormalWeb"/>
        <w:spacing w:before="0" w:beforeAutospacing="0" w:after="0" w:afterAutospacing="0" w:line="276" w:lineRule="auto"/>
        <w:ind w:left="720"/>
        <w:jc w:val="both"/>
      </w:pPr>
      <w:hyperlink r:id="rId45" w:history="1">
        <w:r>
          <w:rPr>
            <w:rStyle w:val="Hyperlink"/>
            <w:color w:val="auto"/>
          </w:rPr>
          <w:t>https://www.researchgate.net/publication/348504298_Current_situation_of_high_quality_human_resources_in_FDI_enterprises_in_Vietnam-solutions_to_attract_and_maintain</w:t>
        </w:r>
      </w:hyperlink>
    </w:p>
    <w:p w14:paraId="4BB4A7EF" w14:textId="77777777" w:rsidR="00B719CB" w:rsidRPr="00B719CB" w:rsidRDefault="00B719CB" w:rsidP="002035DB">
      <w:pPr>
        <w:spacing w:line="276" w:lineRule="auto"/>
        <w:jc w:val="both"/>
        <w:rPr>
          <w:b/>
          <w:bCs/>
          <w:i/>
          <w:iCs/>
        </w:rPr>
      </w:pPr>
    </w:p>
    <w:p w14:paraId="6C9B6A57" w14:textId="77777777" w:rsidR="00870EC9" w:rsidRPr="00760EAD" w:rsidRDefault="00E01DF4" w:rsidP="002035DB">
      <w:pPr>
        <w:pStyle w:val="ListParagraph"/>
        <w:numPr>
          <w:ilvl w:val="0"/>
          <w:numId w:val="6"/>
        </w:numPr>
        <w:spacing w:line="276" w:lineRule="auto"/>
        <w:jc w:val="both"/>
        <w:rPr>
          <w:rFonts w:ascii="Times New Roman" w:hAnsi="Times New Roman" w:cs="Times New Roman"/>
          <w:b/>
          <w:bCs/>
        </w:rPr>
      </w:pPr>
      <w:r w:rsidRPr="00760EAD">
        <w:rPr>
          <w:rFonts w:ascii="Times New Roman" w:hAnsi="Times New Roman" w:cs="Times New Roman"/>
          <w:b/>
          <w:bCs/>
        </w:rPr>
        <w:t>Improving quality of FDI attraction in Vietnam</w:t>
      </w:r>
    </w:p>
    <w:p w14:paraId="214B88BD" w14:textId="77777777" w:rsidR="00870EC9" w:rsidRDefault="00E01DF4" w:rsidP="002035DB">
      <w:pPr>
        <w:pStyle w:val="ListParagraph"/>
        <w:spacing w:line="276" w:lineRule="auto"/>
        <w:jc w:val="both"/>
        <w:rPr>
          <w:rFonts w:ascii="Times New Roman" w:hAnsi="Times New Roman" w:cs="Times New Roman"/>
        </w:rPr>
      </w:pPr>
      <w:hyperlink r:id="rId46" w:history="1">
        <w:r>
          <w:rPr>
            <w:rStyle w:val="Hyperlink"/>
            <w:rFonts w:ascii="Times New Roman" w:hAnsi="Times New Roman" w:cs="Times New Roman"/>
            <w:color w:val="auto"/>
          </w:rPr>
          <w:t>https://jqualityinnovation.springeropen.com/articles/10.1186/s40887-017-0016-7</w:t>
        </w:r>
      </w:hyperlink>
    </w:p>
    <w:p w14:paraId="69C97B2C" w14:textId="77777777" w:rsidR="00B719CB" w:rsidRDefault="00B719CB" w:rsidP="002035DB">
      <w:pPr>
        <w:pStyle w:val="ListParagraph"/>
        <w:spacing w:line="276" w:lineRule="auto"/>
        <w:jc w:val="both"/>
        <w:rPr>
          <w:rFonts w:ascii="Times New Roman" w:hAnsi="Times New Roman" w:cs="Times New Roman"/>
          <w:b/>
          <w:bCs/>
        </w:rPr>
      </w:pPr>
    </w:p>
    <w:p w14:paraId="71872FE2" w14:textId="77777777" w:rsidR="00870EC9" w:rsidRDefault="00E01DF4" w:rsidP="002035DB">
      <w:pPr>
        <w:pStyle w:val="ListParagraph"/>
        <w:numPr>
          <w:ilvl w:val="0"/>
          <w:numId w:val="6"/>
        </w:numPr>
        <w:spacing w:line="276" w:lineRule="auto"/>
        <w:jc w:val="both"/>
        <w:rPr>
          <w:rFonts w:ascii="Times New Roman" w:hAnsi="Times New Roman" w:cs="Times New Roman"/>
          <w:b/>
          <w:bCs/>
        </w:rPr>
      </w:pPr>
      <w:r>
        <w:rPr>
          <w:rFonts w:ascii="Times New Roman" w:hAnsi="Times New Roman" w:cs="Times New Roman"/>
          <w:b/>
          <w:bCs/>
        </w:rPr>
        <w:t xml:space="preserve">Mot so </w:t>
      </w:r>
      <w:proofErr w:type="spellStart"/>
      <w:r>
        <w:rPr>
          <w:rFonts w:ascii="Times New Roman" w:hAnsi="Times New Roman" w:cs="Times New Roman"/>
          <w:b/>
          <w:bCs/>
        </w:rPr>
        <w:t>giai</w:t>
      </w:r>
      <w:proofErr w:type="spellEnd"/>
      <w:r>
        <w:rPr>
          <w:rFonts w:ascii="Times New Roman" w:hAnsi="Times New Roman" w:cs="Times New Roman"/>
          <w:b/>
          <w:bCs/>
        </w:rPr>
        <w:t xml:space="preserve"> </w:t>
      </w:r>
      <w:proofErr w:type="spellStart"/>
      <w:r>
        <w:rPr>
          <w:rFonts w:ascii="Times New Roman" w:hAnsi="Times New Roman" w:cs="Times New Roman"/>
          <w:b/>
          <w:bCs/>
        </w:rPr>
        <w:t>phap</w:t>
      </w:r>
      <w:proofErr w:type="spellEnd"/>
      <w:r>
        <w:rPr>
          <w:rFonts w:ascii="Times New Roman" w:hAnsi="Times New Roman" w:cs="Times New Roman"/>
          <w:b/>
          <w:bCs/>
        </w:rPr>
        <w:t xml:space="preserve"> </w:t>
      </w:r>
      <w:proofErr w:type="spellStart"/>
      <w:r>
        <w:rPr>
          <w:rFonts w:ascii="Times New Roman" w:hAnsi="Times New Roman" w:cs="Times New Roman"/>
          <w:b/>
          <w:bCs/>
        </w:rPr>
        <w:t>thu</w:t>
      </w:r>
      <w:proofErr w:type="spellEnd"/>
      <w:r>
        <w:rPr>
          <w:rFonts w:ascii="Times New Roman" w:hAnsi="Times New Roman" w:cs="Times New Roman"/>
          <w:b/>
          <w:bCs/>
        </w:rPr>
        <w:t xml:space="preserve"> hut von </w:t>
      </w:r>
      <w:proofErr w:type="spellStart"/>
      <w:r>
        <w:rPr>
          <w:rFonts w:ascii="Times New Roman" w:hAnsi="Times New Roman" w:cs="Times New Roman"/>
          <w:b/>
          <w:bCs/>
        </w:rPr>
        <w:t>dau</w:t>
      </w:r>
      <w:proofErr w:type="spellEnd"/>
      <w:r>
        <w:rPr>
          <w:rFonts w:ascii="Times New Roman" w:hAnsi="Times New Roman" w:cs="Times New Roman"/>
          <w:b/>
          <w:bCs/>
        </w:rPr>
        <w:t xml:space="preserve"> </w:t>
      </w:r>
      <w:proofErr w:type="spellStart"/>
      <w:r>
        <w:rPr>
          <w:rFonts w:ascii="Times New Roman" w:hAnsi="Times New Roman" w:cs="Times New Roman"/>
          <w:b/>
          <w:bCs/>
        </w:rPr>
        <w:t>tu</w:t>
      </w:r>
      <w:proofErr w:type="spellEnd"/>
      <w:r>
        <w:rPr>
          <w:rFonts w:ascii="Times New Roman" w:hAnsi="Times New Roman" w:cs="Times New Roman"/>
          <w:b/>
          <w:bCs/>
        </w:rPr>
        <w:t xml:space="preserve"> </w:t>
      </w:r>
      <w:proofErr w:type="spellStart"/>
      <w:r>
        <w:rPr>
          <w:rFonts w:ascii="Times New Roman" w:hAnsi="Times New Roman" w:cs="Times New Roman"/>
          <w:b/>
          <w:bCs/>
        </w:rPr>
        <w:t>vao</w:t>
      </w:r>
      <w:proofErr w:type="spellEnd"/>
      <w:r>
        <w:rPr>
          <w:rFonts w:ascii="Times New Roman" w:hAnsi="Times New Roman" w:cs="Times New Roman"/>
          <w:b/>
          <w:bCs/>
        </w:rPr>
        <w:t xml:space="preserve"> Vietnam- Bo Cong Thuong</w:t>
      </w:r>
    </w:p>
    <w:p w14:paraId="6A44D654" w14:textId="77777777" w:rsidR="00870EC9" w:rsidRDefault="00E01DF4" w:rsidP="002035DB">
      <w:pPr>
        <w:pStyle w:val="ListParagraph"/>
        <w:spacing w:line="276" w:lineRule="auto"/>
        <w:jc w:val="both"/>
        <w:rPr>
          <w:rFonts w:ascii="Times New Roman" w:hAnsi="Times New Roman" w:cs="Times New Roman"/>
          <w:lang w:val="vi-VN"/>
        </w:rPr>
      </w:pPr>
      <w:hyperlink r:id="rId47" w:history="1">
        <w:r>
          <w:rPr>
            <w:rStyle w:val="Hyperlink"/>
            <w:rFonts w:ascii="Times New Roman" w:hAnsi="Times New Roman" w:cs="Times New Roman"/>
            <w:color w:val="auto"/>
          </w:rPr>
          <w:t>https://vioit.org.vn/vn/chien-luoc-chinh-sach/giai-phap-tang-suc-hap-dan--thu-hut-dong-von-fdi-vao-viet-nam-4714.4050.html</w:t>
        </w:r>
      </w:hyperlink>
    </w:p>
    <w:p w14:paraId="6DDF3DA3" w14:textId="77777777" w:rsidR="00B719CB" w:rsidRDefault="00B719CB" w:rsidP="002035DB">
      <w:pPr>
        <w:pStyle w:val="ListParagraph"/>
        <w:spacing w:line="276" w:lineRule="auto"/>
        <w:jc w:val="both"/>
        <w:rPr>
          <w:rFonts w:ascii="Times New Roman" w:hAnsi="Times New Roman" w:cs="Times New Roman"/>
          <w:b/>
          <w:bCs/>
          <w:lang w:val="vi-VN"/>
        </w:rPr>
      </w:pPr>
    </w:p>
    <w:p w14:paraId="284C905A" w14:textId="77777777" w:rsidR="00870EC9" w:rsidRDefault="00B719CB" w:rsidP="002035DB">
      <w:pPr>
        <w:pStyle w:val="ListParagraph"/>
        <w:numPr>
          <w:ilvl w:val="0"/>
          <w:numId w:val="6"/>
        </w:numPr>
        <w:spacing w:line="276" w:lineRule="auto"/>
        <w:jc w:val="both"/>
        <w:rPr>
          <w:rFonts w:ascii="Times New Roman" w:hAnsi="Times New Roman" w:cs="Times New Roman"/>
          <w:b/>
          <w:bCs/>
          <w:lang w:val="vi-VN"/>
        </w:rPr>
      </w:pPr>
      <w:r>
        <w:rPr>
          <w:rFonts w:ascii="Times New Roman" w:hAnsi="Times New Roman" w:cs="Times New Roman"/>
          <w:b/>
          <w:bCs/>
          <w:lang w:val="vi-VN"/>
        </w:rPr>
        <w:t xml:space="preserve">Loi the giup Viet nam thu hut FDI </w:t>
      </w:r>
    </w:p>
    <w:p w14:paraId="1C4A8305" w14:textId="77777777" w:rsidR="00870EC9" w:rsidRDefault="00E01DF4" w:rsidP="002035DB">
      <w:pPr>
        <w:pStyle w:val="ListParagraph"/>
        <w:spacing w:line="276" w:lineRule="auto"/>
        <w:jc w:val="both"/>
        <w:rPr>
          <w:rFonts w:ascii="Times New Roman" w:hAnsi="Times New Roman" w:cs="Times New Roman"/>
          <w:lang w:val="vi-VN"/>
        </w:rPr>
      </w:pPr>
      <w:hyperlink r:id="rId48" w:history="1">
        <w:r>
          <w:rPr>
            <w:rStyle w:val="Hyperlink"/>
            <w:rFonts w:ascii="Times New Roman" w:hAnsi="Times New Roman" w:cs="Times New Roman"/>
            <w:color w:val="auto"/>
            <w:lang w:val="vi-VN"/>
          </w:rPr>
          <w:t>https://www.vietnam.vn/en/loi-the-giup-viet-nam-thanh-nam-cham-hut-fdi-manh-nhat-dong-nam-a/</w:t>
        </w:r>
      </w:hyperlink>
    </w:p>
    <w:p w14:paraId="719124BD" w14:textId="77777777" w:rsidR="00B719CB" w:rsidRPr="00B719CB" w:rsidRDefault="00B719CB" w:rsidP="002035DB">
      <w:pPr>
        <w:pStyle w:val="ListParagraph"/>
        <w:spacing w:line="276" w:lineRule="auto"/>
        <w:jc w:val="both"/>
        <w:rPr>
          <w:rFonts w:ascii="Times New Roman" w:hAnsi="Times New Roman" w:cs="Times New Roman"/>
          <w:b/>
          <w:bCs/>
          <w:lang w:val="vi-VN"/>
        </w:rPr>
      </w:pPr>
    </w:p>
    <w:p w14:paraId="683B6344"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lang w:val="vi-VN"/>
        </w:rPr>
      </w:pPr>
      <w:r w:rsidRPr="00B719CB">
        <w:rPr>
          <w:rFonts w:ascii="Times New Roman" w:hAnsi="Times New Roman" w:cs="Times New Roman"/>
          <w:b/>
          <w:bCs/>
          <w:lang w:val="vi-VN"/>
        </w:rPr>
        <w:t>LuatVietnam. (2023, December 27). Ch</w:t>
      </w:r>
      <w:r w:rsidRPr="00B719CB">
        <w:rPr>
          <w:rFonts w:ascii="Times New Roman" w:hAnsi="Times New Roman" w:cs="Times New Roman"/>
          <w:b/>
          <w:bCs/>
          <w:lang w:val="vi-VN"/>
        </w:rPr>
        <w:t>ế</w:t>
      </w:r>
      <w:r w:rsidRPr="00B719CB">
        <w:rPr>
          <w:rFonts w:ascii="Times New Roman" w:hAnsi="Times New Roman" w:cs="Times New Roman"/>
          <w:b/>
          <w:bCs/>
          <w:lang w:val="vi-VN"/>
        </w:rPr>
        <w:t xml:space="preserve"> đ</w:t>
      </w:r>
      <w:r w:rsidRPr="00B719CB">
        <w:rPr>
          <w:rFonts w:ascii="Times New Roman" w:hAnsi="Times New Roman" w:cs="Times New Roman"/>
          <w:b/>
          <w:bCs/>
          <w:lang w:val="vi-VN"/>
        </w:rPr>
        <w:t>ộ</w:t>
      </w:r>
      <w:r w:rsidRPr="00B719CB">
        <w:rPr>
          <w:rFonts w:ascii="Times New Roman" w:hAnsi="Times New Roman" w:cs="Times New Roman"/>
          <w:b/>
          <w:bCs/>
          <w:lang w:val="vi-VN"/>
        </w:rPr>
        <w:t xml:space="preserve"> thai s</w:t>
      </w:r>
      <w:r w:rsidRPr="00B719CB">
        <w:rPr>
          <w:rFonts w:ascii="Times New Roman" w:hAnsi="Times New Roman" w:cs="Times New Roman"/>
          <w:b/>
          <w:bCs/>
          <w:lang w:val="vi-VN"/>
        </w:rPr>
        <w:t>ả</w:t>
      </w:r>
      <w:r w:rsidRPr="00B719CB">
        <w:rPr>
          <w:rFonts w:ascii="Times New Roman" w:hAnsi="Times New Roman" w:cs="Times New Roman"/>
          <w:b/>
          <w:bCs/>
          <w:lang w:val="vi-VN"/>
        </w:rPr>
        <w:t>n m</w:t>
      </w:r>
      <w:r w:rsidRPr="00B719CB">
        <w:rPr>
          <w:rFonts w:ascii="Times New Roman" w:hAnsi="Times New Roman" w:cs="Times New Roman"/>
          <w:b/>
          <w:bCs/>
          <w:lang w:val="vi-VN"/>
        </w:rPr>
        <w:t>ớ</w:t>
      </w:r>
      <w:r w:rsidRPr="00B719CB">
        <w:rPr>
          <w:rFonts w:ascii="Times New Roman" w:hAnsi="Times New Roman" w:cs="Times New Roman"/>
          <w:b/>
          <w:bCs/>
          <w:lang w:val="vi-VN"/>
        </w:rPr>
        <w:t>i nh</w:t>
      </w:r>
      <w:r w:rsidRPr="00B719CB">
        <w:rPr>
          <w:rFonts w:ascii="Times New Roman" w:hAnsi="Times New Roman" w:cs="Times New Roman"/>
          <w:b/>
          <w:bCs/>
          <w:lang w:val="vi-VN"/>
        </w:rPr>
        <w:t>ấ</w:t>
      </w:r>
      <w:r w:rsidRPr="00B719CB">
        <w:rPr>
          <w:rFonts w:ascii="Times New Roman" w:hAnsi="Times New Roman" w:cs="Times New Roman"/>
          <w:b/>
          <w:bCs/>
          <w:lang w:val="vi-VN"/>
        </w:rPr>
        <w:t>t: Quy</w:t>
      </w:r>
      <w:r w:rsidRPr="00B719CB">
        <w:rPr>
          <w:rFonts w:ascii="Times New Roman" w:hAnsi="Times New Roman" w:cs="Times New Roman"/>
          <w:b/>
          <w:bCs/>
          <w:lang w:val="vi-VN"/>
        </w:rPr>
        <w:t>ề</w:t>
      </w:r>
      <w:r w:rsidRPr="00B719CB">
        <w:rPr>
          <w:rFonts w:ascii="Times New Roman" w:hAnsi="Times New Roman" w:cs="Times New Roman"/>
          <w:b/>
          <w:bCs/>
          <w:lang w:val="vi-VN"/>
        </w:rPr>
        <w:t>n l</w:t>
      </w:r>
      <w:r w:rsidRPr="00B719CB">
        <w:rPr>
          <w:rFonts w:ascii="Times New Roman" w:hAnsi="Times New Roman" w:cs="Times New Roman"/>
          <w:b/>
          <w:bCs/>
          <w:lang w:val="vi-VN"/>
        </w:rPr>
        <w:t>ợ</w:t>
      </w:r>
      <w:r w:rsidRPr="00B719CB">
        <w:rPr>
          <w:rFonts w:ascii="Times New Roman" w:hAnsi="Times New Roman" w:cs="Times New Roman"/>
          <w:b/>
          <w:bCs/>
          <w:lang w:val="vi-VN"/>
        </w:rPr>
        <w:t>i c</w:t>
      </w:r>
      <w:r w:rsidRPr="00B719CB">
        <w:rPr>
          <w:rFonts w:ascii="Times New Roman" w:hAnsi="Times New Roman" w:cs="Times New Roman"/>
          <w:b/>
          <w:bCs/>
          <w:lang w:val="vi-VN"/>
        </w:rPr>
        <w:t>ầ</w:t>
      </w:r>
      <w:r w:rsidRPr="00B719CB">
        <w:rPr>
          <w:rFonts w:ascii="Times New Roman" w:hAnsi="Times New Roman" w:cs="Times New Roman"/>
          <w:b/>
          <w:bCs/>
          <w:lang w:val="vi-VN"/>
        </w:rPr>
        <w:t>n bi</w:t>
      </w:r>
      <w:r w:rsidRPr="00B719CB">
        <w:rPr>
          <w:rFonts w:ascii="Times New Roman" w:hAnsi="Times New Roman" w:cs="Times New Roman"/>
          <w:b/>
          <w:bCs/>
          <w:lang w:val="vi-VN"/>
        </w:rPr>
        <w:t>ế</w:t>
      </w:r>
      <w:r w:rsidRPr="00B719CB">
        <w:rPr>
          <w:rFonts w:ascii="Times New Roman" w:hAnsi="Times New Roman" w:cs="Times New Roman"/>
          <w:b/>
          <w:bCs/>
          <w:lang w:val="vi-VN"/>
        </w:rPr>
        <w:t>t khi sinh con.</w:t>
      </w:r>
    </w:p>
    <w:p w14:paraId="495C043D" w14:textId="77777777" w:rsidR="00870EC9" w:rsidRPr="00B719CB" w:rsidRDefault="00E01DF4" w:rsidP="002035DB">
      <w:pPr>
        <w:pStyle w:val="ListParagraph"/>
        <w:spacing w:line="276" w:lineRule="auto"/>
        <w:jc w:val="both"/>
        <w:rPr>
          <w:rFonts w:ascii="Times New Roman" w:hAnsi="Times New Roman" w:cs="Times New Roman"/>
          <w:u w:val="single"/>
          <w:lang w:val="vi-VN"/>
        </w:rPr>
      </w:pPr>
      <w:hyperlink r:id="rId49" w:tgtFrame="_blank" w:history="1">
        <w:r w:rsidRPr="00B719CB">
          <w:rPr>
            <w:rStyle w:val="Hyperlink"/>
            <w:rFonts w:ascii="Times New Roman" w:hAnsi="Times New Roman" w:cs="Times New Roman"/>
            <w:color w:val="auto"/>
            <w:lang w:val="vi-VN"/>
          </w:rPr>
          <w:t>https://luatvietnam.vn/bao-hiem/che-do-thai-san-563-19578-article.html</w:t>
        </w:r>
      </w:hyperlink>
    </w:p>
    <w:p w14:paraId="6A1B7E83" w14:textId="77777777" w:rsidR="00B719CB" w:rsidRPr="00403861" w:rsidRDefault="00B719CB" w:rsidP="002035DB">
      <w:pPr>
        <w:pStyle w:val="ListParagraph"/>
        <w:spacing w:line="276" w:lineRule="auto"/>
        <w:jc w:val="both"/>
        <w:rPr>
          <w:rFonts w:ascii="Times New Roman" w:hAnsi="Times New Roman" w:cs="Times New Roman"/>
          <w:b/>
          <w:bCs/>
          <w:lang w:val="vi-VN"/>
        </w:rPr>
      </w:pPr>
    </w:p>
    <w:p w14:paraId="3BD14613"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 xml:space="preserve">Vietnam vs Thailand Economy: Country </w:t>
      </w:r>
      <w:proofErr w:type="spellStart"/>
      <w:r w:rsidRPr="00B719CB">
        <w:rPr>
          <w:rFonts w:ascii="Times New Roman" w:hAnsi="Times New Roman" w:cs="Times New Roman"/>
          <w:b/>
          <w:bCs/>
        </w:rPr>
        <w:t>Comparision</w:t>
      </w:r>
      <w:proofErr w:type="spellEnd"/>
      <w:r w:rsidRPr="00B719CB">
        <w:rPr>
          <w:rFonts w:ascii="Times New Roman" w:hAnsi="Times New Roman" w:cs="Times New Roman"/>
          <w:b/>
          <w:bCs/>
        </w:rPr>
        <w:t xml:space="preserve"> - EFEX. (n.d.). EFEX.</w:t>
      </w:r>
    </w:p>
    <w:p w14:paraId="667A229D"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0" w:tgtFrame="_blank" w:history="1">
        <w:r w:rsidRPr="00B719CB">
          <w:rPr>
            <w:rStyle w:val="Hyperlink"/>
            <w:rFonts w:ascii="Times New Roman" w:hAnsi="Times New Roman" w:cs="Times New Roman"/>
            <w:color w:val="auto"/>
          </w:rPr>
          <w:t>https://efex.vn/en/blog/vietnam-vs-thailand-economy</w:t>
        </w:r>
      </w:hyperlink>
    </w:p>
    <w:p w14:paraId="768EC776" w14:textId="77777777" w:rsidR="00B719CB" w:rsidRPr="00B719CB" w:rsidRDefault="00B719CB" w:rsidP="002035DB">
      <w:pPr>
        <w:pStyle w:val="ListParagraph"/>
        <w:spacing w:line="276" w:lineRule="auto"/>
        <w:jc w:val="both"/>
        <w:rPr>
          <w:rFonts w:ascii="Times New Roman" w:hAnsi="Times New Roman" w:cs="Times New Roman"/>
          <w:b/>
          <w:bCs/>
        </w:rPr>
      </w:pPr>
    </w:p>
    <w:p w14:paraId="5E86DF52"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VietNamNet News. (n.d.). A “miracle” for Vietnam to catch up with Thailand and Malaysia. VietNamNet News.</w:t>
      </w:r>
    </w:p>
    <w:p w14:paraId="77322461"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1" w:history="1">
        <w:r w:rsidRPr="00B719CB">
          <w:rPr>
            <w:rStyle w:val="Hyperlink"/>
            <w:rFonts w:ascii="Times New Roman" w:hAnsi="Times New Roman" w:cs="Times New Roman"/>
            <w:color w:val="auto"/>
          </w:rPr>
          <w:t>https://vietnamnet.vn/en/a-miracle-for-vietnam-to-catch-up-with-thailand-and-malaysia-2051275.html?fbclid=IwAR0d6oFG9rSIG0Syx6gKdOcJFMG6PluKvAYbMfcP1L666NtegW3KF6lakqE</w:t>
        </w:r>
      </w:hyperlink>
    </w:p>
    <w:p w14:paraId="59AA840A" w14:textId="77777777" w:rsidR="00B719CB" w:rsidRPr="00B719CB" w:rsidRDefault="00B719CB" w:rsidP="002035DB">
      <w:pPr>
        <w:pStyle w:val="ListParagraph"/>
        <w:spacing w:line="276" w:lineRule="auto"/>
        <w:jc w:val="both"/>
        <w:rPr>
          <w:rFonts w:ascii="Times New Roman" w:hAnsi="Times New Roman" w:cs="Times New Roman"/>
          <w:b/>
          <w:bCs/>
        </w:rPr>
      </w:pPr>
    </w:p>
    <w:p w14:paraId="7D985590"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Foreign direct investment (FDI) in Argentina - International Trade Portal. (n.d.).</w:t>
      </w:r>
    </w:p>
    <w:p w14:paraId="58175EA9"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2" w:history="1">
        <w:r w:rsidRPr="00B719CB">
          <w:rPr>
            <w:rStyle w:val="Hyperlink"/>
            <w:rFonts w:ascii="Times New Roman" w:hAnsi="Times New Roman" w:cs="Times New Roman"/>
            <w:color w:val="auto"/>
          </w:rPr>
          <w:t>https://www.lloydsbanktrade.com/en/market-potential/argentina/investment?fbclid=IwAR3H8LwgG6hexvc5Mc0ExuEfBHMEYJPrpkjQcc_qNUnNV8hx8isZi1PlM_w</w:t>
        </w:r>
      </w:hyperlink>
    </w:p>
    <w:p w14:paraId="13976213" w14:textId="77777777" w:rsidR="00B719CB" w:rsidRPr="00B719CB" w:rsidRDefault="00B719CB" w:rsidP="002035DB">
      <w:pPr>
        <w:pStyle w:val="ListParagraph"/>
        <w:spacing w:line="276" w:lineRule="auto"/>
        <w:jc w:val="both"/>
        <w:rPr>
          <w:rFonts w:ascii="Times New Roman" w:hAnsi="Times New Roman" w:cs="Times New Roman"/>
          <w:b/>
          <w:bCs/>
        </w:rPr>
      </w:pPr>
    </w:p>
    <w:p w14:paraId="319A1CDD"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Chile - International Trade Portal. (n.d.).</w:t>
      </w:r>
    </w:p>
    <w:p w14:paraId="00521957"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3" w:history="1">
        <w:r w:rsidRPr="00B719CB">
          <w:rPr>
            <w:rStyle w:val="Hyperlink"/>
            <w:rFonts w:ascii="Times New Roman" w:hAnsi="Times New Roman" w:cs="Times New Roman"/>
            <w:color w:val="auto"/>
          </w:rPr>
          <w:t>https://www.lloydsbanktrade.com/en/market-potential/chile/economical-context?vider_sticky=oui&amp;fbclid=IwAR1mNIjucIG9alRA4Y6-dEc5IwptROWxUklmH7xBonUkBou-zMmwZCS_dyg</w:t>
        </w:r>
      </w:hyperlink>
    </w:p>
    <w:p w14:paraId="68A2C3EB" w14:textId="77777777" w:rsidR="00B719CB" w:rsidRPr="00B719CB" w:rsidRDefault="00B719CB" w:rsidP="002035DB">
      <w:pPr>
        <w:pStyle w:val="ListParagraph"/>
        <w:spacing w:line="276" w:lineRule="auto"/>
        <w:jc w:val="both"/>
        <w:rPr>
          <w:rFonts w:ascii="Times New Roman" w:hAnsi="Times New Roman" w:cs="Times New Roman"/>
          <w:b/>
          <w:bCs/>
        </w:rPr>
      </w:pPr>
    </w:p>
    <w:p w14:paraId="4742F9BF" w14:textId="77777777" w:rsidR="00B719CB" w:rsidRPr="00B719CB" w:rsidRDefault="00B719CB" w:rsidP="002035DB">
      <w:pPr>
        <w:spacing w:line="276" w:lineRule="auto"/>
        <w:jc w:val="both"/>
        <w:rPr>
          <w:b/>
          <w:bCs/>
        </w:rPr>
      </w:pPr>
    </w:p>
    <w:p w14:paraId="6F73E169" w14:textId="77777777" w:rsidR="00B719CB" w:rsidRDefault="00B719CB" w:rsidP="002035DB">
      <w:pPr>
        <w:pStyle w:val="ListParagraph"/>
        <w:spacing w:line="276" w:lineRule="auto"/>
        <w:jc w:val="both"/>
        <w:rPr>
          <w:rFonts w:ascii="Times New Roman" w:hAnsi="Times New Roman" w:cs="Times New Roman"/>
          <w:b/>
          <w:bCs/>
        </w:rPr>
      </w:pPr>
    </w:p>
    <w:p w14:paraId="4B9B6EDB"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Economic Outline of Laos - International Trade Portal. (n.d.).</w:t>
      </w:r>
    </w:p>
    <w:p w14:paraId="24F8AF30"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4" w:tgtFrame="_blank" w:history="1">
        <w:r w:rsidRPr="00B719CB">
          <w:rPr>
            <w:rStyle w:val="Hyperlink"/>
            <w:rFonts w:ascii="Times New Roman" w:hAnsi="Times New Roman" w:cs="Times New Roman"/>
            <w:color w:val="auto"/>
          </w:rPr>
          <w:t>https://www.lloydsbanktrade.com/en/market-potential/laos/economy?vider_sticky=oui</w:t>
        </w:r>
      </w:hyperlink>
    </w:p>
    <w:p w14:paraId="73657FEE" w14:textId="77777777" w:rsidR="00B719CB" w:rsidRPr="00B719CB" w:rsidRDefault="00B719CB" w:rsidP="002035DB">
      <w:pPr>
        <w:pStyle w:val="ListParagraph"/>
        <w:spacing w:line="276" w:lineRule="auto"/>
        <w:jc w:val="both"/>
        <w:rPr>
          <w:rFonts w:ascii="Times New Roman" w:hAnsi="Times New Roman" w:cs="Times New Roman"/>
          <w:b/>
          <w:bCs/>
        </w:rPr>
      </w:pPr>
    </w:p>
    <w:p w14:paraId="17E9AFD8"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India - International Trade Portal. (n.d.).</w:t>
      </w:r>
    </w:p>
    <w:p w14:paraId="7B0BB7F9"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5" w:history="1">
        <w:r w:rsidRPr="00B719CB">
          <w:rPr>
            <w:rStyle w:val="Hyperlink"/>
            <w:rFonts w:ascii="Times New Roman" w:hAnsi="Times New Roman" w:cs="Times New Roman"/>
            <w:color w:val="auto"/>
          </w:rPr>
          <w:t>https://www.lloydsbanktrade.com/en/market-potential/india/economical-context?vider_sticky=oui&amp;fbclid=IwAR2ECC3A9jeYgR83nUPfWgddizu6dfxd2Gl3_OWGERn74OG1cco8mtyndVo</w:t>
        </w:r>
      </w:hyperlink>
    </w:p>
    <w:p w14:paraId="0B9DC8BE" w14:textId="77777777" w:rsidR="00B719CB" w:rsidRPr="00B719CB" w:rsidRDefault="00B719CB" w:rsidP="002035DB">
      <w:pPr>
        <w:pStyle w:val="ListParagraph"/>
        <w:spacing w:line="276" w:lineRule="auto"/>
        <w:jc w:val="both"/>
        <w:rPr>
          <w:rFonts w:ascii="Times New Roman" w:hAnsi="Times New Roman" w:cs="Times New Roman"/>
          <w:b/>
          <w:bCs/>
        </w:rPr>
      </w:pPr>
    </w:p>
    <w:p w14:paraId="3F2AC91C"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Indonesia - International Trade Portal. (n.d.).</w:t>
      </w:r>
    </w:p>
    <w:p w14:paraId="677217D4"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6" w:history="1">
        <w:r w:rsidRPr="00B719CB">
          <w:rPr>
            <w:rStyle w:val="Hyperlink"/>
            <w:rFonts w:ascii="Times New Roman" w:hAnsi="Times New Roman" w:cs="Times New Roman"/>
            <w:color w:val="auto"/>
          </w:rPr>
          <w:t>https://www.lloydsbanktrade.com/en/market-potential/indonesia/economical-context?vider_sticky=oui&amp;fbclid=IwAR2AChqzpS_iva03EP-a42BqSWyqg5QZAtQfpUulfJAGQlLH6ayearsyYdc</w:t>
        </w:r>
      </w:hyperlink>
    </w:p>
    <w:p w14:paraId="1F0905FF" w14:textId="77777777" w:rsidR="00B719CB" w:rsidRPr="00B719CB" w:rsidRDefault="00B719CB" w:rsidP="002035DB">
      <w:pPr>
        <w:pStyle w:val="ListParagraph"/>
        <w:spacing w:line="276" w:lineRule="auto"/>
        <w:jc w:val="both"/>
        <w:rPr>
          <w:rFonts w:ascii="Times New Roman" w:hAnsi="Times New Roman" w:cs="Times New Roman"/>
          <w:b/>
          <w:bCs/>
        </w:rPr>
      </w:pPr>
    </w:p>
    <w:p w14:paraId="3837C348"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Malaysia - International Trade Portal. (n.d.).</w:t>
      </w:r>
    </w:p>
    <w:p w14:paraId="4E4B6B1C"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7" w:history="1">
        <w:r w:rsidRPr="00B719CB">
          <w:rPr>
            <w:rStyle w:val="Hyperlink"/>
            <w:rFonts w:ascii="Times New Roman" w:hAnsi="Times New Roman" w:cs="Times New Roman"/>
            <w:color w:val="auto"/>
          </w:rPr>
          <w:t>https://www.lloydsbanktrade.com/en/market-potential/malaysia/economical-context?vider_sticky=oui&amp;fbclid=IwAR1eQ4XzTgCLTpxM4BZzzZ9oJ9T_Ms6NA6oNSM6JAmK6QhiqD6t1i03DDDk</w:t>
        </w:r>
      </w:hyperlink>
      <w:r w:rsidRPr="00B719CB">
        <w:rPr>
          <w:rFonts w:ascii="Times New Roman" w:hAnsi="Times New Roman" w:cs="Times New Roman"/>
          <w:u w:val="single"/>
        </w:rPr>
        <w:t xml:space="preserve"> </w:t>
      </w:r>
    </w:p>
    <w:p w14:paraId="3E58F5BA" w14:textId="77777777" w:rsidR="00B719CB" w:rsidRPr="00B719CB" w:rsidRDefault="00B719CB" w:rsidP="002035DB">
      <w:pPr>
        <w:pStyle w:val="ListParagraph"/>
        <w:spacing w:line="276" w:lineRule="auto"/>
        <w:jc w:val="both"/>
        <w:rPr>
          <w:rFonts w:ascii="Times New Roman" w:hAnsi="Times New Roman" w:cs="Times New Roman"/>
          <w:b/>
          <w:bCs/>
        </w:rPr>
      </w:pPr>
    </w:p>
    <w:p w14:paraId="75D7B144"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the Philippines - International Trade Portal. (n.d.).</w:t>
      </w:r>
    </w:p>
    <w:p w14:paraId="6EB86F97"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8" w:history="1">
        <w:r w:rsidRPr="00B719CB">
          <w:rPr>
            <w:rStyle w:val="Hyperlink"/>
            <w:rFonts w:ascii="Times New Roman" w:hAnsi="Times New Roman" w:cs="Times New Roman"/>
            <w:color w:val="auto"/>
          </w:rPr>
          <w:t>https://www.lloydsbanktrade.com/en/market-potential/philippines/economical-context?vider_sticky=oui&amp;fbclid=IwAR1sFKtPfbFVzqow7ibwbl_5r9h-Q52Xns8VqbjIvBYWo10OsRtmwndbBUo</w:t>
        </w:r>
      </w:hyperlink>
      <w:r w:rsidRPr="00B719CB">
        <w:rPr>
          <w:rFonts w:ascii="Times New Roman" w:hAnsi="Times New Roman" w:cs="Times New Roman"/>
          <w:u w:val="single"/>
        </w:rPr>
        <w:t xml:space="preserve"> </w:t>
      </w:r>
    </w:p>
    <w:p w14:paraId="349DF7A8" w14:textId="77777777" w:rsidR="00B719CB" w:rsidRPr="00B719CB" w:rsidRDefault="00B719CB" w:rsidP="002035DB">
      <w:pPr>
        <w:pStyle w:val="ListParagraph"/>
        <w:spacing w:line="276" w:lineRule="auto"/>
        <w:jc w:val="both"/>
        <w:rPr>
          <w:rFonts w:ascii="Times New Roman" w:hAnsi="Times New Roman" w:cs="Times New Roman"/>
          <w:b/>
          <w:bCs/>
        </w:rPr>
      </w:pPr>
    </w:p>
    <w:p w14:paraId="2B32AEFD"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Saudi Arabia - International Trade Portal. (n.d.).</w:t>
      </w:r>
    </w:p>
    <w:p w14:paraId="526FFA46"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59" w:history="1">
        <w:r w:rsidRPr="00B719CB">
          <w:rPr>
            <w:rStyle w:val="Hyperlink"/>
            <w:rFonts w:ascii="Times New Roman" w:hAnsi="Times New Roman" w:cs="Times New Roman"/>
            <w:color w:val="auto"/>
          </w:rPr>
          <w:t>https://www.lloydsbanktrade.com/en/market-potential/saudi-arabia/economical-context?vider_sticky=oui&amp;fbclid=IwAR1GFKOx74KM3SBNMBRR54-UfPa4pFXE6Of9As7-KRTykw7wMFhmr_xnc2M</w:t>
        </w:r>
      </w:hyperlink>
      <w:r w:rsidRPr="00B719CB">
        <w:rPr>
          <w:rFonts w:ascii="Times New Roman" w:hAnsi="Times New Roman" w:cs="Times New Roman"/>
          <w:u w:val="single"/>
        </w:rPr>
        <w:t xml:space="preserve"> </w:t>
      </w:r>
    </w:p>
    <w:p w14:paraId="2CE12B85" w14:textId="77777777" w:rsidR="00B719CB" w:rsidRPr="00B719CB" w:rsidRDefault="00B719CB" w:rsidP="002035DB">
      <w:pPr>
        <w:pStyle w:val="ListParagraph"/>
        <w:spacing w:line="276" w:lineRule="auto"/>
        <w:jc w:val="both"/>
        <w:rPr>
          <w:rFonts w:ascii="Times New Roman" w:hAnsi="Times New Roman" w:cs="Times New Roman"/>
          <w:b/>
          <w:bCs/>
        </w:rPr>
      </w:pPr>
    </w:p>
    <w:p w14:paraId="554F49DC"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Thailand - International Trade Portal. (n.d.).</w:t>
      </w:r>
    </w:p>
    <w:p w14:paraId="5DD14DC5"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60" w:history="1">
        <w:r w:rsidRPr="00B719CB">
          <w:rPr>
            <w:rStyle w:val="Hyperlink"/>
            <w:rFonts w:ascii="Times New Roman" w:hAnsi="Times New Roman" w:cs="Times New Roman"/>
            <w:color w:val="auto"/>
          </w:rPr>
          <w:t>https://www.lloydsbanktrade.com/en/market-potential/thailand/economical-context?vider_sticky=oui&amp;fbclid=IwAR0xaJErGsnHv-XIzA7J2GYpSqHEPeBh9kJuiisjIovbugd0OBQcmF7jP9o</w:t>
        </w:r>
      </w:hyperlink>
      <w:r w:rsidRPr="00B719CB">
        <w:rPr>
          <w:rFonts w:ascii="Times New Roman" w:hAnsi="Times New Roman" w:cs="Times New Roman"/>
          <w:u w:val="single"/>
        </w:rPr>
        <w:t xml:space="preserve"> </w:t>
      </w:r>
    </w:p>
    <w:p w14:paraId="41A15808" w14:textId="77777777" w:rsidR="00B719CB" w:rsidRPr="00B719CB" w:rsidRDefault="00B719CB" w:rsidP="002035DB">
      <w:pPr>
        <w:pStyle w:val="ListParagraph"/>
        <w:spacing w:line="276" w:lineRule="auto"/>
        <w:jc w:val="both"/>
        <w:rPr>
          <w:rFonts w:ascii="Times New Roman" w:hAnsi="Times New Roman" w:cs="Times New Roman"/>
          <w:b/>
          <w:bCs/>
        </w:rPr>
      </w:pPr>
    </w:p>
    <w:p w14:paraId="65BB0019" w14:textId="77777777" w:rsidR="00870EC9" w:rsidRPr="00B719CB" w:rsidRDefault="00E01DF4" w:rsidP="002035DB">
      <w:pPr>
        <w:pStyle w:val="ListParagraph"/>
        <w:numPr>
          <w:ilvl w:val="0"/>
          <w:numId w:val="6"/>
        </w:numPr>
        <w:spacing w:line="276" w:lineRule="auto"/>
        <w:jc w:val="both"/>
        <w:rPr>
          <w:rFonts w:ascii="Times New Roman" w:hAnsi="Times New Roman" w:cs="Times New Roman"/>
          <w:b/>
          <w:bCs/>
        </w:rPr>
      </w:pPr>
      <w:r w:rsidRPr="00B719CB">
        <w:rPr>
          <w:rFonts w:ascii="Times New Roman" w:hAnsi="Times New Roman" w:cs="Times New Roman"/>
          <w:b/>
          <w:bCs/>
        </w:rPr>
        <w:t>The economic context of Vietnam - International Trade Portal. (n.d.).</w:t>
      </w:r>
    </w:p>
    <w:p w14:paraId="51FFAD13" w14:textId="77777777" w:rsidR="00870EC9" w:rsidRPr="00B719CB" w:rsidRDefault="00E01DF4" w:rsidP="002035DB">
      <w:pPr>
        <w:pStyle w:val="ListParagraph"/>
        <w:spacing w:line="276" w:lineRule="auto"/>
        <w:jc w:val="both"/>
        <w:rPr>
          <w:rFonts w:ascii="Times New Roman" w:hAnsi="Times New Roman" w:cs="Times New Roman"/>
          <w:u w:val="single"/>
        </w:rPr>
      </w:pPr>
      <w:hyperlink r:id="rId61" w:history="1">
        <w:r w:rsidRPr="00B719CB">
          <w:rPr>
            <w:rStyle w:val="Hyperlink"/>
            <w:rFonts w:ascii="Times New Roman" w:hAnsi="Times New Roman" w:cs="Times New Roman"/>
            <w:color w:val="auto"/>
          </w:rPr>
          <w:t>https://www.lloydsbanktrade.com/en/market-potential/vietnam/economical-context?vider_sticky=oui&amp;fbclid=IwAR0kwYWAt5ACfxZzTM2uCG76wN5XuGufPpVQur8Qop8xUmsgxJ4ZWScJsuE</w:t>
        </w:r>
      </w:hyperlink>
    </w:p>
    <w:p w14:paraId="589FA49E" w14:textId="77777777" w:rsidR="00870EC9" w:rsidRDefault="00FA3EE8" w:rsidP="002035DB">
      <w:pPr>
        <w:pStyle w:val="ListParagraph"/>
        <w:spacing w:line="276" w:lineRule="auto"/>
        <w:jc w:val="both"/>
        <w:rPr>
          <w:rFonts w:ascii="Times New Roman" w:hAnsi="Times New Roman" w:cs="Times New Roman"/>
          <w:u w:val="single"/>
        </w:rPr>
      </w:pPr>
      <w:r>
        <w:rPr>
          <w:rFonts w:ascii="Times New Roman" w:hAnsi="Times New Roman" w:cs="Times New Roman"/>
          <w:u w:val="single"/>
        </w:rPr>
        <w:t xml:space="preserve"> </w:t>
      </w:r>
    </w:p>
    <w:sectPr w:rsidR="00870EC9">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9891" w14:textId="77777777" w:rsidR="00146B15" w:rsidRDefault="00146B15">
      <w:r>
        <w:separator/>
      </w:r>
    </w:p>
  </w:endnote>
  <w:endnote w:type="continuationSeparator" w:id="0">
    <w:p w14:paraId="5D10A629" w14:textId="77777777" w:rsidR="00146B15" w:rsidRDefault="0014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Segoe Print"/>
    <w:panose1 w:val="02020400000000000000"/>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0804522"/>
    </w:sdtPr>
    <w:sdtEndPr>
      <w:rPr>
        <w:rStyle w:val="PageNumber"/>
      </w:rPr>
    </w:sdtEndPr>
    <w:sdtContent>
      <w:p w14:paraId="7CA25497" w14:textId="77777777" w:rsidR="00870EC9" w:rsidRDefault="00E01DF4">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14:paraId="7A9422E2" w14:textId="77777777" w:rsidR="00870EC9" w:rsidRDefault="00870E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B9E5" w14:textId="77777777" w:rsidR="00870EC9" w:rsidRDefault="00E01DF4">
    <w:pPr>
      <w:pStyle w:val="Footer"/>
      <w:jc w:val="center"/>
      <w:rPr>
        <w:rFonts w:ascii="Times New Roman" w:hAnsi="Times New Roman" w:cs="Times New Roman"/>
        <w:sz w:val="22"/>
        <w:szCs w:val="22"/>
      </w:rPr>
    </w:pPr>
    <w:r>
      <w:rPr>
        <w:rFonts w:ascii="Times New Roman" w:hAnsi="Times New Roman" w:cs="Times New Roman"/>
        <w:noProof/>
        <w:sz w:val="22"/>
        <w:szCs w:val="22"/>
        <w:lang w:eastAsia="zh-CN"/>
      </w:rPr>
      <mc:AlternateContent>
        <mc:Choice Requires="wps">
          <w:drawing>
            <wp:anchor distT="0" distB="0" distL="0" distR="0" simplePos="0" relativeHeight="251660288" behindDoc="0" locked="0" layoutInCell="1" allowOverlap="1" wp14:anchorId="72A203C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279400" cy="320040"/>
              <wp:effectExtent l="0" t="0" r="0" b="0"/>
              <wp:wrapSquare wrapText="bothSides"/>
              <wp:docPr id="40" name="Rectangle 6"/>
              <wp:cNvGraphicFramePr/>
              <a:graphic xmlns:a="http://schemas.openxmlformats.org/drawingml/2006/main">
                <a:graphicData uri="http://schemas.microsoft.com/office/word/2010/wordprocessingShape">
                  <wps:wsp>
                    <wps:cNvSpPr/>
                    <wps:spPr>
                      <a:xfrm>
                        <a:off x="0" y="0"/>
                        <a:ext cx="2794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684D9" w14:textId="77777777" w:rsidR="00870EC9" w:rsidRDefault="00E01DF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72A203CE" id="Rectangle 6" o:spid="_x0000_s1026" style="position:absolute;left:0;text-align:left;margin-left:0;margin-top:0;width:22pt;height:25.2pt;z-index:251660288;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" fillcolor="black [3213]" stroked="f" strokeweight="3pt">
              <v:textbox>
                <w:txbxContent>
                  <w:p w14:paraId="55A684D9" w14:textId="77777777" w:rsidR="00870EC9" w:rsidRDefault="00E01DF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rPr>
        <w:rFonts w:ascii="Times New Roman" w:hAnsi="Times New Roman" w:cs="Times New Roman"/>
        <w:noProof/>
        <w:color w:val="808080" w:themeColor="background1" w:themeShade="80"/>
        <w:sz w:val="22"/>
        <w:szCs w:val="22"/>
        <w:lang w:eastAsia="zh-CN"/>
      </w:rPr>
      <mc:AlternateContent>
        <mc:Choice Requires="wpg">
          <w:drawing>
            <wp:anchor distT="0" distB="0" distL="0" distR="0" simplePos="0" relativeHeight="251661312" behindDoc="0" locked="0" layoutInCell="1" allowOverlap="1" wp14:anchorId="4C78E99A">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id w:val="-1063724354"/>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EndPr/>
                            <w:sdtContent>
                              <w:p w14:paraId="61CA4206" w14:textId="77777777" w:rsidR="00870EC9" w:rsidRDefault="00E01DF4">
                                <w:pPr>
                                  <w:jc w:val="right"/>
                                  <w:rPr>
                                    <w:color w:val="7F7F7F" w:themeColor="text1" w:themeTint="80"/>
                                  </w:rPr>
                                </w:pPr>
                                <w:r>
                                  <w:rPr>
                                    <w:color w:val="7F7F7F" w:themeColor="text1" w:themeTint="80"/>
                                  </w:rPr>
                                  <w:t>February 1, 2024</w:t>
                                </w:r>
                              </w:p>
                            </w:sdtContent>
                          </w:sdt>
                          <w:p w14:paraId="2753DBE3" w14:textId="77777777" w:rsidR="00870EC9" w:rsidRDefault="00870EC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4C78E99A" id="Group 5" o:spid="_x0000_s1027" style="position:absolute;left:0;text-align:left;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id w:val="-1063724354"/>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EndPr/>
                      <w:sdtContent>
                        <w:p w14:paraId="61CA4206" w14:textId="77777777" w:rsidR="00870EC9" w:rsidRDefault="00E01DF4">
                          <w:pPr>
                            <w:jc w:val="right"/>
                            <w:rPr>
                              <w:color w:val="7F7F7F" w:themeColor="text1" w:themeTint="80"/>
                            </w:rPr>
                          </w:pPr>
                          <w:r>
                            <w:rPr>
                              <w:color w:val="7F7F7F" w:themeColor="text1" w:themeTint="80"/>
                            </w:rPr>
                            <w:t>February 1, 2024</w:t>
                          </w:r>
                        </w:p>
                      </w:sdtContent>
                    </w:sdt>
                    <w:p w14:paraId="2753DBE3" w14:textId="77777777" w:rsidR="00870EC9" w:rsidRDefault="00870EC9">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F506" w14:textId="77777777" w:rsidR="00146B15" w:rsidRDefault="00146B15">
      <w:r>
        <w:separator/>
      </w:r>
    </w:p>
  </w:footnote>
  <w:footnote w:type="continuationSeparator" w:id="0">
    <w:p w14:paraId="1A0B25C1" w14:textId="77777777" w:rsidR="00146B15" w:rsidRDefault="00146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2960"/>
    <w:multiLevelType w:val="multilevel"/>
    <w:tmpl w:val="131B29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F82FE9"/>
    <w:multiLevelType w:val="multilevel"/>
    <w:tmpl w:val="17F82FE9"/>
    <w:lvl w:ilvl="0">
      <w:start w:val="7"/>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705411"/>
    <w:multiLevelType w:val="multilevel"/>
    <w:tmpl w:val="3170541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B045D4"/>
    <w:multiLevelType w:val="multilevel"/>
    <w:tmpl w:val="44B045D4"/>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4000CB"/>
    <w:multiLevelType w:val="hybridMultilevel"/>
    <w:tmpl w:val="5CB2B68C"/>
    <w:lvl w:ilvl="0" w:tplc="D4CACA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AA5A1E"/>
    <w:multiLevelType w:val="multilevel"/>
    <w:tmpl w:val="029465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5A3565"/>
    <w:multiLevelType w:val="hybridMultilevel"/>
    <w:tmpl w:val="C9B6CC4A"/>
    <w:lvl w:ilvl="0" w:tplc="BC2200F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1E556D"/>
    <w:multiLevelType w:val="multilevel"/>
    <w:tmpl w:val="AC8C1B58"/>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46D7D5D"/>
    <w:multiLevelType w:val="multilevel"/>
    <w:tmpl w:val="646D7D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A1F78CE"/>
    <w:multiLevelType w:val="multilevel"/>
    <w:tmpl w:val="6A1F78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56425586">
    <w:abstractNumId w:val="3"/>
  </w:num>
  <w:num w:numId="2" w16cid:durableId="1281910663">
    <w:abstractNumId w:val="2"/>
  </w:num>
  <w:num w:numId="3" w16cid:durableId="74330002">
    <w:abstractNumId w:val="1"/>
  </w:num>
  <w:num w:numId="4" w16cid:durableId="68692792">
    <w:abstractNumId w:val="0"/>
  </w:num>
  <w:num w:numId="5" w16cid:durableId="512843827">
    <w:abstractNumId w:val="8"/>
  </w:num>
  <w:num w:numId="6" w16cid:durableId="611670888">
    <w:abstractNumId w:val="9"/>
  </w:num>
  <w:num w:numId="7" w16cid:durableId="16203877">
    <w:abstractNumId w:val="5"/>
  </w:num>
  <w:num w:numId="8" w16cid:durableId="1157766027">
    <w:abstractNumId w:val="6"/>
  </w:num>
  <w:num w:numId="9" w16cid:durableId="1441758876">
    <w:abstractNumId w:val="4"/>
  </w:num>
  <w:num w:numId="10" w16cid:durableId="1796556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A0"/>
    <w:rsid w:val="00003B8F"/>
    <w:rsid w:val="00004EC1"/>
    <w:rsid w:val="0002050B"/>
    <w:rsid w:val="0003734A"/>
    <w:rsid w:val="0004448B"/>
    <w:rsid w:val="000909E5"/>
    <w:rsid w:val="0009384C"/>
    <w:rsid w:val="000A2DBF"/>
    <w:rsid w:val="000A6680"/>
    <w:rsid w:val="000B241C"/>
    <w:rsid w:val="000F0ED3"/>
    <w:rsid w:val="000F184F"/>
    <w:rsid w:val="001014BB"/>
    <w:rsid w:val="00120459"/>
    <w:rsid w:val="0012731C"/>
    <w:rsid w:val="00131097"/>
    <w:rsid w:val="00136E9A"/>
    <w:rsid w:val="00146B15"/>
    <w:rsid w:val="001521A5"/>
    <w:rsid w:val="0017194D"/>
    <w:rsid w:val="00186412"/>
    <w:rsid w:val="001A1AE2"/>
    <w:rsid w:val="001A7BE6"/>
    <w:rsid w:val="001B51BC"/>
    <w:rsid w:val="001B58A3"/>
    <w:rsid w:val="001C0481"/>
    <w:rsid w:val="001C3C3D"/>
    <w:rsid w:val="001D5762"/>
    <w:rsid w:val="001E75CE"/>
    <w:rsid w:val="001F4FA8"/>
    <w:rsid w:val="002035DB"/>
    <w:rsid w:val="002137FA"/>
    <w:rsid w:val="0021692B"/>
    <w:rsid w:val="0022280E"/>
    <w:rsid w:val="00227254"/>
    <w:rsid w:val="00232ECB"/>
    <w:rsid w:val="0023468E"/>
    <w:rsid w:val="002609A9"/>
    <w:rsid w:val="00291CDC"/>
    <w:rsid w:val="002A68D9"/>
    <w:rsid w:val="002B3A89"/>
    <w:rsid w:val="002B5EDC"/>
    <w:rsid w:val="002D1ACA"/>
    <w:rsid w:val="00304B32"/>
    <w:rsid w:val="00314578"/>
    <w:rsid w:val="00371185"/>
    <w:rsid w:val="003A140E"/>
    <w:rsid w:val="003A1B00"/>
    <w:rsid w:val="003D4E1F"/>
    <w:rsid w:val="003F236D"/>
    <w:rsid w:val="003F3F1F"/>
    <w:rsid w:val="00403861"/>
    <w:rsid w:val="004078AF"/>
    <w:rsid w:val="00415754"/>
    <w:rsid w:val="0041649D"/>
    <w:rsid w:val="00427052"/>
    <w:rsid w:val="0043610E"/>
    <w:rsid w:val="00436E22"/>
    <w:rsid w:val="00440C38"/>
    <w:rsid w:val="00447B99"/>
    <w:rsid w:val="0049277E"/>
    <w:rsid w:val="004B0535"/>
    <w:rsid w:val="004C26C2"/>
    <w:rsid w:val="004D3A1C"/>
    <w:rsid w:val="004D3EE8"/>
    <w:rsid w:val="004E1D81"/>
    <w:rsid w:val="004E6298"/>
    <w:rsid w:val="004F314C"/>
    <w:rsid w:val="005033D2"/>
    <w:rsid w:val="00517FC8"/>
    <w:rsid w:val="005348A7"/>
    <w:rsid w:val="00554A83"/>
    <w:rsid w:val="00555E33"/>
    <w:rsid w:val="00565248"/>
    <w:rsid w:val="005806D8"/>
    <w:rsid w:val="005A4BF9"/>
    <w:rsid w:val="005A5A52"/>
    <w:rsid w:val="005E176B"/>
    <w:rsid w:val="005E1918"/>
    <w:rsid w:val="005F44CD"/>
    <w:rsid w:val="005F58E6"/>
    <w:rsid w:val="006046EE"/>
    <w:rsid w:val="006320A1"/>
    <w:rsid w:val="00637E00"/>
    <w:rsid w:val="00640FCD"/>
    <w:rsid w:val="00643331"/>
    <w:rsid w:val="00645620"/>
    <w:rsid w:val="006509B1"/>
    <w:rsid w:val="00663D35"/>
    <w:rsid w:val="00664889"/>
    <w:rsid w:val="006962CE"/>
    <w:rsid w:val="006A178B"/>
    <w:rsid w:val="006A657A"/>
    <w:rsid w:val="006E789D"/>
    <w:rsid w:val="006F3F6A"/>
    <w:rsid w:val="00712146"/>
    <w:rsid w:val="007178C2"/>
    <w:rsid w:val="00720397"/>
    <w:rsid w:val="007448E6"/>
    <w:rsid w:val="00760EAD"/>
    <w:rsid w:val="00776A2D"/>
    <w:rsid w:val="00782033"/>
    <w:rsid w:val="00785FAD"/>
    <w:rsid w:val="007B7D2C"/>
    <w:rsid w:val="007E1C47"/>
    <w:rsid w:val="00814C4D"/>
    <w:rsid w:val="00826D6C"/>
    <w:rsid w:val="00827F2D"/>
    <w:rsid w:val="00835F57"/>
    <w:rsid w:val="00870EC9"/>
    <w:rsid w:val="008877AB"/>
    <w:rsid w:val="008C4F9E"/>
    <w:rsid w:val="00937B17"/>
    <w:rsid w:val="00941BFF"/>
    <w:rsid w:val="00965749"/>
    <w:rsid w:val="009777E2"/>
    <w:rsid w:val="009812B2"/>
    <w:rsid w:val="009A7D9B"/>
    <w:rsid w:val="009C72B2"/>
    <w:rsid w:val="009C7E83"/>
    <w:rsid w:val="009D2F9B"/>
    <w:rsid w:val="009E166D"/>
    <w:rsid w:val="009E18CE"/>
    <w:rsid w:val="009E1DBA"/>
    <w:rsid w:val="009E6575"/>
    <w:rsid w:val="009E6ADB"/>
    <w:rsid w:val="009F372A"/>
    <w:rsid w:val="00A11A12"/>
    <w:rsid w:val="00A619CC"/>
    <w:rsid w:val="00A62D88"/>
    <w:rsid w:val="00A72E7B"/>
    <w:rsid w:val="00A9211C"/>
    <w:rsid w:val="00AA7653"/>
    <w:rsid w:val="00AB49AB"/>
    <w:rsid w:val="00AB4D7F"/>
    <w:rsid w:val="00AD3648"/>
    <w:rsid w:val="00AE46E2"/>
    <w:rsid w:val="00B037BA"/>
    <w:rsid w:val="00B20550"/>
    <w:rsid w:val="00B26839"/>
    <w:rsid w:val="00B32209"/>
    <w:rsid w:val="00B43E6F"/>
    <w:rsid w:val="00B5148F"/>
    <w:rsid w:val="00B719CB"/>
    <w:rsid w:val="00B8730D"/>
    <w:rsid w:val="00BA1379"/>
    <w:rsid w:val="00BD065D"/>
    <w:rsid w:val="00BF259E"/>
    <w:rsid w:val="00C24BE9"/>
    <w:rsid w:val="00C62931"/>
    <w:rsid w:val="00C76968"/>
    <w:rsid w:val="00C802A7"/>
    <w:rsid w:val="00C81609"/>
    <w:rsid w:val="00D0658F"/>
    <w:rsid w:val="00D23383"/>
    <w:rsid w:val="00D35AC5"/>
    <w:rsid w:val="00D46BB4"/>
    <w:rsid w:val="00D53A42"/>
    <w:rsid w:val="00D56991"/>
    <w:rsid w:val="00D573CA"/>
    <w:rsid w:val="00D870E8"/>
    <w:rsid w:val="00D906F0"/>
    <w:rsid w:val="00D96F46"/>
    <w:rsid w:val="00DA375A"/>
    <w:rsid w:val="00DA38FE"/>
    <w:rsid w:val="00DE5CF5"/>
    <w:rsid w:val="00DF50BA"/>
    <w:rsid w:val="00DF6619"/>
    <w:rsid w:val="00E01DF4"/>
    <w:rsid w:val="00E239A0"/>
    <w:rsid w:val="00E248AE"/>
    <w:rsid w:val="00E32ECB"/>
    <w:rsid w:val="00E36E05"/>
    <w:rsid w:val="00E52D1D"/>
    <w:rsid w:val="00E539E0"/>
    <w:rsid w:val="00E546C1"/>
    <w:rsid w:val="00E62FAD"/>
    <w:rsid w:val="00E762C0"/>
    <w:rsid w:val="00E92887"/>
    <w:rsid w:val="00ED27A7"/>
    <w:rsid w:val="00EE0440"/>
    <w:rsid w:val="00EF51D2"/>
    <w:rsid w:val="00EF5F3A"/>
    <w:rsid w:val="00EF6836"/>
    <w:rsid w:val="00F13D6B"/>
    <w:rsid w:val="00F1579B"/>
    <w:rsid w:val="00F61F4C"/>
    <w:rsid w:val="00F80BCF"/>
    <w:rsid w:val="00F86E26"/>
    <w:rsid w:val="00F875D4"/>
    <w:rsid w:val="00F92071"/>
    <w:rsid w:val="00FA3EE8"/>
    <w:rsid w:val="00FB3818"/>
    <w:rsid w:val="00FC0883"/>
    <w:rsid w:val="00FC5771"/>
    <w:rsid w:val="00FD66E9"/>
    <w:rsid w:val="00FE50E8"/>
    <w:rsid w:val="00FF0988"/>
    <w:rsid w:val="00FF0EF2"/>
    <w:rsid w:val="19B82B88"/>
    <w:rsid w:val="56AA32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A37291"/>
  <w15:docId w15:val="{AF131C3E-F204-42D5-AF03-EEB21A35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44546A" w:themeColor="text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pPr>
    <w:rPr>
      <w:rFonts w:asciiTheme="minorHAnsi" w:eastAsiaTheme="minorHAnsi" w:hAnsiTheme="minorHAnsi" w:cstheme="minorBidi"/>
      <w:kern w:val="2"/>
      <w:lang w:eastAsia="en-US"/>
      <w14:ligatures w14:val="standardContextual"/>
    </w:rPr>
  </w:style>
  <w:style w:type="paragraph" w:styleId="Header">
    <w:name w:val="header"/>
    <w:basedOn w:val="Normal"/>
    <w:link w:val="HeaderChar"/>
    <w:uiPriority w:val="99"/>
    <w:unhideWhenUsed/>
    <w:qFormat/>
    <w:pPr>
      <w:tabs>
        <w:tab w:val="center" w:pos="4513"/>
        <w:tab w:val="right" w:pos="9026"/>
      </w:tabs>
    </w:pPr>
    <w:rPr>
      <w:rFonts w:asciiTheme="minorHAnsi" w:eastAsiaTheme="minorHAnsi" w:hAnsiTheme="minorHAnsi" w:cstheme="minorBidi"/>
      <w:kern w:val="2"/>
      <w:lang w:eastAsia="en-US"/>
      <w14:ligatures w14:val="standardContextual"/>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PageNumber">
    <w:name w:val="page number"/>
    <w:basedOn w:val="DefaultParagraphFont"/>
    <w:uiPriority w:val="99"/>
    <w:semiHidden/>
    <w:unhideWhenUsed/>
    <w:qFormat/>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sz w:val="22"/>
      <w:szCs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9016"/>
      </w:tabs>
      <w:spacing w:after="100"/>
    </w:pPr>
    <w:rPr>
      <w:smallCaps/>
      <w:lang w:val="vi-VN"/>
    </w:r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lang w:eastAsia="en-US"/>
    </w:rPr>
  </w:style>
  <w:style w:type="paragraph" w:styleId="ListParagraph">
    <w:name w:val="List Paragraph"/>
    <w:basedOn w:val="Normal"/>
    <w:uiPriority w:val="34"/>
    <w:qFormat/>
    <w:pPr>
      <w:ind w:left="720"/>
      <w:contextualSpacing/>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21">
    <w:name w:val="Grid Table 2 - Accent 21"/>
    <w:basedOn w:val="TableNormal"/>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
    <w:name w:val="_"/>
    <w:basedOn w:val="DefaultParagraphFont"/>
    <w:qFormat/>
  </w:style>
  <w:style w:type="table" w:customStyle="1" w:styleId="GridTable2-Accent11">
    <w:name w:val="Grid Table 2 - Accent 11"/>
    <w:basedOn w:val="TableNormal"/>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table" w:customStyle="1" w:styleId="GridTable1Light-Accent21">
    <w:name w:val="Grid Table 1 Light - Accent 21"/>
    <w:basedOn w:val="TableNormal"/>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1">
    <w:name w:val="Grid Table 6 Colorful - Accent 31"/>
    <w:basedOn w:val="TableNormal"/>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SubtitleChar">
    <w:name w:val="Subtitle Char"/>
    <w:basedOn w:val="DefaultParagraphFont"/>
    <w:link w:val="Subtitle"/>
    <w:uiPriority w:val="11"/>
    <w:qFormat/>
    <w:rPr>
      <w:rFonts w:eastAsiaTheme="minorEastAsia"/>
      <w:color w:val="595959" w:themeColor="text1" w:themeTint="A6"/>
      <w:spacing w:val="15"/>
      <w:kern w:val="0"/>
      <w:sz w:val="22"/>
      <w:szCs w:val="22"/>
      <w:lang w:eastAsia="en-GB"/>
      <w14:ligatures w14:val="none"/>
    </w:rPr>
  </w:style>
  <w:style w:type="character" w:customStyle="1" w:styleId="SubtleEmphasis1">
    <w:name w:val="Subtle Emphasis1"/>
    <w:basedOn w:val="DefaultParagraphFont"/>
    <w:uiPriority w:val="19"/>
    <w:qFormat/>
    <w:rPr>
      <w:i/>
      <w:iCs/>
      <w:color w:val="404040" w:themeColor="text1" w:themeTint="BF"/>
    </w:rPr>
  </w:style>
  <w:style w:type="paragraph" w:styleId="NoSpacing">
    <w:name w:val="No Spacing"/>
    <w:uiPriority w:val="1"/>
    <w:qFormat/>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i/>
      <w:kern w:val="0"/>
      <w:sz w:val="20"/>
      <w:szCs w:val="26"/>
      <w:lang w:eastAsia="en-GB"/>
      <w14:ligatures w14:val="none"/>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Pr>
      <w:rFonts w:ascii="Times New Roman" w:eastAsia="Times New Roman" w:hAnsi="Times New Roman" w:cs="Times New Roman"/>
      <w:i/>
      <w:iCs/>
      <w:color w:val="4472C4" w:themeColor="accent1"/>
      <w:kern w:val="0"/>
      <w:lang w:eastAsia="en-GB"/>
      <w14:ligatures w14:val="none"/>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rFonts w:ascii="Times New Roman" w:eastAsia="Times New Roman" w:hAnsi="Times New Roman" w:cs="Times New Roman"/>
      <w:i/>
      <w:iCs/>
      <w:color w:val="404040" w:themeColor="text1" w:themeTint="BF"/>
      <w:kern w:val="0"/>
      <w:lang w:eastAsia="en-GB"/>
      <w14:ligatures w14:val="none"/>
    </w:rPr>
  </w:style>
  <w:style w:type="table" w:customStyle="1" w:styleId="GridTable4-Accent11">
    <w:name w:val="Grid Table 4 - Accent 11"/>
    <w:basedOn w:val="TableNormal"/>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11">
    <w:name w:val="Grid Table 3 - Accent 11"/>
    <w:basedOn w:val="TableNormal"/>
    <w:uiPriority w:val="48"/>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44546A" w:themeColor="text2"/>
      <w:kern w:val="0"/>
      <w:szCs w:val="32"/>
      <w:lang w:eastAsia="en-GB"/>
      <w14:ligatures w14:val="none"/>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F5496" w:themeColor="accent1" w:themeShade="BF"/>
      <w:sz w:val="32"/>
      <w:lang w:eastAsia="en-US"/>
    </w:rPr>
  </w:style>
  <w:style w:type="character" w:customStyle="1" w:styleId="SubtleReference2">
    <w:name w:val="Subtle Reference2"/>
    <w:basedOn w:val="DefaultParagraphFont"/>
    <w:uiPriority w:val="31"/>
    <w:qFormat/>
    <w:rPr>
      <w:smallCaps/>
      <w:color w:val="595959" w:themeColor="text1" w:themeTint="A6"/>
    </w:rPr>
  </w:style>
  <w:style w:type="table" w:styleId="GridTable4-Accent4">
    <w:name w:val="Grid Table 4 Accent 4"/>
    <w:basedOn w:val="TableNormal"/>
    <w:uiPriority w:val="49"/>
    <w:rsid w:val="0043610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4361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1.xml"/><Relationship Id="rId39" Type="http://schemas.openxmlformats.org/officeDocument/2006/relationships/hyperlink" Target="https://www.csis.org/analysis/economic-security-emerging-markets-look-india-vietnam-and-indonesia" TargetMode="External"/><Relationship Id="rId21" Type="http://schemas.openxmlformats.org/officeDocument/2006/relationships/image" Target="media/image3.png"/><Relationship Id="rId34" Type="http://schemas.openxmlformats.org/officeDocument/2006/relationships/hyperlink" Target="https://mof.gov.vn/webcenter/portal/btcvn/pages_r/l/tin-bo-tai-chinh?dDocName=MOFUCM120602" TargetMode="External"/><Relationship Id="rId42" Type="http://schemas.openxmlformats.org/officeDocument/2006/relationships/hyperlink" Target="https://researchfdi.com/resources/articles/how-rising-interest-rates-impact-foreign-direct-investment/" TargetMode="External"/><Relationship Id="rId47" Type="http://schemas.openxmlformats.org/officeDocument/2006/relationships/hyperlink" Target="https://vioit.org.vn/vn/chien-luoc-chinh-sach/giai-phap-tang-suc-hap-dan--thu-hut-dong-von-fdi-vao-viet-nam-4714.4050.html" TargetMode="External"/><Relationship Id="rId50" Type="http://schemas.openxmlformats.org/officeDocument/2006/relationships/hyperlink" Target="https://efex.vn/en/blog/vietnam-vs-thailand-economy" TargetMode="External"/><Relationship Id="rId55" Type="http://schemas.openxmlformats.org/officeDocument/2006/relationships/hyperlink" Target="https://www.lloydsbanktrade.com/en/market-potential/india/economical-context?vider_sticky=oui&amp;fbclid=IwAR2ECC3A9jeYgR83nUPfWgddizu6dfxd2Gl3_OWGERn74OG1cco8mtyndVo"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4.xml"/><Relationship Id="rId29" Type="http://schemas.openxmlformats.org/officeDocument/2006/relationships/hyperlink" Target="https://www.tandfonline.com/doi/full/10.1080/2331186X.2016.1149041" TargetMode="External"/><Relationship Id="rId11" Type="http://schemas.openxmlformats.org/officeDocument/2006/relationships/footer" Target="footer1.xml"/><Relationship Id="rId24" Type="http://schemas.openxmlformats.org/officeDocument/2006/relationships/chart" Target="charts/chart9.xml"/><Relationship Id="rId32" Type="http://schemas.openxmlformats.org/officeDocument/2006/relationships/hyperlink" Target="https://www.tandfonline.com/doi/full/10.1080/2331186X.2016.1149041" TargetMode="External"/><Relationship Id="rId37" Type="http://schemas.openxmlformats.org/officeDocument/2006/relationships/hyperlink" Target="https://tapchilaoviet.org/tin-ngay/lao-dong-lao-doi-mat-voi-tinh-trang-khong-co-viec-lam-do-han-che-ve-nang-luc-va-trach-nhiem-5259.html" TargetMode="External"/><Relationship Id="rId40" Type="http://schemas.openxmlformats.org/officeDocument/2006/relationships/hyperlink" Target="https://www.internationalaffairs.org.au/australianoutlook/foreign-direct-investment-in-vietnam-2023-challenges-are-yet-to-come/" TargetMode="External"/><Relationship Id="rId45" Type="http://schemas.openxmlformats.org/officeDocument/2006/relationships/hyperlink" Target="https://www.researchgate.net/publication/348504298_Current_situation_of_high_quality_human_resources_in_FDI_enterprises_in_Vietnam-solutions_to_attract_and_maintain" TargetMode="External"/><Relationship Id="rId53" Type="http://schemas.openxmlformats.org/officeDocument/2006/relationships/hyperlink" Target="https://www.lloydsbanktrade.com/en/market-potential/chile/economical-context?vider_sticky=oui&amp;fbclid=IwAR1mNIjucIG9alRA4Y6-dEc5IwptROWxUklmH7xBonUkBou-zMmwZCS_dyg" TargetMode="External"/><Relationship Id="rId58" Type="http://schemas.openxmlformats.org/officeDocument/2006/relationships/hyperlink" Target="https://www.lloydsbanktrade.com/en/market-potential/philippines/economical-context?vider_sticky=oui&amp;fbclid=IwAR1sFKtPfbFVzqow7ibwbl_5r9h-Q52Xns8VqbjIvBYWo10OsRtmwndbBUo" TargetMode="External"/><Relationship Id="rId5" Type="http://schemas.openxmlformats.org/officeDocument/2006/relationships/styles" Target="styles.xml"/><Relationship Id="rId61" Type="http://schemas.openxmlformats.org/officeDocument/2006/relationships/hyperlink" Target="https://www.lloydsbanktrade.com/en/market-potential/vietnam/economical-context?vider_sticky=oui&amp;fbclid=IwAR0kwYWAt5ACfxZzTM2uCG76wN5XuGufPpVQur8Qop8xUmsgxJ4ZWScJsuE" TargetMode="External"/><Relationship Id="rId19" Type="http://schemas.openxmlformats.org/officeDocument/2006/relationships/chart" Target="charts/chart7.xml"/><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chart" Target="charts/chart12.xml"/><Relationship Id="rId30" Type="http://schemas.openxmlformats.org/officeDocument/2006/relationships/hyperlink" Target="https://www.tandfonline.com/doi/full/10.1080/2331186X.2016.1149041" TargetMode="External"/><Relationship Id="rId35" Type="http://schemas.openxmlformats.org/officeDocument/2006/relationships/hyperlink" Target="https://mof.gov.vn/webcenter/portal/vclvcstc/pages_r/l/chi-tiet-tin?dDocName=MOFUCM176309" TargetMode="External"/><Relationship Id="rId43" Type="http://schemas.openxmlformats.org/officeDocument/2006/relationships/hyperlink" Target="https://fbj.springeropen.com/articles/10.1186/s43093-022-00152-6" TargetMode="External"/><Relationship Id="rId48" Type="http://schemas.openxmlformats.org/officeDocument/2006/relationships/hyperlink" Target="https://www.vietnam.vn/en/loi-the-giup-viet-nam-thanh-nam-cham-hut-fdi-manh-nhat-dong-nam-a/" TargetMode="External"/><Relationship Id="rId56" Type="http://schemas.openxmlformats.org/officeDocument/2006/relationships/hyperlink" Target="https://www.lloydsbanktrade.com/en/market-potential/indonesia/economical-context?vider_sticky=oui&amp;fbclid=IwAR2AChqzpS_iva03EP-a42BqSWyqg5QZAtQfpUulfJAGQlLH6ayearsyYdc" TargetMode="External"/><Relationship Id="rId8" Type="http://schemas.openxmlformats.org/officeDocument/2006/relationships/footnotes" Target="footnotes.xml"/><Relationship Id="rId51" Type="http://schemas.openxmlformats.org/officeDocument/2006/relationships/hyperlink" Target="https://vietnamnet.vn/en/a-miracle-for-vietnam-to-catch-up-with-thailand-and-malaysia-2051275.html?fbclid=IwAR0d6oFG9rSIG0Syx6gKdOcJFMG6PluKvAYbMfcP1L666NtegW3KF6lakqE" TargetMode="Externa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chart" Target="charts/chart10.xml"/><Relationship Id="rId33" Type="http://schemas.openxmlformats.org/officeDocument/2006/relationships/hyperlink" Target="https://mof.gov.vn/webcenter/portal/btcvn/pages_r/l/tin-bo-tai-chinh?dDocName=MOFUCM120602" TargetMode="External"/><Relationship Id="rId38" Type="http://schemas.openxmlformats.org/officeDocument/2006/relationships/hyperlink" Target="https://jakartaglobe.id/business/indonesia-reports-highest-fdi-in-history" TargetMode="External"/><Relationship Id="rId46" Type="http://schemas.openxmlformats.org/officeDocument/2006/relationships/hyperlink" Target="https://jqualityinnovation.springeropen.com/articles/10.1186/s40887-017-0016-7" TargetMode="External"/><Relationship Id="rId59" Type="http://schemas.openxmlformats.org/officeDocument/2006/relationships/hyperlink" Target="https://www.lloydsbanktrade.com/en/market-potential/saudi-arabia/economical-context?vider_sticky=oui&amp;fbclid=IwAR1GFKOx74KM3SBNMBRR54-UfPa4pFXE6Of9As7-KRTykw7wMFhmr_xnc2M" TargetMode="External"/><Relationship Id="rId20" Type="http://schemas.openxmlformats.org/officeDocument/2006/relationships/image" Target="media/image2.png"/><Relationship Id="rId41" Type="http://schemas.openxmlformats.org/officeDocument/2006/relationships/hyperlink" Target="https://asean.org/asean-investment-report-2018-published/" TargetMode="External"/><Relationship Id="rId54" Type="http://schemas.openxmlformats.org/officeDocument/2006/relationships/hyperlink" Target="https://www.lloydsbanktrade.com/en/market-potential/laos/economy?vider_sticky=ou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4.png"/><Relationship Id="rId28" Type="http://schemas.openxmlformats.org/officeDocument/2006/relationships/chart" Target="charts/chart13.xml"/><Relationship Id="rId36" Type="http://schemas.openxmlformats.org/officeDocument/2006/relationships/hyperlink" Target="https://tapchilaoviet.org/tin-ngay/lao-dong-lao-doi-mat-voi-tinh-trang-khong-co-viec-lam-do-han-che-ve-nang-luc-va-trach-nhiem-5259.html" TargetMode="External"/><Relationship Id="rId49" Type="http://schemas.openxmlformats.org/officeDocument/2006/relationships/hyperlink" Target="https://luatvietnam.vn/bao-hiem/che-do-thai-san-563-19578-article.html" TargetMode="External"/><Relationship Id="rId57" Type="http://schemas.openxmlformats.org/officeDocument/2006/relationships/hyperlink" Target="https://www.lloydsbanktrade.com/en/market-potential/malaysia/economical-context?vider_sticky=oui&amp;fbclid=IwAR1eQ4XzTgCLTpxM4BZzzZ9oJ9T_Ms6NA6oNSM6JAmK6QhiqD6t1i03DDDk" TargetMode="External"/><Relationship Id="rId10" Type="http://schemas.openxmlformats.org/officeDocument/2006/relationships/image" Target="media/image1.jpeg"/><Relationship Id="rId31" Type="http://schemas.openxmlformats.org/officeDocument/2006/relationships/hyperlink" Target="https://georank.org/economy/laos/vietnam" TargetMode="External"/><Relationship Id="rId44" Type="http://schemas.openxmlformats.org/officeDocument/2006/relationships/hyperlink" Target="https://vietnamnews.vn/economy/talking-shop/1638591/new-strategies-for-attracting-quality-fdi%20to-viet-nam.html" TargetMode="External"/><Relationship Id="rId52" Type="http://schemas.openxmlformats.org/officeDocument/2006/relationships/hyperlink" Target="https://www.lloydsbanktrade.com/en/market-potential/argentina/investment?fbclid=IwAR3H8LwgG6hexvc5Mc0ExuEfBHMEYJPrpkjQcc_qNUnNV8hx8isZi1PlM_w" TargetMode="External"/><Relationship Id="rId60" Type="http://schemas.openxmlformats.org/officeDocument/2006/relationships/hyperlink" Target="https://www.lloydsbanktrade.com/en/market-potential/thailand/economical-context?vider_sticky=oui&amp;fbclid=IwAR0xaJErGsnHv-XIzA7J2GYpSqHEPeBh9kJuiisjIovbugd0OBQcmF7jP9o" TargetMode="Externa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ghi\Downloads\transform-data-asmAutoRecovered%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ghi\Downloads\transform-data-asmAutoRecovered%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ghi\Downloads\transform-data-asmAutoRecovered%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ghi\Downloads\transform-data-asmAutoRecovered%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hoi\Downloads\bieud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quinhuonn\Documents\transform%20data%20asm(AutoRecover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21170726724703301"/>
          <c:y val="0.112085769980507"/>
          <c:w val="0.65961905820033795"/>
          <c:h val="0.67469033476078599"/>
        </c:manualLayout>
      </c:layout>
      <c:barChart>
        <c:barDir val="col"/>
        <c:grouping val="clustered"/>
        <c:varyColors val="0"/>
        <c:ser>
          <c:idx val="0"/>
          <c:order val="0"/>
          <c:tx>
            <c:strRef>
              <c:f>'FDI, net inflow (% GDP)'!$B$12</c:f>
              <c:strCache>
                <c:ptCount val="1"/>
                <c:pt idx="0">
                  <c:v>BoP</c:v>
                </c:pt>
              </c:strCache>
            </c:strRef>
          </c:tx>
          <c:spPr>
            <a:solidFill>
              <a:schemeClr val="accent2">
                <a:shade val="76000"/>
              </a:schemeClr>
            </a:solidFill>
            <a:ln>
              <a:noFill/>
            </a:ln>
            <a:effectLst/>
          </c:spPr>
          <c:invertIfNegative val="0"/>
          <c:cat>
            <c:numRef>
              <c:f>'FDI, net inflow (% GDP)'!$A$13:$A$45</c:f>
              <c:numCache>
                <c:formatCode>General</c:formatCode>
                <c:ptCount val="3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numCache>
            </c:numRef>
          </c:cat>
          <c:val>
            <c:numRef>
              <c:f>'FDI, net inflow (% GDP)'!$B$13:$B$45</c:f>
              <c:numCache>
                <c:formatCode>#,##0</c:formatCode>
                <c:ptCount val="33"/>
                <c:pt idx="0">
                  <c:v>180000000</c:v>
                </c:pt>
                <c:pt idx="1">
                  <c:v>375190278</c:v>
                </c:pt>
                <c:pt idx="2">
                  <c:v>473945856</c:v>
                </c:pt>
                <c:pt idx="3">
                  <c:v>926303715</c:v>
                </c:pt>
                <c:pt idx="4">
                  <c:v>1944515936</c:v>
                </c:pt>
                <c:pt idx="5">
                  <c:v>1780400000</c:v>
                </c:pt>
                <c:pt idx="6">
                  <c:v>2395000000</c:v>
                </c:pt>
                <c:pt idx="7">
                  <c:v>2220000000</c:v>
                </c:pt>
                <c:pt idx="8">
                  <c:v>1671000000</c:v>
                </c:pt>
                <c:pt idx="9">
                  <c:v>1412000000</c:v>
                </c:pt>
                <c:pt idx="10">
                  <c:v>1298000000</c:v>
                </c:pt>
                <c:pt idx="11">
                  <c:v>1300000000</c:v>
                </c:pt>
                <c:pt idx="12">
                  <c:v>1400000000</c:v>
                </c:pt>
                <c:pt idx="13">
                  <c:v>1450000000</c:v>
                </c:pt>
                <c:pt idx="14">
                  <c:v>1610000000</c:v>
                </c:pt>
                <c:pt idx="15">
                  <c:v>1954000000</c:v>
                </c:pt>
                <c:pt idx="16">
                  <c:v>2400000000</c:v>
                </c:pt>
                <c:pt idx="17">
                  <c:v>6700000000</c:v>
                </c:pt>
                <c:pt idx="18">
                  <c:v>9579000000</c:v>
                </c:pt>
                <c:pt idx="19">
                  <c:v>7600000000</c:v>
                </c:pt>
                <c:pt idx="20">
                  <c:v>8000000000</c:v>
                </c:pt>
                <c:pt idx="21">
                  <c:v>7430000000</c:v>
                </c:pt>
                <c:pt idx="22">
                  <c:v>8368000000</c:v>
                </c:pt>
                <c:pt idx="23">
                  <c:v>8900000000</c:v>
                </c:pt>
                <c:pt idx="24">
                  <c:v>9200000000</c:v>
                </c:pt>
                <c:pt idx="25">
                  <c:v>11800000000</c:v>
                </c:pt>
                <c:pt idx="26">
                  <c:v>12600000000</c:v>
                </c:pt>
                <c:pt idx="27">
                  <c:v>14100000000</c:v>
                </c:pt>
                <c:pt idx="28">
                  <c:v>15500000000</c:v>
                </c:pt>
                <c:pt idx="29">
                  <c:v>16120000000</c:v>
                </c:pt>
                <c:pt idx="30">
                  <c:v>15800000000</c:v>
                </c:pt>
                <c:pt idx="31">
                  <c:v>15660000000</c:v>
                </c:pt>
                <c:pt idx="32">
                  <c:v>17900000000</c:v>
                </c:pt>
              </c:numCache>
            </c:numRef>
          </c:val>
          <c:extLst>
            <c:ext xmlns:c16="http://schemas.microsoft.com/office/drawing/2014/chart" uri="{C3380CC4-5D6E-409C-BE32-E72D297353CC}">
              <c16:uniqueId val="{00000000-A196-4156-AE49-11D30941819D}"/>
            </c:ext>
          </c:extLst>
        </c:ser>
        <c:dLbls>
          <c:showLegendKey val="0"/>
          <c:showVal val="0"/>
          <c:showCatName val="0"/>
          <c:showSerName val="0"/>
          <c:showPercent val="0"/>
          <c:showBubbleSize val="0"/>
        </c:dLbls>
        <c:gapWidth val="269"/>
        <c:axId val="1371807760"/>
        <c:axId val="1197016912"/>
      </c:barChart>
      <c:lineChart>
        <c:grouping val="standard"/>
        <c:varyColors val="0"/>
        <c:ser>
          <c:idx val="1"/>
          <c:order val="1"/>
          <c:tx>
            <c:strRef>
              <c:f>'FDI, net inflow (% GDP)'!$C$12</c:f>
              <c:strCache>
                <c:ptCount val="1"/>
                <c:pt idx="0">
                  <c:v>% GDP</c:v>
                </c:pt>
              </c:strCache>
            </c:strRef>
          </c:tx>
          <c:spPr>
            <a:ln w="38100" cap="rnd">
              <a:solidFill>
                <a:schemeClr val="accent2">
                  <a:tint val="77000"/>
                </a:schemeClr>
              </a:solidFill>
              <a:round/>
            </a:ln>
            <a:effectLst/>
          </c:spPr>
          <c:marker>
            <c:symbol val="none"/>
          </c:marker>
          <c:cat>
            <c:numRef>
              <c:f>'FDI, net inflow (% GDP)'!$A$13:$A$45</c:f>
              <c:numCache>
                <c:formatCode>General</c:formatCode>
                <c:ptCount val="33"/>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numCache>
            </c:numRef>
          </c:cat>
          <c:val>
            <c:numRef>
              <c:f>'FDI, net inflow (% GDP)'!$C$13:$C$45</c:f>
              <c:numCache>
                <c:formatCode>0.00</c:formatCode>
                <c:ptCount val="33"/>
                <c:pt idx="0">
                  <c:v>2.7813227601001098</c:v>
                </c:pt>
                <c:pt idx="1">
                  <c:v>3.9027967998431099</c:v>
                </c:pt>
                <c:pt idx="2">
                  <c:v>4.8033477751894198</c:v>
                </c:pt>
                <c:pt idx="3">
                  <c:v>7.0275925637769703</c:v>
                </c:pt>
                <c:pt idx="4">
                  <c:v>11.9394828341112</c:v>
                </c:pt>
                <c:pt idx="5">
                  <c:v>8.5859658546039199</c:v>
                </c:pt>
                <c:pt idx="6">
                  <c:v>9.7130806371215606</c:v>
                </c:pt>
                <c:pt idx="7">
                  <c:v>8.2700967582097</c:v>
                </c:pt>
                <c:pt idx="8">
                  <c:v>6.1412144026458604</c:v>
                </c:pt>
                <c:pt idx="9">
                  <c:v>4.9226634568012404</c:v>
                </c:pt>
                <c:pt idx="10">
                  <c:v>4.1639240795569297</c:v>
                </c:pt>
                <c:pt idx="11">
                  <c:v>3.9773354526157001</c:v>
                </c:pt>
                <c:pt idx="12">
                  <c:v>3.9926870513399599</c:v>
                </c:pt>
                <c:pt idx="13">
                  <c:v>3.6660122999746201</c:v>
                </c:pt>
                <c:pt idx="14">
                  <c:v>3.54408107288199</c:v>
                </c:pt>
                <c:pt idx="15">
                  <c:v>3.3904036392374599</c:v>
                </c:pt>
                <c:pt idx="16">
                  <c:v>3.6160009043252201</c:v>
                </c:pt>
                <c:pt idx="17">
                  <c:v>8.6547177143480507</c:v>
                </c:pt>
                <c:pt idx="18">
                  <c:v>9.6630390545571991</c:v>
                </c:pt>
                <c:pt idx="19">
                  <c:v>7.1688198889827799</c:v>
                </c:pt>
                <c:pt idx="20">
                  <c:v>5.4347396304581501</c:v>
                </c:pt>
                <c:pt idx="21">
                  <c:v>4.3048747260148001</c:v>
                </c:pt>
                <c:pt idx="22">
                  <c:v>4.27832318137387</c:v>
                </c:pt>
                <c:pt idx="23">
                  <c:v>4.1645448003452596</c:v>
                </c:pt>
                <c:pt idx="24">
                  <c:v>3.9408616350876402</c:v>
                </c:pt>
                <c:pt idx="25">
                  <c:v>4.9319074767824196</c:v>
                </c:pt>
                <c:pt idx="26">
                  <c:v>4.9008930292419297</c:v>
                </c:pt>
                <c:pt idx="27">
                  <c:v>5.0114868591121198</c:v>
                </c:pt>
                <c:pt idx="28">
                  <c:v>4.99828328892879</c:v>
                </c:pt>
                <c:pt idx="29">
                  <c:v>4.8210750423846198</c:v>
                </c:pt>
                <c:pt idx="30">
                  <c:v>4.5583618148938401</c:v>
                </c:pt>
                <c:pt idx="31">
                  <c:v>4.2770806377184396</c:v>
                </c:pt>
                <c:pt idx="32">
                  <c:v>4.3786437938054403</c:v>
                </c:pt>
              </c:numCache>
            </c:numRef>
          </c:val>
          <c:smooth val="0"/>
          <c:extLst>
            <c:ext xmlns:c16="http://schemas.microsoft.com/office/drawing/2014/chart" uri="{C3380CC4-5D6E-409C-BE32-E72D297353CC}">
              <c16:uniqueId val="{00000001-A196-4156-AE49-11D30941819D}"/>
            </c:ext>
          </c:extLst>
        </c:ser>
        <c:dLbls>
          <c:showLegendKey val="0"/>
          <c:showVal val="0"/>
          <c:showCatName val="0"/>
          <c:showSerName val="0"/>
          <c:showPercent val="0"/>
          <c:showBubbleSize val="0"/>
        </c:dLbls>
        <c:marker val="1"/>
        <c:smooth val="0"/>
        <c:axId val="1192819408"/>
        <c:axId val="683364048"/>
      </c:lineChart>
      <c:catAx>
        <c:axId val="13718077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tx1">
                    <a:lumMod val="65000"/>
                    <a:lumOff val="35000"/>
                  </a:schemeClr>
                </a:solidFill>
                <a:latin typeface="+mn-lt"/>
                <a:ea typeface="+mn-ea"/>
                <a:cs typeface="+mn-cs"/>
              </a:defRPr>
            </a:pPr>
            <a:endParaRPr lang="en-VN"/>
          </a:p>
        </c:txPr>
        <c:crossAx val="1197016912"/>
        <c:crosses val="autoZero"/>
        <c:auto val="1"/>
        <c:lblAlgn val="ctr"/>
        <c:lblOffset val="100"/>
        <c:noMultiLvlLbl val="0"/>
      </c:catAx>
      <c:valAx>
        <c:axId val="11970169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GB"/>
                  <a:t>Current US $</a:t>
                </a:r>
              </a:p>
            </c:rich>
          </c:tx>
          <c:layout>
            <c:manualLayout>
              <c:xMode val="edge"/>
              <c:yMode val="edge"/>
              <c:x val="8.0545900524056479E-3"/>
              <c:y val="0.1972064962790738"/>
            </c:manualLayout>
          </c:layout>
          <c:overlay val="0"/>
          <c:spPr>
            <a:noFill/>
            <a:ln>
              <a:noFill/>
            </a:ln>
            <a:effectLst/>
          </c:spPr>
          <c:txPr>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endParaRPr lang="en-VN"/>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1371807760"/>
        <c:crosses val="autoZero"/>
        <c:crossBetween val="between"/>
      </c:valAx>
      <c:catAx>
        <c:axId val="1192819408"/>
        <c:scaling>
          <c:orientation val="minMax"/>
        </c:scaling>
        <c:delete val="1"/>
        <c:axPos val="b"/>
        <c:numFmt formatCode="General" sourceLinked="1"/>
        <c:majorTickMark val="out"/>
        <c:minorTickMark val="none"/>
        <c:tickLblPos val="nextTo"/>
        <c:crossAx val="683364048"/>
        <c:crosses val="autoZero"/>
        <c:auto val="1"/>
        <c:lblAlgn val="ctr"/>
        <c:lblOffset val="100"/>
        <c:noMultiLvlLbl val="0"/>
      </c:catAx>
      <c:valAx>
        <c:axId val="683364048"/>
        <c:scaling>
          <c:orientation val="minMax"/>
        </c:scaling>
        <c:delete val="0"/>
        <c:axPos val="r"/>
        <c:title>
          <c:tx>
            <c:rich>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GB"/>
                  <a:t>% GDP</a:t>
                </a:r>
              </a:p>
            </c:rich>
          </c:tx>
          <c:layout>
            <c:manualLayout>
              <c:xMode val="edge"/>
              <c:yMode val="edge"/>
              <c:x val="0.93581010612180504"/>
              <c:y val="0.36893601019170902"/>
            </c:manualLayout>
          </c:layout>
          <c:overlay val="0"/>
          <c:spPr>
            <a:noFill/>
            <a:ln>
              <a:noFill/>
            </a:ln>
            <a:effectLst/>
          </c:spPr>
          <c:txPr>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endParaRPr lang="en-V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1192819408"/>
        <c:crosses val="max"/>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VN"/>
        </a:p>
      </c:txPr>
    </c:title>
    <c:autoTitleDeleted val="0"/>
    <c:plotArea>
      <c:layout/>
      <c:scatterChart>
        <c:scatterStyle val="lineMarker"/>
        <c:varyColors val="0"/>
        <c:ser>
          <c:idx val="0"/>
          <c:order val="0"/>
          <c:tx>
            <c:strRef>
              <c:f>Idea!$D$2</c:f>
              <c:strCache>
                <c:ptCount val="1"/>
                <c:pt idx="0">
                  <c:v>X1_GDP</c:v>
                </c:pt>
              </c:strCache>
            </c:strRef>
          </c:tx>
          <c:spPr>
            <a:ln w="28575"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Idea!$C$3:$C$25</c:f>
              <c:numCache>
                <c:formatCode>General</c:formatCode>
                <c:ptCount val="23"/>
                <c:pt idx="0">
                  <c:v>1298000000</c:v>
                </c:pt>
                <c:pt idx="1">
                  <c:v>1300000000</c:v>
                </c:pt>
                <c:pt idx="2">
                  <c:v>1400000000</c:v>
                </c:pt>
                <c:pt idx="3">
                  <c:v>1450000000</c:v>
                </c:pt>
                <c:pt idx="4">
                  <c:v>1610000000</c:v>
                </c:pt>
                <c:pt idx="5">
                  <c:v>1954000000</c:v>
                </c:pt>
                <c:pt idx="6">
                  <c:v>2400000000</c:v>
                </c:pt>
                <c:pt idx="7">
                  <c:v>6700000000</c:v>
                </c:pt>
                <c:pt idx="8">
                  <c:v>9579000000</c:v>
                </c:pt>
                <c:pt idx="9">
                  <c:v>7600000000</c:v>
                </c:pt>
                <c:pt idx="10">
                  <c:v>8000000000</c:v>
                </c:pt>
                <c:pt idx="11">
                  <c:v>7430000000</c:v>
                </c:pt>
                <c:pt idx="12">
                  <c:v>8368000000</c:v>
                </c:pt>
                <c:pt idx="13">
                  <c:v>8900000000</c:v>
                </c:pt>
                <c:pt idx="14">
                  <c:v>9200000000</c:v>
                </c:pt>
                <c:pt idx="15">
                  <c:v>11800000000</c:v>
                </c:pt>
                <c:pt idx="16">
                  <c:v>12600000000</c:v>
                </c:pt>
                <c:pt idx="17">
                  <c:v>14100000000</c:v>
                </c:pt>
                <c:pt idx="18">
                  <c:v>15500000000</c:v>
                </c:pt>
                <c:pt idx="19">
                  <c:v>16120000000</c:v>
                </c:pt>
                <c:pt idx="20">
                  <c:v>15800000000</c:v>
                </c:pt>
                <c:pt idx="21">
                  <c:v>15660000000</c:v>
                </c:pt>
                <c:pt idx="22">
                  <c:v>17900000000</c:v>
                </c:pt>
              </c:numCache>
            </c:numRef>
          </c:xVal>
          <c:yVal>
            <c:numRef>
              <c:f>Idea!$D$3:$D$25</c:f>
              <c:numCache>
                <c:formatCode>General</c:formatCode>
                <c:ptCount val="23"/>
                <c:pt idx="0">
                  <c:v>2552.6825664821999</c:v>
                </c:pt>
                <c:pt idx="1">
                  <c:v>2743.4804103903898</c:v>
                </c:pt>
                <c:pt idx="2">
                  <c:v>2932.0628559567399</c:v>
                </c:pt>
                <c:pt idx="3">
                  <c:v>3163.5092423032002</c:v>
                </c:pt>
                <c:pt idx="4">
                  <c:v>3457.7917897647999</c:v>
                </c:pt>
                <c:pt idx="5">
                  <c:v>3797.0454410964098</c:v>
                </c:pt>
                <c:pt idx="6">
                  <c:v>4146.9516123311596</c:v>
                </c:pt>
                <c:pt idx="7">
                  <c:v>4519.0446277580604</c:v>
                </c:pt>
                <c:pt idx="8">
                  <c:v>4819.0111483655101</c:v>
                </c:pt>
                <c:pt idx="9">
                  <c:v>5059.3419526131602</c:v>
                </c:pt>
                <c:pt idx="10">
                  <c:v>5391.1686207307703</c:v>
                </c:pt>
                <c:pt idx="11">
                  <c:v>5793.9293814766497</c:v>
                </c:pt>
                <c:pt idx="12">
                  <c:v>6364.9780234403197</c:v>
                </c:pt>
                <c:pt idx="13">
                  <c:v>6724.6354977375404</c:v>
                </c:pt>
                <c:pt idx="14">
                  <c:v>7240.7359401962804</c:v>
                </c:pt>
                <c:pt idx="15">
                  <c:v>7595.6867380485401</c:v>
                </c:pt>
                <c:pt idx="16">
                  <c:v>8277.6841293301495</c:v>
                </c:pt>
                <c:pt idx="17">
                  <c:v>9050.6885338620395</c:v>
                </c:pt>
                <c:pt idx="18">
                  <c:v>9867.6678809264795</c:v>
                </c:pt>
                <c:pt idx="19">
                  <c:v>10686.804054689101</c:v>
                </c:pt>
                <c:pt idx="20">
                  <c:v>11036.0005278922</c:v>
                </c:pt>
                <c:pt idx="21">
                  <c:v>11727.795732906299</c:v>
                </c:pt>
                <c:pt idx="22">
                  <c:v>13456.5514254011</c:v>
                </c:pt>
              </c:numCache>
            </c:numRef>
          </c:yVal>
          <c:smooth val="0"/>
          <c:extLst>
            <c:ext xmlns:c16="http://schemas.microsoft.com/office/drawing/2014/chart" uri="{C3380CC4-5D6E-409C-BE32-E72D297353CC}">
              <c16:uniqueId val="{00000001-1853-407A-BF63-F41CA99C3BFD}"/>
            </c:ext>
          </c:extLst>
        </c:ser>
        <c:dLbls>
          <c:showLegendKey val="0"/>
          <c:showVal val="0"/>
          <c:showCatName val="0"/>
          <c:showSerName val="0"/>
          <c:showPercent val="0"/>
          <c:showBubbleSize val="0"/>
        </c:dLbls>
        <c:axId val="544093280"/>
        <c:axId val="875234384"/>
      </c:scatterChart>
      <c:valAx>
        <c:axId val="544093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875234384"/>
        <c:crosses val="autoZero"/>
        <c:crossBetween val="midCat"/>
        <c:dispUnits>
          <c:builtInUnit val="millions"/>
          <c:dispUnitsLbl>
            <c:spPr>
              <a:noFill/>
              <a:ln>
                <a:noFill/>
              </a:ln>
              <a:effectLst/>
            </c:spPr>
            <c:txPr>
              <a:bodyPr rot="0" spcFirstLastPara="1" vertOverflow="ellipsis" vert="horz" wrap="square" anchor="ctr" anchorCtr="1">
                <a:spAutoFit/>
              </a:bodyPr>
              <a:lstStyle/>
              <a:p>
                <a:pPr>
                  <a:defRPr lang="en-US" sz="1000" b="0" i="0" u="none" strike="noStrike" kern="1200" baseline="0">
                    <a:solidFill>
                      <a:schemeClr val="tx1">
                        <a:lumMod val="65000"/>
                        <a:lumOff val="35000"/>
                      </a:schemeClr>
                    </a:solidFill>
                    <a:latin typeface="+mn-lt"/>
                    <a:ea typeface="+mn-ea"/>
                    <a:cs typeface="+mn-cs"/>
                  </a:defRPr>
                </a:pPr>
                <a:endParaRPr lang="en-VN"/>
              </a:p>
            </c:txPr>
          </c:dispUnitsLbl>
        </c:dispUnits>
      </c:valAx>
      <c:valAx>
        <c:axId val="87523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544093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lang="en-US" sz="12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VN"/>
        </a:p>
      </c:txPr>
    </c:title>
    <c:autoTitleDeleted val="0"/>
    <c:plotArea>
      <c:layout/>
      <c:scatterChart>
        <c:scatterStyle val="lineMarker"/>
        <c:varyColors val="0"/>
        <c:ser>
          <c:idx val="0"/>
          <c:order val="0"/>
          <c:tx>
            <c:strRef>
              <c:f>'Phân tích'!$AC$1:$AC$2</c:f>
              <c:strCache>
                <c:ptCount val="1"/>
                <c:pt idx="0">
                  <c:v>Trade X3_TRADE</c:v>
                </c:pt>
              </c:strCache>
            </c:strRef>
          </c:tx>
          <c:spPr>
            <a:ln w="25400" cap="rnd">
              <a:noFill/>
              <a:round/>
            </a:ln>
            <a:effectLst/>
          </c:spPr>
          <c:marker>
            <c:symbol val="diamond"/>
            <c:size val="6"/>
            <c:spPr>
              <a:solidFill>
                <a:schemeClr val="accent2"/>
              </a:solidFill>
              <a:ln w="9525">
                <a:solidFill>
                  <a:schemeClr val="accent2"/>
                </a:solidFill>
                <a:round/>
              </a:ln>
              <a:effectLst/>
            </c:spPr>
          </c:marker>
          <c:trendline>
            <c:spPr>
              <a:ln w="9525" cap="rnd">
                <a:solidFill>
                  <a:schemeClr val="accent2"/>
                </a:solidFill>
              </a:ln>
              <a:effectLst/>
            </c:spPr>
            <c:trendlineType val="linear"/>
            <c:dispRSqr val="0"/>
            <c:dispEq val="0"/>
          </c:trendline>
          <c:xVal>
            <c:numRef>
              <c:f>'Phân tích'!$Z$3:$Z$24</c:f>
              <c:numCache>
                <c:formatCode>General</c:formatCode>
                <c:ptCount val="22"/>
                <c:pt idx="0">
                  <c:v>1298000000</c:v>
                </c:pt>
                <c:pt idx="1">
                  <c:v>1300000000</c:v>
                </c:pt>
                <c:pt idx="2">
                  <c:v>1400000000</c:v>
                </c:pt>
                <c:pt idx="3">
                  <c:v>1450000000</c:v>
                </c:pt>
                <c:pt idx="4">
                  <c:v>1610000000</c:v>
                </c:pt>
                <c:pt idx="5">
                  <c:v>1954000000</c:v>
                </c:pt>
                <c:pt idx="6">
                  <c:v>2400000000</c:v>
                </c:pt>
                <c:pt idx="7">
                  <c:v>6700000000</c:v>
                </c:pt>
                <c:pt idx="8">
                  <c:v>9579000000</c:v>
                </c:pt>
                <c:pt idx="9">
                  <c:v>7600000000</c:v>
                </c:pt>
                <c:pt idx="10">
                  <c:v>8000000000</c:v>
                </c:pt>
                <c:pt idx="11">
                  <c:v>7430000000</c:v>
                </c:pt>
                <c:pt idx="12">
                  <c:v>8368000000</c:v>
                </c:pt>
                <c:pt idx="13">
                  <c:v>8900000000</c:v>
                </c:pt>
                <c:pt idx="14">
                  <c:v>9200000000</c:v>
                </c:pt>
                <c:pt idx="15">
                  <c:v>11800000000</c:v>
                </c:pt>
                <c:pt idx="16">
                  <c:v>12600000000</c:v>
                </c:pt>
                <c:pt idx="17">
                  <c:v>14100000000</c:v>
                </c:pt>
                <c:pt idx="18">
                  <c:v>15500000000</c:v>
                </c:pt>
                <c:pt idx="19">
                  <c:v>16120000000</c:v>
                </c:pt>
                <c:pt idx="20">
                  <c:v>15800000000</c:v>
                </c:pt>
                <c:pt idx="21">
                  <c:v>15660000000</c:v>
                </c:pt>
              </c:numCache>
            </c:numRef>
          </c:xVal>
          <c:yVal>
            <c:numRef>
              <c:f>'Phân tích'!$AC$3:$AC$24</c:f>
              <c:numCache>
                <c:formatCode>General</c:formatCode>
                <c:ptCount val="22"/>
                <c:pt idx="0">
                  <c:v>111.4170944</c:v>
                </c:pt>
                <c:pt idx="1">
                  <c:v>111.955938</c:v>
                </c:pt>
                <c:pt idx="2">
                  <c:v>116.6968687</c:v>
                </c:pt>
                <c:pt idx="3">
                  <c:v>124.3279544</c:v>
                </c:pt>
                <c:pt idx="4">
                  <c:v>133.01649789999999</c:v>
                </c:pt>
                <c:pt idx="5">
                  <c:v>130.71484599999999</c:v>
                </c:pt>
                <c:pt idx="6">
                  <c:v>138.31362189999999</c:v>
                </c:pt>
                <c:pt idx="7">
                  <c:v>154.60538399999999</c:v>
                </c:pt>
                <c:pt idx="8">
                  <c:v>154.31747960000001</c:v>
                </c:pt>
                <c:pt idx="9">
                  <c:v>134.7063177</c:v>
                </c:pt>
                <c:pt idx="10">
                  <c:v>113.97769510000001</c:v>
                </c:pt>
                <c:pt idx="11">
                  <c:v>125.26058930000001</c:v>
                </c:pt>
                <c:pt idx="12">
                  <c:v>123.2241255</c:v>
                </c:pt>
                <c:pt idx="13">
                  <c:v>130.84634360000001</c:v>
                </c:pt>
                <c:pt idx="14">
                  <c:v>135.41051179999999</c:v>
                </c:pt>
                <c:pt idx="15">
                  <c:v>144.91422030000001</c:v>
                </c:pt>
                <c:pt idx="16">
                  <c:v>145.40950710000001</c:v>
                </c:pt>
                <c:pt idx="17">
                  <c:v>160.98007200000001</c:v>
                </c:pt>
                <c:pt idx="18">
                  <c:v>164.66393980000001</c:v>
                </c:pt>
                <c:pt idx="19">
                  <c:v>164.70422070000001</c:v>
                </c:pt>
                <c:pt idx="20">
                  <c:v>163.24585740000001</c:v>
                </c:pt>
                <c:pt idx="21">
                  <c:v>186.4681832</c:v>
                </c:pt>
              </c:numCache>
            </c:numRef>
          </c:yVal>
          <c:smooth val="0"/>
          <c:extLst>
            <c:ext xmlns:c16="http://schemas.microsoft.com/office/drawing/2014/chart" uri="{C3380CC4-5D6E-409C-BE32-E72D297353CC}">
              <c16:uniqueId val="{00000001-93A2-45A0-9127-B6D1737F890A}"/>
            </c:ext>
          </c:extLst>
        </c:ser>
        <c:dLbls>
          <c:showLegendKey val="0"/>
          <c:showVal val="0"/>
          <c:showCatName val="0"/>
          <c:showSerName val="0"/>
          <c:showPercent val="0"/>
          <c:showBubbleSize val="0"/>
        </c:dLbls>
        <c:axId val="497183216"/>
        <c:axId val="667526784"/>
      </c:scatterChart>
      <c:valAx>
        <c:axId val="49718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667526784"/>
        <c:crosses val="autoZero"/>
        <c:crossBetween val="midCat"/>
        <c:dispUnits>
          <c:builtInUnit val="millions"/>
          <c:dispUnitsLbl>
            <c:spPr>
              <a:noFill/>
              <a:ln>
                <a:noFill/>
              </a:ln>
              <a:effectLst/>
            </c:spPr>
            <c:txPr>
              <a:bodyPr rot="0" spcFirstLastPara="1" vertOverflow="ellipsis" vert="horz" wrap="square" anchor="ctr" anchorCtr="1">
                <a:spAutoFit/>
              </a:bodyPr>
              <a:lstStyle/>
              <a:p>
                <a:pPr>
                  <a:defRPr lang="en-US" sz="900" b="0" i="0" u="none" strike="noStrike" kern="1200" cap="all" baseline="0">
                    <a:solidFill>
                      <a:schemeClr val="tx1">
                        <a:lumMod val="65000"/>
                        <a:lumOff val="35000"/>
                      </a:schemeClr>
                    </a:solidFill>
                    <a:latin typeface="+mn-lt"/>
                    <a:ea typeface="+mn-ea"/>
                    <a:cs typeface="+mn-cs"/>
                  </a:defRPr>
                </a:pPr>
                <a:endParaRPr lang="en-VN"/>
              </a:p>
            </c:txPr>
          </c:dispUnitsLbl>
        </c:dispUnits>
      </c:valAx>
      <c:valAx>
        <c:axId val="66752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49718321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'2. Regression'!$G$3</c:f>
              <c:strCache>
                <c:ptCount val="1"/>
                <c:pt idx="0">
                  <c:v>X4_INF</c:v>
                </c:pt>
              </c:strCache>
            </c:strRef>
          </c:tx>
          <c:spPr>
            <a:ln w="28575" cap="rnd">
              <a:solidFill>
                <a:schemeClr val="accent2"/>
              </a:solidFill>
              <a:round/>
            </a:ln>
            <a:effectLst/>
          </c:spPr>
          <c:marker>
            <c:symbol val="none"/>
          </c:marker>
          <c:val>
            <c:numRef>
              <c:f>'2. Regression'!$G$4:$G$26</c:f>
              <c:numCache>
                <c:formatCode>General</c:formatCode>
                <c:ptCount val="23"/>
                <c:pt idx="0">
                  <c:v>3.4088276620000002</c:v>
                </c:pt>
                <c:pt idx="1">
                  <c:v>2.622264785</c:v>
                </c:pt>
                <c:pt idx="2">
                  <c:v>4.698928166</c:v>
                </c:pt>
                <c:pt idx="3">
                  <c:v>7.1096024619999998</c:v>
                </c:pt>
                <c:pt idx="4">
                  <c:v>8.4333121290000008</c:v>
                </c:pt>
                <c:pt idx="5">
                  <c:v>18.81051957</c:v>
                </c:pt>
                <c:pt idx="6">
                  <c:v>8.5689479750000004</c:v>
                </c:pt>
                <c:pt idx="7">
                  <c:v>9.6302256140000004</c:v>
                </c:pt>
                <c:pt idx="8">
                  <c:v>22.67331618</c:v>
                </c:pt>
                <c:pt idx="9">
                  <c:v>6.2156231489999998</c:v>
                </c:pt>
                <c:pt idx="10">
                  <c:v>42.303267249999998</c:v>
                </c:pt>
                <c:pt idx="11">
                  <c:v>21.413666150000001</c:v>
                </c:pt>
                <c:pt idx="12">
                  <c:v>9.0776615310000004</c:v>
                </c:pt>
                <c:pt idx="13">
                  <c:v>4.0385507599999997</c:v>
                </c:pt>
                <c:pt idx="14">
                  <c:v>3.6981319730000002</c:v>
                </c:pt>
                <c:pt idx="15">
                  <c:v>-1.716524374</c:v>
                </c:pt>
                <c:pt idx="16">
                  <c:v>1.819530359</c:v>
                </c:pt>
                <c:pt idx="17">
                  <c:v>4.3629301380000003</c:v>
                </c:pt>
                <c:pt idx="18">
                  <c:v>3.6266530100000001</c:v>
                </c:pt>
                <c:pt idx="19">
                  <c:v>2.4232075310000001</c:v>
                </c:pt>
                <c:pt idx="20">
                  <c:v>1.4674866179999999</c:v>
                </c:pt>
                <c:pt idx="21">
                  <c:v>2.7782729449999999</c:v>
                </c:pt>
                <c:pt idx="22">
                  <c:v>3.8604658359999999</c:v>
                </c:pt>
              </c:numCache>
            </c:numRef>
          </c:val>
          <c:smooth val="0"/>
          <c:extLst>
            <c:ext xmlns:c16="http://schemas.microsoft.com/office/drawing/2014/chart" uri="{C3380CC4-5D6E-409C-BE32-E72D297353CC}">
              <c16:uniqueId val="{00000000-987A-4D06-AE42-9BDF9DA294CB}"/>
            </c:ext>
          </c:extLst>
        </c:ser>
        <c:dLbls>
          <c:showLegendKey val="0"/>
          <c:showVal val="0"/>
          <c:showCatName val="0"/>
          <c:showSerName val="0"/>
          <c:showPercent val="0"/>
          <c:showBubbleSize val="0"/>
        </c:dLbls>
        <c:marker val="1"/>
        <c:smooth val="0"/>
        <c:axId val="711629024"/>
        <c:axId val="715147072"/>
      </c:lineChart>
      <c:lineChart>
        <c:grouping val="standard"/>
        <c:varyColors val="0"/>
        <c:ser>
          <c:idx val="0"/>
          <c:order val="0"/>
          <c:tx>
            <c:strRef>
              <c:f>'2. Regression'!$C$3</c:f>
              <c:strCache>
                <c:ptCount val="1"/>
                <c:pt idx="0">
                  <c:v>Y_FDIFlow </c:v>
                </c:pt>
              </c:strCache>
            </c:strRef>
          </c:tx>
          <c:spPr>
            <a:ln w="28575" cap="rnd">
              <a:solidFill>
                <a:schemeClr val="accent1"/>
              </a:solidFill>
              <a:round/>
            </a:ln>
            <a:effectLst/>
          </c:spPr>
          <c:marker>
            <c:symbol val="none"/>
          </c:marker>
          <c:val>
            <c:numRef>
              <c:f>'2. Regression'!$C$4:$C$26</c:f>
              <c:numCache>
                <c:formatCode>General</c:formatCode>
                <c:ptCount val="23"/>
                <c:pt idx="0">
                  <c:v>1298000000</c:v>
                </c:pt>
                <c:pt idx="1">
                  <c:v>1300000000</c:v>
                </c:pt>
                <c:pt idx="2">
                  <c:v>1400000000</c:v>
                </c:pt>
                <c:pt idx="3">
                  <c:v>1450000000</c:v>
                </c:pt>
                <c:pt idx="4">
                  <c:v>1610000000</c:v>
                </c:pt>
                <c:pt idx="5">
                  <c:v>1954000000</c:v>
                </c:pt>
                <c:pt idx="6">
                  <c:v>2400000000</c:v>
                </c:pt>
                <c:pt idx="7">
                  <c:v>6700000000</c:v>
                </c:pt>
                <c:pt idx="8">
                  <c:v>9579000000</c:v>
                </c:pt>
                <c:pt idx="9">
                  <c:v>7600000000</c:v>
                </c:pt>
                <c:pt idx="10">
                  <c:v>8000000000</c:v>
                </c:pt>
                <c:pt idx="11">
                  <c:v>7430000000</c:v>
                </c:pt>
                <c:pt idx="12">
                  <c:v>8368000000</c:v>
                </c:pt>
                <c:pt idx="13">
                  <c:v>8900000000</c:v>
                </c:pt>
                <c:pt idx="14">
                  <c:v>9200000000</c:v>
                </c:pt>
                <c:pt idx="15">
                  <c:v>11800000000</c:v>
                </c:pt>
                <c:pt idx="16">
                  <c:v>12600000000</c:v>
                </c:pt>
                <c:pt idx="17">
                  <c:v>14100000000</c:v>
                </c:pt>
                <c:pt idx="18">
                  <c:v>15500000000</c:v>
                </c:pt>
                <c:pt idx="19">
                  <c:v>16120000000</c:v>
                </c:pt>
                <c:pt idx="20">
                  <c:v>15800000000</c:v>
                </c:pt>
                <c:pt idx="21">
                  <c:v>15660000000</c:v>
                </c:pt>
                <c:pt idx="22">
                  <c:v>17900000000</c:v>
                </c:pt>
              </c:numCache>
            </c:numRef>
          </c:val>
          <c:smooth val="0"/>
          <c:extLst>
            <c:ext xmlns:c16="http://schemas.microsoft.com/office/drawing/2014/chart" uri="{C3380CC4-5D6E-409C-BE32-E72D297353CC}">
              <c16:uniqueId val="{00000001-987A-4D06-AE42-9BDF9DA294CB}"/>
            </c:ext>
          </c:extLst>
        </c:ser>
        <c:dLbls>
          <c:showLegendKey val="0"/>
          <c:showVal val="0"/>
          <c:showCatName val="0"/>
          <c:showSerName val="0"/>
          <c:showPercent val="0"/>
          <c:showBubbleSize val="0"/>
        </c:dLbls>
        <c:marker val="1"/>
        <c:smooth val="0"/>
        <c:axId val="159173088"/>
        <c:axId val="1310348912"/>
      </c:lineChart>
      <c:catAx>
        <c:axId val="711629024"/>
        <c:scaling>
          <c:orientation val="minMax"/>
        </c:scaling>
        <c:delete val="1"/>
        <c:axPos val="b"/>
        <c:majorTickMark val="none"/>
        <c:minorTickMark val="none"/>
        <c:tickLblPos val="nextTo"/>
        <c:crossAx val="715147072"/>
        <c:crosses val="autoZero"/>
        <c:auto val="1"/>
        <c:lblAlgn val="ctr"/>
        <c:lblOffset val="100"/>
        <c:noMultiLvlLbl val="0"/>
      </c:catAx>
      <c:valAx>
        <c:axId val="71514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711629024"/>
        <c:crosses val="autoZero"/>
        <c:crossBetween val="between"/>
      </c:valAx>
      <c:catAx>
        <c:axId val="159173088"/>
        <c:scaling>
          <c:orientation val="minMax"/>
        </c:scaling>
        <c:delete val="1"/>
        <c:axPos val="b"/>
        <c:majorTickMark val="out"/>
        <c:minorTickMark val="none"/>
        <c:tickLblPos val="nextTo"/>
        <c:crossAx val="1310348912"/>
        <c:crosses val="autoZero"/>
        <c:auto val="1"/>
        <c:lblAlgn val="ctr"/>
        <c:lblOffset val="100"/>
        <c:noMultiLvlLbl val="0"/>
      </c:catAx>
      <c:valAx>
        <c:axId val="13103489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159173088"/>
        <c:crosses val="max"/>
        <c:crossBetween val="between"/>
        <c:dispUnits>
          <c:builtInUnit val="billions"/>
          <c:dispUnitsLbl>
            <c:spPr>
              <a:noFill/>
              <a:ln>
                <a:noFill/>
              </a:ln>
              <a:effectLst/>
            </c:spPr>
            <c:txPr>
              <a:bodyPr rot="-5400000" spcFirstLastPara="1" vertOverflow="ellipsis" vert="horz" wrap="square" anchor="ctr" anchorCtr="1">
                <a:spAutoFit/>
              </a:bodyPr>
              <a:lstStyle/>
              <a:p>
                <a:pPr>
                  <a:defRPr lang="en-US" sz="1000" b="0" i="0" u="none" strike="noStrike" kern="1200" baseline="0">
                    <a:solidFill>
                      <a:schemeClr val="tx1">
                        <a:lumMod val="65000"/>
                        <a:lumOff val="35000"/>
                      </a:schemeClr>
                    </a:solidFill>
                    <a:latin typeface="+mn-lt"/>
                    <a:ea typeface="+mn-ea"/>
                    <a:cs typeface="+mn-cs"/>
                  </a:defRPr>
                </a:pPr>
                <a:endParaRPr lang="en-V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scatterChart>
        <c:scatterStyle val="lineMarker"/>
        <c:varyColors val="0"/>
        <c:ser>
          <c:idx val="0"/>
          <c:order val="0"/>
          <c:tx>
            <c:strRef>
              <c:f>'Phân tích'!$AI$2</c:f>
              <c:strCache>
                <c:ptCount val="1"/>
                <c:pt idx="0">
                  <c:v>X9_TIME</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'Phân tích'!$Z$3:$Z$25</c:f>
              <c:numCache>
                <c:formatCode>General</c:formatCode>
                <c:ptCount val="23"/>
                <c:pt idx="0">
                  <c:v>1298000000</c:v>
                </c:pt>
                <c:pt idx="1">
                  <c:v>1300000000</c:v>
                </c:pt>
                <c:pt idx="2">
                  <c:v>1400000000</c:v>
                </c:pt>
                <c:pt idx="3">
                  <c:v>1450000000</c:v>
                </c:pt>
                <c:pt idx="4">
                  <c:v>1610000000</c:v>
                </c:pt>
                <c:pt idx="5">
                  <c:v>1954000000</c:v>
                </c:pt>
                <c:pt idx="6">
                  <c:v>2400000000</c:v>
                </c:pt>
                <c:pt idx="7">
                  <c:v>6700000000</c:v>
                </c:pt>
                <c:pt idx="8">
                  <c:v>9579000000</c:v>
                </c:pt>
                <c:pt idx="9">
                  <c:v>7600000000</c:v>
                </c:pt>
                <c:pt idx="10">
                  <c:v>8000000000</c:v>
                </c:pt>
                <c:pt idx="11">
                  <c:v>7430000000</c:v>
                </c:pt>
                <c:pt idx="12">
                  <c:v>8368000000</c:v>
                </c:pt>
                <c:pt idx="13">
                  <c:v>8900000000</c:v>
                </c:pt>
                <c:pt idx="14">
                  <c:v>9200000000</c:v>
                </c:pt>
                <c:pt idx="15">
                  <c:v>11800000000</c:v>
                </c:pt>
                <c:pt idx="16">
                  <c:v>12600000000</c:v>
                </c:pt>
                <c:pt idx="17">
                  <c:v>14100000000</c:v>
                </c:pt>
                <c:pt idx="18">
                  <c:v>15500000000</c:v>
                </c:pt>
                <c:pt idx="19">
                  <c:v>16120000000</c:v>
                </c:pt>
                <c:pt idx="20">
                  <c:v>15800000000</c:v>
                </c:pt>
                <c:pt idx="21">
                  <c:v>15660000000</c:v>
                </c:pt>
                <c:pt idx="22">
                  <c:v>17900000000</c:v>
                </c:pt>
              </c:numCache>
            </c:numRef>
          </c:xVal>
          <c:yVal>
            <c:numRef>
              <c:f>'Phân tích'!$AI$3:$AI$25</c:f>
              <c:numCache>
                <c:formatCode>General</c:formatCode>
                <c:ptCount val="23"/>
                <c:pt idx="0">
                  <c:v>0</c:v>
                </c:pt>
                <c:pt idx="1">
                  <c:v>0</c:v>
                </c:pt>
                <c:pt idx="2">
                  <c:v>0</c:v>
                </c:pt>
                <c:pt idx="3">
                  <c:v>61</c:v>
                </c:pt>
                <c:pt idx="4">
                  <c:v>47</c:v>
                </c:pt>
                <c:pt idx="5">
                  <c:v>41</c:v>
                </c:pt>
                <c:pt idx="6">
                  <c:v>46</c:v>
                </c:pt>
                <c:pt idx="7">
                  <c:v>37</c:v>
                </c:pt>
                <c:pt idx="8">
                  <c:v>37</c:v>
                </c:pt>
                <c:pt idx="9" formatCode="#,##0">
                  <c:v>37</c:v>
                </c:pt>
                <c:pt idx="10">
                  <c:v>36</c:v>
                </c:pt>
                <c:pt idx="11">
                  <c:v>36</c:v>
                </c:pt>
                <c:pt idx="12">
                  <c:v>32</c:v>
                </c:pt>
                <c:pt idx="13">
                  <c:v>34</c:v>
                </c:pt>
                <c:pt idx="14">
                  <c:v>34</c:v>
                </c:pt>
                <c:pt idx="15">
                  <c:v>20</c:v>
                </c:pt>
                <c:pt idx="16">
                  <c:v>24</c:v>
                </c:pt>
                <c:pt idx="17">
                  <c:v>22</c:v>
                </c:pt>
                <c:pt idx="18">
                  <c:v>17</c:v>
                </c:pt>
                <c:pt idx="19">
                  <c:v>16</c:v>
                </c:pt>
                <c:pt idx="20">
                  <c:v>0</c:v>
                </c:pt>
                <c:pt idx="21">
                  <c:v>0</c:v>
                </c:pt>
                <c:pt idx="22">
                  <c:v>0</c:v>
                </c:pt>
              </c:numCache>
            </c:numRef>
          </c:yVal>
          <c:smooth val="0"/>
          <c:extLst>
            <c:ext xmlns:c16="http://schemas.microsoft.com/office/drawing/2014/chart" uri="{C3380CC4-5D6E-409C-BE32-E72D297353CC}">
              <c16:uniqueId val="{00000001-B3CB-413E-8088-FB47DD2920B1}"/>
            </c:ext>
          </c:extLst>
        </c:ser>
        <c:dLbls>
          <c:showLegendKey val="0"/>
          <c:showVal val="0"/>
          <c:showCatName val="0"/>
          <c:showSerName val="0"/>
          <c:showPercent val="0"/>
          <c:showBubbleSize val="0"/>
        </c:dLbls>
        <c:axId val="908020608"/>
        <c:axId val="668255904"/>
      </c:scatterChart>
      <c:valAx>
        <c:axId val="908020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668255904"/>
        <c:crosses val="autoZero"/>
        <c:crossBetween val="midCat"/>
      </c:valAx>
      <c:valAx>
        <c:axId val="66825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90802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percentStacked"/>
        <c:varyColors val="0"/>
        <c:ser>
          <c:idx val="0"/>
          <c:order val="0"/>
          <c:tx>
            <c:strRef>
              <c:f>Sheet2!$D$1</c:f>
              <c:strCache>
                <c:ptCount val="1"/>
                <c:pt idx="0">
                  <c:v>Argentina</c:v>
                </c:pt>
              </c:strCache>
            </c:strRef>
          </c:tx>
          <c:spPr>
            <a:gradFill rotWithShape="1">
              <a:gsLst>
                <a:gs pos="0">
                  <a:schemeClr val="accent2">
                    <a:tint val="58000"/>
                    <a:satMod val="103000"/>
                    <a:lumMod val="102000"/>
                    <a:tint val="94000"/>
                  </a:schemeClr>
                </a:gs>
                <a:gs pos="50000">
                  <a:schemeClr val="accent2">
                    <a:tint val="58000"/>
                    <a:satMod val="110000"/>
                    <a:lumMod val="100000"/>
                    <a:shade val="100000"/>
                  </a:schemeClr>
                </a:gs>
                <a:gs pos="100000">
                  <a:schemeClr val="accent2">
                    <a:tint val="58000"/>
                    <a:lumMod val="99000"/>
                    <a:satMod val="120000"/>
                    <a:shade val="78000"/>
                  </a:schemeClr>
                </a:gs>
              </a:gsLst>
              <a:lin ang="5400000" scaled="0"/>
            </a:gradFill>
            <a:ln>
              <a:noFill/>
            </a:ln>
            <a:effectLst>
              <a:outerShdw blurRad="40000" dist="23000" dir="5400000" rotWithShape="0">
                <a:srgbClr val="000000">
                  <a:alpha val="35000"/>
                </a:srgbClr>
              </a:outerShdw>
            </a:effectLst>
          </c:spPr>
          <c:invertIfNegative val="0"/>
          <c:cat>
            <c:strRef>
              <c:f>Sheet2!$C$2:$C$6</c:f>
              <c:strCache>
                <c:ptCount val="5"/>
                <c:pt idx="0">
                  <c:v>Access to electricity </c:v>
                </c:pt>
                <c:pt idx="1">
                  <c:v>Employers (modeled ILO estimate)</c:v>
                </c:pt>
                <c:pt idx="2">
                  <c:v>Expenditure on primary education </c:v>
                </c:pt>
                <c:pt idx="3">
                  <c:v>Railways, goods transported </c:v>
                </c:pt>
                <c:pt idx="4">
                  <c:v>Regulatory Quality</c:v>
                </c:pt>
              </c:strCache>
            </c:strRef>
          </c:cat>
          <c:val>
            <c:numRef>
              <c:f>Sheet2!$D$2:$D$6</c:f>
              <c:numCache>
                <c:formatCode>0.000</c:formatCode>
                <c:ptCount val="5"/>
                <c:pt idx="0">
                  <c:v>95.680473327636705</c:v>
                </c:pt>
                <c:pt idx="1">
                  <c:v>4.7890249999999996</c:v>
                </c:pt>
                <c:pt idx="2">
                  <c:v>35.691290000000002</c:v>
                </c:pt>
                <c:pt idx="3">
                  <c:v>8696</c:v>
                </c:pt>
                <c:pt idx="4">
                  <c:v>59.239131927490199</c:v>
                </c:pt>
              </c:numCache>
            </c:numRef>
          </c:val>
          <c:extLst>
            <c:ext xmlns:c16="http://schemas.microsoft.com/office/drawing/2014/chart" uri="{C3380CC4-5D6E-409C-BE32-E72D297353CC}">
              <c16:uniqueId val="{00000000-9957-4877-893E-57AC17E8B0D8}"/>
            </c:ext>
          </c:extLst>
        </c:ser>
        <c:ser>
          <c:idx val="1"/>
          <c:order val="1"/>
          <c:tx>
            <c:strRef>
              <c:f>Sheet2!$E$1</c:f>
              <c:strCache>
                <c:ptCount val="1"/>
                <c:pt idx="0">
                  <c:v>Chile</c:v>
                </c:pt>
              </c:strCache>
            </c:strRef>
          </c:tx>
          <c:spPr>
            <a:gradFill rotWithShape="1">
              <a:gsLst>
                <a:gs pos="0">
                  <a:schemeClr val="accent2">
                    <a:tint val="86000"/>
                    <a:satMod val="103000"/>
                    <a:lumMod val="102000"/>
                    <a:tint val="94000"/>
                  </a:schemeClr>
                </a:gs>
                <a:gs pos="50000">
                  <a:schemeClr val="accent2">
                    <a:tint val="86000"/>
                    <a:satMod val="110000"/>
                    <a:lumMod val="100000"/>
                    <a:shade val="100000"/>
                  </a:schemeClr>
                </a:gs>
                <a:gs pos="100000">
                  <a:schemeClr val="accent2">
                    <a:tint val="86000"/>
                    <a:lumMod val="99000"/>
                    <a:satMod val="120000"/>
                    <a:shade val="78000"/>
                  </a:schemeClr>
                </a:gs>
              </a:gsLst>
              <a:lin ang="5400000" scaled="0"/>
            </a:gradFill>
            <a:ln>
              <a:noFill/>
            </a:ln>
            <a:effectLst>
              <a:outerShdw blurRad="40000" dist="23000" dir="5400000" rotWithShape="0">
                <a:srgbClr val="000000">
                  <a:alpha val="35000"/>
                </a:srgbClr>
              </a:outerShdw>
            </a:effectLst>
          </c:spPr>
          <c:invertIfNegative val="0"/>
          <c:cat>
            <c:strRef>
              <c:f>Sheet2!$C$2:$C$6</c:f>
              <c:strCache>
                <c:ptCount val="5"/>
                <c:pt idx="0">
                  <c:v>Access to electricity </c:v>
                </c:pt>
                <c:pt idx="1">
                  <c:v>Employers (modeled ILO estimate)</c:v>
                </c:pt>
                <c:pt idx="2">
                  <c:v>Expenditure on primary education </c:v>
                </c:pt>
                <c:pt idx="3">
                  <c:v>Railways, goods transported </c:v>
                </c:pt>
                <c:pt idx="4">
                  <c:v>Regulatory Quality</c:v>
                </c:pt>
              </c:strCache>
            </c:strRef>
          </c:cat>
          <c:val>
            <c:numRef>
              <c:f>Sheet2!$E$2:$E$6</c:f>
              <c:numCache>
                <c:formatCode>0.000</c:formatCode>
                <c:ptCount val="5"/>
                <c:pt idx="0">
                  <c:v>97.938687000000002</c:v>
                </c:pt>
                <c:pt idx="1">
                  <c:v>3.0114420000000002</c:v>
                </c:pt>
                <c:pt idx="2">
                  <c:v>43.018210000000003</c:v>
                </c:pt>
                <c:pt idx="3">
                  <c:v>0</c:v>
                </c:pt>
                <c:pt idx="4">
                  <c:v>90.217391967773395</c:v>
                </c:pt>
              </c:numCache>
            </c:numRef>
          </c:val>
          <c:extLst>
            <c:ext xmlns:c16="http://schemas.microsoft.com/office/drawing/2014/chart" uri="{C3380CC4-5D6E-409C-BE32-E72D297353CC}">
              <c16:uniqueId val="{00000001-9957-4877-893E-57AC17E8B0D8}"/>
            </c:ext>
          </c:extLst>
        </c:ser>
        <c:ser>
          <c:idx val="2"/>
          <c:order val="2"/>
          <c:tx>
            <c:strRef>
              <c:f>Sheet2!$F$1</c:f>
              <c:strCache>
                <c:ptCount val="1"/>
                <c:pt idx="0">
                  <c:v>India</c:v>
                </c:pt>
              </c:strCache>
            </c:strRef>
          </c:tx>
          <c:spPr>
            <a:gradFill rotWithShape="1">
              <a:gsLst>
                <a:gs pos="0">
                  <a:schemeClr val="accent2">
                    <a:shade val="86000"/>
                    <a:satMod val="103000"/>
                    <a:lumMod val="102000"/>
                    <a:tint val="94000"/>
                  </a:schemeClr>
                </a:gs>
                <a:gs pos="50000">
                  <a:schemeClr val="accent2">
                    <a:shade val="86000"/>
                    <a:satMod val="110000"/>
                    <a:lumMod val="100000"/>
                    <a:shade val="100000"/>
                  </a:schemeClr>
                </a:gs>
                <a:gs pos="100000">
                  <a:schemeClr val="accent2">
                    <a:shade val="86000"/>
                    <a:lumMod val="99000"/>
                    <a:satMod val="120000"/>
                    <a:shade val="78000"/>
                  </a:schemeClr>
                </a:gs>
              </a:gsLst>
              <a:lin ang="5400000" scaled="0"/>
            </a:gradFill>
            <a:ln>
              <a:noFill/>
            </a:ln>
            <a:effectLst>
              <a:outerShdw blurRad="40000" dist="23000" dir="5400000" rotWithShape="0">
                <a:srgbClr val="000000">
                  <a:alpha val="35000"/>
                </a:srgbClr>
              </a:outerShdw>
            </a:effectLst>
          </c:spPr>
          <c:invertIfNegative val="0"/>
          <c:cat>
            <c:strRef>
              <c:f>Sheet2!$C$2:$C$6</c:f>
              <c:strCache>
                <c:ptCount val="5"/>
                <c:pt idx="0">
                  <c:v>Access to electricity </c:v>
                </c:pt>
                <c:pt idx="1">
                  <c:v>Employers (modeled ILO estimate)</c:v>
                </c:pt>
                <c:pt idx="2">
                  <c:v>Expenditure on primary education </c:v>
                </c:pt>
                <c:pt idx="3">
                  <c:v>Railways, goods transported </c:v>
                </c:pt>
                <c:pt idx="4">
                  <c:v>Regulatory Quality</c:v>
                </c:pt>
              </c:strCache>
            </c:strRef>
          </c:cat>
          <c:val>
            <c:numRef>
              <c:f>Sheet2!$F$2:$F$6</c:f>
              <c:numCache>
                <c:formatCode>0.000</c:formatCode>
                <c:ptCount val="5"/>
                <c:pt idx="0">
                  <c:v>60.292839050292997</c:v>
                </c:pt>
                <c:pt idx="1">
                  <c:v>0.97474209999999994</c:v>
                </c:pt>
                <c:pt idx="2">
                  <c:v>37.557360000000003</c:v>
                </c:pt>
                <c:pt idx="3">
                  <c:v>305201</c:v>
                </c:pt>
                <c:pt idx="4">
                  <c:v>45.652172088622997</c:v>
                </c:pt>
              </c:numCache>
            </c:numRef>
          </c:val>
          <c:extLst>
            <c:ext xmlns:c16="http://schemas.microsoft.com/office/drawing/2014/chart" uri="{C3380CC4-5D6E-409C-BE32-E72D297353CC}">
              <c16:uniqueId val="{00000002-9957-4877-893E-57AC17E8B0D8}"/>
            </c:ext>
          </c:extLst>
        </c:ser>
        <c:ser>
          <c:idx val="3"/>
          <c:order val="3"/>
          <c:tx>
            <c:strRef>
              <c:f>Sheet2!$G$1</c:f>
              <c:strCache>
                <c:ptCount val="1"/>
                <c:pt idx="0">
                  <c:v>Vietnam</c:v>
                </c:pt>
              </c:strCache>
            </c:strRef>
          </c:tx>
          <c:spPr>
            <a:gradFill rotWithShape="1">
              <a:gsLst>
                <a:gs pos="0">
                  <a:schemeClr val="accent2">
                    <a:shade val="58000"/>
                    <a:satMod val="103000"/>
                    <a:lumMod val="102000"/>
                    <a:tint val="94000"/>
                  </a:schemeClr>
                </a:gs>
                <a:gs pos="50000">
                  <a:schemeClr val="accent2">
                    <a:shade val="58000"/>
                    <a:satMod val="110000"/>
                    <a:lumMod val="100000"/>
                    <a:shade val="100000"/>
                  </a:schemeClr>
                </a:gs>
                <a:gs pos="100000">
                  <a:schemeClr val="accent2">
                    <a:shade val="58000"/>
                    <a:lumMod val="99000"/>
                    <a:satMod val="120000"/>
                    <a:shade val="78000"/>
                  </a:schemeClr>
                </a:gs>
              </a:gsLst>
              <a:lin ang="5400000" scaled="0"/>
            </a:gradFill>
            <a:ln>
              <a:noFill/>
            </a:ln>
            <a:effectLst>
              <a:outerShdw blurRad="40000" dist="23000" dir="5400000" rotWithShape="0">
                <a:srgbClr val="000000">
                  <a:alpha val="35000"/>
                </a:srgbClr>
              </a:outerShdw>
            </a:effectLst>
          </c:spPr>
          <c:invertIfNegative val="0"/>
          <c:cat>
            <c:strRef>
              <c:f>Sheet2!$C$2:$C$6</c:f>
              <c:strCache>
                <c:ptCount val="5"/>
                <c:pt idx="0">
                  <c:v>Access to electricity </c:v>
                </c:pt>
                <c:pt idx="1">
                  <c:v>Employers (modeled ILO estimate)</c:v>
                </c:pt>
                <c:pt idx="2">
                  <c:v>Expenditure on primary education </c:v>
                </c:pt>
                <c:pt idx="3">
                  <c:v>Railways, goods transported </c:v>
                </c:pt>
                <c:pt idx="4">
                  <c:v>Regulatory Quality</c:v>
                </c:pt>
              </c:strCache>
            </c:strRef>
          </c:cat>
          <c:val>
            <c:numRef>
              <c:f>Sheet2!$G$2:$G$6</c:f>
              <c:numCache>
                <c:formatCode>0.000</c:formatCode>
                <c:ptCount val="5"/>
                <c:pt idx="0">
                  <c:v>88.235099792480497</c:v>
                </c:pt>
                <c:pt idx="1">
                  <c:v>0.2094201</c:v>
                </c:pt>
                <c:pt idx="2">
                  <c:v>0</c:v>
                </c:pt>
                <c:pt idx="3">
                  <c:v>1921</c:v>
                </c:pt>
                <c:pt idx="4">
                  <c:v>26.086956024169901</c:v>
                </c:pt>
              </c:numCache>
            </c:numRef>
          </c:val>
          <c:extLst>
            <c:ext xmlns:c16="http://schemas.microsoft.com/office/drawing/2014/chart" uri="{C3380CC4-5D6E-409C-BE32-E72D297353CC}">
              <c16:uniqueId val="{00000003-9957-4877-893E-57AC17E8B0D8}"/>
            </c:ext>
          </c:extLst>
        </c:ser>
        <c:dLbls>
          <c:showLegendKey val="0"/>
          <c:showVal val="0"/>
          <c:showCatName val="0"/>
          <c:showSerName val="0"/>
          <c:showPercent val="0"/>
          <c:showBubbleSize val="0"/>
        </c:dLbls>
        <c:gapWidth val="150"/>
        <c:overlap val="100"/>
        <c:axId val="883715648"/>
        <c:axId val="883824512"/>
      </c:barChart>
      <c:catAx>
        <c:axId val="8837156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VN"/>
          </a:p>
        </c:txPr>
        <c:crossAx val="883824512"/>
        <c:crosses val="autoZero"/>
        <c:auto val="1"/>
        <c:lblAlgn val="ctr"/>
        <c:lblOffset val="100"/>
        <c:noMultiLvlLbl val="0"/>
      </c:catAx>
      <c:valAx>
        <c:axId val="88382451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VN"/>
          </a:p>
        </c:txPr>
        <c:crossAx val="88371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V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 resource'!$D$6973</c:f>
              <c:strCache>
                <c:ptCount val="1"/>
                <c:pt idx="0">
                  <c:v>Indonesia</c:v>
                </c:pt>
              </c:strCache>
            </c:strRef>
          </c:tx>
          <c:spPr>
            <a:solidFill>
              <a:schemeClr val="accent2"/>
            </a:solidFill>
            <a:ln>
              <a:noFill/>
            </a:ln>
            <a:effectLst/>
          </c:spPr>
          <c:invertIfNegative val="0"/>
          <c:cat>
            <c:numRef>
              <c:f>'Data resource'!$E$6972:$Q$6972</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'Data resource'!$E$6973:$Q$6973</c:f>
              <c:numCache>
                <c:formatCode>#,##0</c:formatCode>
                <c:ptCount val="13"/>
                <c:pt idx="0">
                  <c:v>15292009410.509899</c:v>
                </c:pt>
                <c:pt idx="1">
                  <c:v>20564938226.718498</c:v>
                </c:pt>
                <c:pt idx="2">
                  <c:v>21200778607.8727</c:v>
                </c:pt>
                <c:pt idx="3">
                  <c:v>23281742361.530499</c:v>
                </c:pt>
                <c:pt idx="4">
                  <c:v>25120732059.513401</c:v>
                </c:pt>
                <c:pt idx="5">
                  <c:v>19779127976.9576</c:v>
                </c:pt>
                <c:pt idx="6">
                  <c:v>4541713739.23769</c:v>
                </c:pt>
                <c:pt idx="7">
                  <c:v>20510310832.446899</c:v>
                </c:pt>
                <c:pt idx="8">
                  <c:v>18909826043.510502</c:v>
                </c:pt>
                <c:pt idx="9">
                  <c:v>24993551748.0098</c:v>
                </c:pt>
                <c:pt idx="10">
                  <c:v>19175077747.807701</c:v>
                </c:pt>
                <c:pt idx="11">
                  <c:v>21213080329.858299</c:v>
                </c:pt>
                <c:pt idx="12">
                  <c:v>21428338421.820499</c:v>
                </c:pt>
              </c:numCache>
            </c:numRef>
          </c:val>
          <c:extLst>
            <c:ext xmlns:c16="http://schemas.microsoft.com/office/drawing/2014/chart" uri="{C3380CC4-5D6E-409C-BE32-E72D297353CC}">
              <c16:uniqueId val="{00000000-E51B-4108-866C-7A724D11E395}"/>
            </c:ext>
          </c:extLst>
        </c:ser>
        <c:ser>
          <c:idx val="1"/>
          <c:order val="1"/>
          <c:tx>
            <c:strRef>
              <c:f>'Data resource'!$D$6974</c:f>
              <c:strCache>
                <c:ptCount val="1"/>
                <c:pt idx="0">
                  <c:v>Lao PDR</c:v>
                </c:pt>
              </c:strCache>
            </c:strRef>
          </c:tx>
          <c:spPr>
            <a:solidFill>
              <a:schemeClr val="accent4"/>
            </a:solidFill>
            <a:ln>
              <a:noFill/>
            </a:ln>
            <a:effectLst/>
          </c:spPr>
          <c:invertIfNegative val="0"/>
          <c:cat>
            <c:numRef>
              <c:f>'Data resource'!$E$6972:$Q$6972</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'Data resource'!$E$6974:$Q$6974</c:f>
              <c:numCache>
                <c:formatCode>#,##0</c:formatCode>
                <c:ptCount val="13"/>
                <c:pt idx="0">
                  <c:v>278805903.12</c:v>
                </c:pt>
                <c:pt idx="1">
                  <c:v>300743507.13</c:v>
                </c:pt>
                <c:pt idx="2">
                  <c:v>617755394.53966403</c:v>
                </c:pt>
                <c:pt idx="3">
                  <c:v>681397257.10379195</c:v>
                </c:pt>
                <c:pt idx="4">
                  <c:v>867646121.70867097</c:v>
                </c:pt>
                <c:pt idx="5">
                  <c:v>1077759914.5889499</c:v>
                </c:pt>
                <c:pt idx="6">
                  <c:v>935296172.78364503</c:v>
                </c:pt>
                <c:pt idx="7">
                  <c:v>1693080810.9387701</c:v>
                </c:pt>
                <c:pt idx="8">
                  <c:v>1358019506.2295799</c:v>
                </c:pt>
                <c:pt idx="9">
                  <c:v>755524124.24936795</c:v>
                </c:pt>
                <c:pt idx="10">
                  <c:v>967706086.20204496</c:v>
                </c:pt>
                <c:pt idx="11">
                  <c:v>1071913715.60885</c:v>
                </c:pt>
                <c:pt idx="12">
                  <c:v>528224849.69999999</c:v>
                </c:pt>
              </c:numCache>
            </c:numRef>
          </c:val>
          <c:extLst>
            <c:ext xmlns:c16="http://schemas.microsoft.com/office/drawing/2014/chart" uri="{C3380CC4-5D6E-409C-BE32-E72D297353CC}">
              <c16:uniqueId val="{00000001-E51B-4108-866C-7A724D11E395}"/>
            </c:ext>
          </c:extLst>
        </c:ser>
        <c:ser>
          <c:idx val="2"/>
          <c:order val="2"/>
          <c:tx>
            <c:strRef>
              <c:f>'Data resource'!$D$6975</c:f>
              <c:strCache>
                <c:ptCount val="1"/>
                <c:pt idx="0">
                  <c:v>Malaysia</c:v>
                </c:pt>
              </c:strCache>
            </c:strRef>
          </c:tx>
          <c:spPr>
            <a:solidFill>
              <a:schemeClr val="accent6"/>
            </a:solidFill>
            <a:ln>
              <a:noFill/>
            </a:ln>
            <a:effectLst/>
          </c:spPr>
          <c:invertIfNegative val="0"/>
          <c:cat>
            <c:numRef>
              <c:f>'Data resource'!$E$6972:$Q$6972</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'Data resource'!$E$6975:$Q$6975</c:f>
              <c:numCache>
                <c:formatCode>#,##0</c:formatCode>
                <c:ptCount val="13"/>
                <c:pt idx="0">
                  <c:v>10885801851.6194</c:v>
                </c:pt>
                <c:pt idx="1">
                  <c:v>15119439203.9543</c:v>
                </c:pt>
                <c:pt idx="2">
                  <c:v>8895774250.7040195</c:v>
                </c:pt>
                <c:pt idx="3">
                  <c:v>11296279513.9209</c:v>
                </c:pt>
                <c:pt idx="4">
                  <c:v>10619431582.9781</c:v>
                </c:pt>
                <c:pt idx="5">
                  <c:v>9857162111.8232899</c:v>
                </c:pt>
                <c:pt idx="6">
                  <c:v>13470089920.806999</c:v>
                </c:pt>
                <c:pt idx="7">
                  <c:v>9368469822.6614609</c:v>
                </c:pt>
                <c:pt idx="8">
                  <c:v>8304480741.6526699</c:v>
                </c:pt>
                <c:pt idx="9">
                  <c:v>9154921685.0393391</c:v>
                </c:pt>
                <c:pt idx="10">
                  <c:v>4058769678.6423101</c:v>
                </c:pt>
                <c:pt idx="11">
                  <c:v>20245157326.802399</c:v>
                </c:pt>
                <c:pt idx="12">
                  <c:v>14725970431.5896</c:v>
                </c:pt>
              </c:numCache>
            </c:numRef>
          </c:val>
          <c:extLst>
            <c:ext xmlns:c16="http://schemas.microsoft.com/office/drawing/2014/chart" uri="{C3380CC4-5D6E-409C-BE32-E72D297353CC}">
              <c16:uniqueId val="{00000002-E51B-4108-866C-7A724D11E395}"/>
            </c:ext>
          </c:extLst>
        </c:ser>
        <c:ser>
          <c:idx val="3"/>
          <c:order val="3"/>
          <c:tx>
            <c:strRef>
              <c:f>'Data resource'!$D$6976</c:f>
              <c:strCache>
                <c:ptCount val="1"/>
                <c:pt idx="0">
                  <c:v>Philippines</c:v>
                </c:pt>
              </c:strCache>
            </c:strRef>
          </c:tx>
          <c:spPr>
            <a:solidFill>
              <a:schemeClr val="accent2">
                <a:lumMod val="60000"/>
              </a:schemeClr>
            </a:solidFill>
            <a:ln>
              <a:noFill/>
            </a:ln>
            <a:effectLst/>
          </c:spPr>
          <c:invertIfNegative val="0"/>
          <c:cat>
            <c:numRef>
              <c:f>'Data resource'!$E$6972:$Q$6972</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'Data resource'!$E$6976:$Q$6976</c:f>
              <c:numCache>
                <c:formatCode>#,##0</c:formatCode>
                <c:ptCount val="13"/>
                <c:pt idx="0">
                  <c:v>1070386939.91897</c:v>
                </c:pt>
                <c:pt idx="1">
                  <c:v>2007150725.4000299</c:v>
                </c:pt>
                <c:pt idx="2">
                  <c:v>3215415155.4356699</c:v>
                </c:pt>
                <c:pt idx="3">
                  <c:v>3737371739.84519</c:v>
                </c:pt>
                <c:pt idx="4">
                  <c:v>5739574024.1318302</c:v>
                </c:pt>
                <c:pt idx="5">
                  <c:v>5639155961.8738899</c:v>
                </c:pt>
                <c:pt idx="6">
                  <c:v>8279548274.8850098</c:v>
                </c:pt>
                <c:pt idx="7">
                  <c:v>10256442398.8834</c:v>
                </c:pt>
                <c:pt idx="8">
                  <c:v>9948598823.9686699</c:v>
                </c:pt>
                <c:pt idx="9">
                  <c:v>8671365873.6568909</c:v>
                </c:pt>
                <c:pt idx="10">
                  <c:v>6822133290.81919</c:v>
                </c:pt>
                <c:pt idx="11">
                  <c:v>11983363327.4772</c:v>
                </c:pt>
                <c:pt idx="12">
                  <c:v>9199942905.6613503</c:v>
                </c:pt>
              </c:numCache>
            </c:numRef>
          </c:val>
          <c:extLst>
            <c:ext xmlns:c16="http://schemas.microsoft.com/office/drawing/2014/chart" uri="{C3380CC4-5D6E-409C-BE32-E72D297353CC}">
              <c16:uniqueId val="{00000003-E51B-4108-866C-7A724D11E395}"/>
            </c:ext>
          </c:extLst>
        </c:ser>
        <c:ser>
          <c:idx val="4"/>
          <c:order val="4"/>
          <c:tx>
            <c:strRef>
              <c:f>'Data resource'!$D$6977</c:f>
              <c:strCache>
                <c:ptCount val="1"/>
                <c:pt idx="0">
                  <c:v>Thailand</c:v>
                </c:pt>
              </c:strCache>
            </c:strRef>
          </c:tx>
          <c:spPr>
            <a:solidFill>
              <a:schemeClr val="accent4">
                <a:lumMod val="60000"/>
              </a:schemeClr>
            </a:solidFill>
            <a:ln>
              <a:noFill/>
            </a:ln>
            <a:effectLst/>
          </c:spPr>
          <c:invertIfNegative val="0"/>
          <c:cat>
            <c:numRef>
              <c:f>'Data resource'!$E$6972:$Q$6972</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'Data resource'!$E$6977:$Q$6977</c:f>
              <c:numCache>
                <c:formatCode>#,##0</c:formatCode>
                <c:ptCount val="13"/>
                <c:pt idx="0">
                  <c:v>14746672919.6</c:v>
                </c:pt>
                <c:pt idx="1">
                  <c:v>2473685995.6999998</c:v>
                </c:pt>
                <c:pt idx="2">
                  <c:v>12899036062.7558</c:v>
                </c:pt>
                <c:pt idx="3">
                  <c:v>15935960664.807301</c:v>
                </c:pt>
                <c:pt idx="4">
                  <c:v>4975455660.4459</c:v>
                </c:pt>
                <c:pt idx="5">
                  <c:v>8927579182.1621704</c:v>
                </c:pt>
                <c:pt idx="6">
                  <c:v>3486184390.3006902</c:v>
                </c:pt>
                <c:pt idx="7">
                  <c:v>8285169819.69135</c:v>
                </c:pt>
                <c:pt idx="8">
                  <c:v>13747219811.179199</c:v>
                </c:pt>
                <c:pt idx="9">
                  <c:v>5518708214.4825497</c:v>
                </c:pt>
                <c:pt idx="10">
                  <c:v>-4947474466.9795399</c:v>
                </c:pt>
                <c:pt idx="11">
                  <c:v>14640873082.0382</c:v>
                </c:pt>
                <c:pt idx="12">
                  <c:v>10196091866.0905</c:v>
                </c:pt>
              </c:numCache>
            </c:numRef>
          </c:val>
          <c:extLst>
            <c:ext xmlns:c16="http://schemas.microsoft.com/office/drawing/2014/chart" uri="{C3380CC4-5D6E-409C-BE32-E72D297353CC}">
              <c16:uniqueId val="{00000004-E51B-4108-866C-7A724D11E395}"/>
            </c:ext>
          </c:extLst>
        </c:ser>
        <c:ser>
          <c:idx val="5"/>
          <c:order val="5"/>
          <c:tx>
            <c:strRef>
              <c:f>'Data resource'!$D$6978</c:f>
              <c:strCache>
                <c:ptCount val="1"/>
                <c:pt idx="0">
                  <c:v>Viet Nam</c:v>
                </c:pt>
              </c:strCache>
            </c:strRef>
          </c:tx>
          <c:spPr>
            <a:solidFill>
              <a:schemeClr val="accent6">
                <a:lumMod val="60000"/>
              </a:schemeClr>
            </a:solidFill>
            <a:ln>
              <a:noFill/>
            </a:ln>
            <a:effectLst/>
          </c:spPr>
          <c:invertIfNegative val="0"/>
          <c:cat>
            <c:numRef>
              <c:f>'Data resource'!$E$6972:$Q$6972</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'Data resource'!$E$6978:$Q$6978</c:f>
              <c:numCache>
                <c:formatCode>#,##0</c:formatCode>
                <c:ptCount val="13"/>
                <c:pt idx="0">
                  <c:v>8000000000</c:v>
                </c:pt>
                <c:pt idx="1">
                  <c:v>7430000000</c:v>
                </c:pt>
                <c:pt idx="2">
                  <c:v>8368000000</c:v>
                </c:pt>
                <c:pt idx="3">
                  <c:v>8900000000</c:v>
                </c:pt>
                <c:pt idx="4">
                  <c:v>9200000000</c:v>
                </c:pt>
                <c:pt idx="5">
                  <c:v>11800000000</c:v>
                </c:pt>
                <c:pt idx="6">
                  <c:v>12600000000</c:v>
                </c:pt>
                <c:pt idx="7">
                  <c:v>14100000000</c:v>
                </c:pt>
                <c:pt idx="8">
                  <c:v>15500000000</c:v>
                </c:pt>
                <c:pt idx="9">
                  <c:v>16120000000</c:v>
                </c:pt>
                <c:pt idx="10">
                  <c:v>15800000000</c:v>
                </c:pt>
                <c:pt idx="11">
                  <c:v>15660000000</c:v>
                </c:pt>
                <c:pt idx="12">
                  <c:v>17900000000</c:v>
                </c:pt>
              </c:numCache>
            </c:numRef>
          </c:val>
          <c:extLst>
            <c:ext xmlns:c16="http://schemas.microsoft.com/office/drawing/2014/chart" uri="{C3380CC4-5D6E-409C-BE32-E72D297353CC}">
              <c16:uniqueId val="{00000005-E51B-4108-866C-7A724D11E395}"/>
            </c:ext>
          </c:extLst>
        </c:ser>
        <c:dLbls>
          <c:showLegendKey val="0"/>
          <c:showVal val="0"/>
          <c:showCatName val="0"/>
          <c:showSerName val="0"/>
          <c:showPercent val="0"/>
          <c:showBubbleSize val="0"/>
        </c:dLbls>
        <c:gapWidth val="199"/>
        <c:axId val="1101095936"/>
        <c:axId val="829049696"/>
      </c:barChart>
      <c:catAx>
        <c:axId val="1101095936"/>
        <c:scaling>
          <c:orientation val="minMax"/>
        </c:scaling>
        <c:delete val="0"/>
        <c:axPos val="b"/>
        <c:title>
          <c:tx>
            <c:rich>
              <a:bodyPr rot="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GB"/>
                  <a:t>year</a:t>
                </a:r>
              </a:p>
            </c:rich>
          </c:tx>
          <c:layout>
            <c:manualLayout>
              <c:xMode val="edge"/>
              <c:yMode val="edge"/>
              <c:x val="0.56162569975735099"/>
              <c:y val="0.89628495290861099"/>
            </c:manualLayout>
          </c:layout>
          <c:overlay val="0"/>
          <c:spPr>
            <a:noFill/>
            <a:ln>
              <a:noFill/>
            </a:ln>
            <a:effectLst/>
          </c:spPr>
          <c:txPr>
            <a:bodyPr rot="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endParaRPr lang="en-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tx1">
                    <a:lumMod val="65000"/>
                    <a:lumOff val="35000"/>
                  </a:schemeClr>
                </a:solidFill>
                <a:latin typeface="+mn-lt"/>
                <a:ea typeface="+mn-ea"/>
                <a:cs typeface="+mn-cs"/>
              </a:defRPr>
            </a:pPr>
            <a:endParaRPr lang="en-VN"/>
          </a:p>
        </c:txPr>
        <c:crossAx val="829049696"/>
        <c:crosses val="autoZero"/>
        <c:auto val="1"/>
        <c:lblAlgn val="ctr"/>
        <c:lblOffset val="100"/>
        <c:noMultiLvlLbl val="0"/>
      </c:catAx>
      <c:valAx>
        <c:axId val="8290496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GB"/>
                  <a:t>USD</a:t>
                </a:r>
              </a:p>
            </c:rich>
          </c:tx>
          <c:layout>
            <c:manualLayout>
              <c:xMode val="edge"/>
              <c:yMode val="edge"/>
              <c:x val="2.1642419141517402E-2"/>
              <c:y val="0.42769519966791902"/>
            </c:manualLayout>
          </c:layout>
          <c:overlay val="0"/>
          <c:spPr>
            <a:noFill/>
            <a:ln>
              <a:noFill/>
            </a:ln>
            <a:effectLst/>
          </c:spPr>
          <c:txPr>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endParaRPr lang="en-VN"/>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1101095936"/>
        <c:crosses val="autoZero"/>
        <c:crossBetween val="between"/>
      </c:valAx>
      <c:spPr>
        <a:noFill/>
        <a:ln>
          <a:noFill/>
        </a:ln>
        <a:effectLst/>
      </c:spPr>
    </c:plotArea>
    <c:legend>
      <c:legendPos val="t"/>
      <c:layout>
        <c:manualLayout>
          <c:xMode val="edge"/>
          <c:yMode val="edge"/>
          <c:x val="0.244233658600779"/>
          <c:y val="3.99185283483924E-3"/>
          <c:w val="0.72204574376663899"/>
          <c:h val="0.179005740237211"/>
        </c:manualLayout>
      </c:layout>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43078615711829099"/>
          <c:y val="0.18669119928485101"/>
          <c:w val="0.56921384288170895"/>
          <c:h val="0.75268603962393898"/>
        </c:manualLayout>
      </c:layout>
      <c:barChart>
        <c:barDir val="bar"/>
        <c:grouping val="percentStacked"/>
        <c:varyColors val="0"/>
        <c:ser>
          <c:idx val="0"/>
          <c:order val="0"/>
          <c:tx>
            <c:strRef>
              <c:f>'Data resource'!$AR$7019</c:f>
              <c:strCache>
                <c:ptCount val="1"/>
                <c:pt idx="0">
                  <c:v>Indonesia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endParaRPr lang="en-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'Data resource'!$AQ$7020:$AQ$7021</c:f>
              <c:strCache>
                <c:ptCount val="2"/>
                <c:pt idx="0">
                  <c:v>Population growth (annual %)</c:v>
                </c:pt>
                <c:pt idx="1">
                  <c:v>Population ages 15-64, total</c:v>
                </c:pt>
              </c:strCache>
            </c:strRef>
          </c:cat>
          <c:val>
            <c:numRef>
              <c:f>'Data resource'!$AR$7020:$AR$7021</c:f>
              <c:numCache>
                <c:formatCode>General</c:formatCode>
                <c:ptCount val="2"/>
                <c:pt idx="0">
                  <c:v>46.865106637617899</c:v>
                </c:pt>
                <c:pt idx="1">
                  <c:v>5197893861</c:v>
                </c:pt>
              </c:numCache>
            </c:numRef>
          </c:val>
          <c:extLst>
            <c:ext xmlns:c16="http://schemas.microsoft.com/office/drawing/2014/chart" uri="{C3380CC4-5D6E-409C-BE32-E72D297353CC}">
              <c16:uniqueId val="{00000000-3D0E-4E1A-9393-6646E4CAF62A}"/>
            </c:ext>
          </c:extLst>
        </c:ser>
        <c:dLbls>
          <c:showLegendKey val="0"/>
          <c:showVal val="1"/>
          <c:showCatName val="0"/>
          <c:showSerName val="0"/>
          <c:showPercent val="0"/>
          <c:showBubbleSize val="0"/>
        </c:dLbls>
        <c:gapWidth val="150"/>
        <c:overlap val="100"/>
        <c:axId val="115624511"/>
        <c:axId val="1813283935"/>
      </c:barChart>
      <c:catAx>
        <c:axId val="11562451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VN"/>
          </a:p>
        </c:txPr>
        <c:crossAx val="1813283935"/>
        <c:crosses val="autoZero"/>
        <c:auto val="1"/>
        <c:lblAlgn val="ctr"/>
        <c:lblOffset val="100"/>
        <c:noMultiLvlLbl val="0"/>
      </c:catAx>
      <c:valAx>
        <c:axId val="1813283935"/>
        <c:scaling>
          <c:orientation val="minMax"/>
        </c:scaling>
        <c:delete val="0"/>
        <c:axPos val="b"/>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VN"/>
          </a:p>
        </c:txPr>
        <c:crossAx val="115624511"/>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54826767013581201"/>
          <c:y val="3.6235226727824602E-2"/>
          <c:w val="0.31595729378848297"/>
          <c:h val="9.6511970890684695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V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endParaRPr lang="en-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'Data resource'!$A$7034:$C$7034</c:f>
              <c:strCache>
                <c:ptCount val="1"/>
                <c:pt idx="0">
                  <c:v>Indonesia Real interest rate (%)</c:v>
                </c:pt>
              </c:strCache>
            </c:strRef>
          </c:tx>
          <c:spPr>
            <a:gradFill rotWithShape="1">
              <a:gsLst>
                <a:gs pos="0">
                  <a:schemeClr val="accent5">
                    <a:tint val="77000"/>
                    <a:lumMod val="110000"/>
                    <a:satMod val="105000"/>
                    <a:tint val="67000"/>
                  </a:schemeClr>
                </a:gs>
                <a:gs pos="50000">
                  <a:schemeClr val="accent5">
                    <a:tint val="77000"/>
                    <a:lumMod val="105000"/>
                    <a:satMod val="103000"/>
                    <a:tint val="73000"/>
                  </a:schemeClr>
                </a:gs>
                <a:gs pos="100000">
                  <a:schemeClr val="accent5">
                    <a:tint val="77000"/>
                    <a:lumMod val="105000"/>
                    <a:satMod val="109000"/>
                    <a:tint val="81000"/>
                  </a:schemeClr>
                </a:gs>
              </a:gsLst>
              <a:lin ang="5400000" scaled="0"/>
            </a:gradFill>
            <a:ln w="9525" cap="flat" cmpd="sng" algn="ctr">
              <a:solidFill>
                <a:schemeClr val="accent5">
                  <a:tint val="77000"/>
                  <a:shade val="95000"/>
                </a:schemeClr>
              </a:solidFill>
              <a:round/>
            </a:ln>
            <a:effectLst/>
          </c:spPr>
          <c:invertIfNegative val="0"/>
          <c:cat>
            <c:numRef>
              <c:f>'Data resource'!$AC$7033:$AM$7033</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'Data resource'!$AC$7034:$AM$7034</c:f>
              <c:numCache>
                <c:formatCode>General</c:formatCode>
                <c:ptCount val="11"/>
                <c:pt idx="0">
                  <c:v>7.75018856489028</c:v>
                </c:pt>
                <c:pt idx="1">
                  <c:v>6.3749312421213702</c:v>
                </c:pt>
                <c:pt idx="2">
                  <c:v>6.7921185806972799</c:v>
                </c:pt>
                <c:pt idx="3">
                  <c:v>8.3499106346947407</c:v>
                </c:pt>
                <c:pt idx="4">
                  <c:v>9.2244323441320599</c:v>
                </c:pt>
                <c:pt idx="5">
                  <c:v>6.5015639960903604</c:v>
                </c:pt>
                <c:pt idx="6">
                  <c:v>6.4712498393794098</c:v>
                </c:pt>
                <c:pt idx="7">
                  <c:v>8.6294047903139308</c:v>
                </c:pt>
                <c:pt idx="8">
                  <c:v>9.9859267198759696</c:v>
                </c:pt>
                <c:pt idx="9">
                  <c:v>2.75375891283195</c:v>
                </c:pt>
                <c:pt idx="10">
                  <c:v>-0.956342955561723</c:v>
                </c:pt>
              </c:numCache>
            </c:numRef>
          </c:val>
          <c:extLst>
            <c:ext xmlns:c16="http://schemas.microsoft.com/office/drawing/2014/chart" uri="{C3380CC4-5D6E-409C-BE32-E72D297353CC}">
              <c16:uniqueId val="{00000000-F001-4130-9E54-FBD56F99CB79}"/>
            </c:ext>
          </c:extLst>
        </c:ser>
        <c:ser>
          <c:idx val="1"/>
          <c:order val="1"/>
          <c:tx>
            <c:strRef>
              <c:f>'Data resource'!$A$7035:$C$7035</c:f>
              <c:strCache>
                <c:ptCount val="1"/>
                <c:pt idx="0">
                  <c:v>Viet Nam Real interest rate (%)</c:v>
                </c:pt>
              </c:strCache>
            </c:strRef>
          </c:tx>
          <c:spPr>
            <a:gradFill rotWithShape="1">
              <a:gsLst>
                <a:gs pos="0">
                  <a:schemeClr val="accent5">
                    <a:shade val="76000"/>
                    <a:lumMod val="110000"/>
                    <a:satMod val="105000"/>
                    <a:tint val="67000"/>
                  </a:schemeClr>
                </a:gs>
                <a:gs pos="50000">
                  <a:schemeClr val="accent5">
                    <a:shade val="76000"/>
                    <a:lumMod val="105000"/>
                    <a:satMod val="103000"/>
                    <a:tint val="73000"/>
                  </a:schemeClr>
                </a:gs>
                <a:gs pos="100000">
                  <a:schemeClr val="accent5">
                    <a:shade val="76000"/>
                    <a:lumMod val="105000"/>
                    <a:satMod val="109000"/>
                    <a:tint val="81000"/>
                  </a:schemeClr>
                </a:gs>
              </a:gsLst>
              <a:lin ang="5400000" scaled="0"/>
            </a:gradFill>
            <a:ln w="9525" cap="flat" cmpd="sng" algn="ctr">
              <a:solidFill>
                <a:schemeClr val="accent5">
                  <a:shade val="76000"/>
                  <a:shade val="95000"/>
                </a:schemeClr>
              </a:solidFill>
              <a:round/>
            </a:ln>
            <a:effectLst/>
          </c:spPr>
          <c:invertIfNegative val="0"/>
          <c:cat>
            <c:numRef>
              <c:f>'Data resource'!$AC$7033:$AM$7033</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'Data resource'!$AC$7035:$AM$7035</c:f>
              <c:numCache>
                <c:formatCode>General</c:formatCode>
                <c:ptCount val="11"/>
                <c:pt idx="0">
                  <c:v>4.0283272248988897</c:v>
                </c:pt>
                <c:pt idx="1">
                  <c:v>6.0896810465905604</c:v>
                </c:pt>
                <c:pt idx="2">
                  <c:v>4.7897372231401798</c:v>
                </c:pt>
                <c:pt idx="3">
                  <c:v>8.9883109214798793</c:v>
                </c:pt>
                <c:pt idx="4">
                  <c:v>5.0486086739292402</c:v>
                </c:pt>
                <c:pt idx="5">
                  <c:v>2.5915043378798099</c:v>
                </c:pt>
                <c:pt idx="6">
                  <c:v>3.61414933403577</c:v>
                </c:pt>
                <c:pt idx="7">
                  <c:v>5.15927258752511</c:v>
                </c:pt>
                <c:pt idx="8">
                  <c:v>6.0906341415408303</c:v>
                </c:pt>
                <c:pt idx="9">
                  <c:v>4.8966838137384503</c:v>
                </c:pt>
                <c:pt idx="10">
                  <c:v>3.9985065196213698</c:v>
                </c:pt>
              </c:numCache>
            </c:numRef>
          </c:val>
          <c:extLst>
            <c:ext xmlns:c16="http://schemas.microsoft.com/office/drawing/2014/chart" uri="{C3380CC4-5D6E-409C-BE32-E72D297353CC}">
              <c16:uniqueId val="{00000001-F001-4130-9E54-FBD56F99CB79}"/>
            </c:ext>
          </c:extLst>
        </c:ser>
        <c:dLbls>
          <c:showLegendKey val="0"/>
          <c:showVal val="0"/>
          <c:showCatName val="0"/>
          <c:showSerName val="0"/>
          <c:showPercent val="0"/>
          <c:showBubbleSize val="0"/>
        </c:dLbls>
        <c:gapWidth val="100"/>
        <c:overlap val="-24"/>
        <c:axId val="1044145375"/>
        <c:axId val="1106905552"/>
      </c:barChart>
      <c:catAx>
        <c:axId val="104414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VN"/>
          </a:p>
        </c:txPr>
        <c:crossAx val="1106905552"/>
        <c:crosses val="autoZero"/>
        <c:auto val="1"/>
        <c:lblAlgn val="ctr"/>
        <c:lblOffset val="250"/>
        <c:noMultiLvlLbl val="0"/>
      </c:catAx>
      <c:valAx>
        <c:axId val="110690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VN"/>
          </a:p>
        </c:txPr>
        <c:crossAx val="1044145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bar"/>
        <c:grouping val="percentStacked"/>
        <c:varyColors val="0"/>
        <c:ser>
          <c:idx val="0"/>
          <c:order val="0"/>
          <c:tx>
            <c:strRef>
              <c:f>'Data resource'!$AR$7019</c:f>
              <c:strCache>
                <c:ptCount val="1"/>
                <c:pt idx="0">
                  <c:v>Indonesia</c:v>
                </c:pt>
              </c:strCache>
            </c:strRef>
          </c:tx>
          <c:spPr>
            <a:solidFill>
              <a:schemeClr val="accent5">
                <a:shade val="76000"/>
              </a:schemeClr>
            </a:solidFill>
            <a:ln>
              <a:noFill/>
            </a:ln>
            <a:effectLst/>
          </c:spPr>
          <c:invertIfNegative val="0"/>
          <c:cat>
            <c:strRef>
              <c:f>'Data resource'!$AQ$7023:$AQ$7026</c:f>
              <c:strCache>
                <c:ptCount val="3"/>
                <c:pt idx="0">
                  <c:v>Employers, total (% of total employment) (modeled ILO estimate)</c:v>
                </c:pt>
                <c:pt idx="1">
                  <c:v>Political Stability and Absence of Violence/Terrorism: Percentile Rank</c:v>
                </c:pt>
                <c:pt idx="2">
                  <c:v>GDP per capita, PPP (current international $)</c:v>
                </c:pt>
              </c:strCache>
            </c:strRef>
          </c:cat>
          <c:val>
            <c:numRef>
              <c:f>'Data resource'!$AR$7023:$AR$7026</c:f>
              <c:numCache>
                <c:formatCode>General</c:formatCode>
                <c:ptCount val="3"/>
                <c:pt idx="0">
                  <c:v>84.511633000000003</c:v>
                </c:pt>
                <c:pt idx="1">
                  <c:v>456.67872691154503</c:v>
                </c:pt>
                <c:pt idx="2">
                  <c:v>245503.70618479999</c:v>
                </c:pt>
              </c:numCache>
            </c:numRef>
          </c:val>
          <c:extLst>
            <c:ext xmlns:c16="http://schemas.microsoft.com/office/drawing/2014/chart" uri="{C3380CC4-5D6E-409C-BE32-E72D297353CC}">
              <c16:uniqueId val="{00000000-EDF5-4284-BABA-A556FB9FD915}"/>
            </c:ext>
          </c:extLst>
        </c:ser>
        <c:ser>
          <c:idx val="1"/>
          <c:order val="1"/>
          <c:tx>
            <c:strRef>
              <c:f>'Data resource'!$AS$7019</c:f>
              <c:strCache>
                <c:ptCount val="1"/>
                <c:pt idx="0">
                  <c:v>Viet Nam</c:v>
                </c:pt>
              </c:strCache>
            </c:strRef>
          </c:tx>
          <c:spPr>
            <a:solidFill>
              <a:schemeClr val="accent5">
                <a:tint val="77000"/>
              </a:schemeClr>
            </a:solidFill>
            <a:ln>
              <a:noFill/>
            </a:ln>
            <a:effectLst/>
          </c:spPr>
          <c:invertIfNegative val="0"/>
          <c:cat>
            <c:strRef>
              <c:f>'Data resource'!$AQ$7023:$AQ$7026</c:f>
              <c:strCache>
                <c:ptCount val="3"/>
                <c:pt idx="0">
                  <c:v>Employers, total (% of total employment) (modeled ILO estimate)</c:v>
                </c:pt>
                <c:pt idx="1">
                  <c:v>Political Stability and Absence of Violence/Terrorism: Percentile Rank</c:v>
                </c:pt>
                <c:pt idx="2">
                  <c:v>GDP per capita, PPP (current international $)</c:v>
                </c:pt>
              </c:strCache>
            </c:strRef>
          </c:cat>
          <c:val>
            <c:numRef>
              <c:f>'Data resource'!$AS$7023:$AS$7026</c:f>
              <c:numCache>
                <c:formatCode>General</c:formatCode>
                <c:ptCount val="3"/>
                <c:pt idx="0">
                  <c:v>48.7565819</c:v>
                </c:pt>
                <c:pt idx="1">
                  <c:v>1271.8577308654801</c:v>
                </c:pt>
                <c:pt idx="2">
                  <c:v>167899.23152933799</c:v>
                </c:pt>
              </c:numCache>
            </c:numRef>
          </c:val>
          <c:extLst>
            <c:ext xmlns:c16="http://schemas.microsoft.com/office/drawing/2014/chart" uri="{C3380CC4-5D6E-409C-BE32-E72D297353CC}">
              <c16:uniqueId val="{00000001-EDF5-4284-BABA-A556FB9FD915}"/>
            </c:ext>
          </c:extLst>
        </c:ser>
        <c:dLbls>
          <c:showLegendKey val="0"/>
          <c:showVal val="0"/>
          <c:showCatName val="0"/>
          <c:showSerName val="0"/>
          <c:showPercent val="0"/>
          <c:showBubbleSize val="0"/>
        </c:dLbls>
        <c:gapWidth val="75"/>
        <c:overlap val="100"/>
        <c:axId val="1199314911"/>
        <c:axId val="1232268975"/>
      </c:barChart>
      <c:catAx>
        <c:axId val="11993149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VN"/>
          </a:p>
        </c:txPr>
        <c:crossAx val="1232268975"/>
        <c:crosses val="autoZero"/>
        <c:auto val="1"/>
        <c:lblAlgn val="ctr"/>
        <c:lblOffset val="100"/>
        <c:noMultiLvlLbl val="0"/>
      </c:catAx>
      <c:valAx>
        <c:axId val="123226897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VN"/>
          </a:p>
        </c:txPr>
        <c:crossAx val="1199314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Sheet2!$A$53</c:f>
              <c:strCache>
                <c:ptCount val="1"/>
                <c:pt idx="0">
                  <c:v>Viet Nam</c:v>
                </c:pt>
              </c:strCache>
            </c:strRef>
          </c:tx>
          <c:spPr>
            <a:ln w="22225" cap="rnd">
              <a:solidFill>
                <a:schemeClr val="accent1"/>
              </a:solidFill>
              <a:round/>
            </a:ln>
            <a:effectLst/>
          </c:spPr>
          <c:marker>
            <c:symbol val="none"/>
          </c:marker>
          <c:cat>
            <c:numRef>
              <c:f>Sheet2!$C$58:$AK$58</c:f>
              <c:numCache>
                <c:formatCode>General</c:formatCode>
                <c:ptCount val="35"/>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pt idx="28">
                  <c:v>2016</c:v>
                </c:pt>
                <c:pt idx="29">
                  <c:v>2017</c:v>
                </c:pt>
                <c:pt idx="30">
                  <c:v>2018</c:v>
                </c:pt>
                <c:pt idx="31">
                  <c:v>2019</c:v>
                </c:pt>
                <c:pt idx="32">
                  <c:v>2020</c:v>
                </c:pt>
                <c:pt idx="33">
                  <c:v>2021</c:v>
                </c:pt>
                <c:pt idx="34">
                  <c:v>2022</c:v>
                </c:pt>
              </c:numCache>
            </c:numRef>
          </c:cat>
          <c:val>
            <c:numRef>
              <c:f>Sheet2!$C$59:$AK$59</c:f>
              <c:numCache>
                <c:formatCode>General</c:formatCode>
                <c:ptCount val="35"/>
                <c:pt idx="0">
                  <c:v>3.0207899995772999E-2</c:v>
                </c:pt>
                <c:pt idx="1">
                  <c:v>6.4671901591143693E-2</c:v>
                </c:pt>
                <c:pt idx="2">
                  <c:v>2.7813227601001098</c:v>
                </c:pt>
                <c:pt idx="3">
                  <c:v>3.9027967998431099</c:v>
                </c:pt>
                <c:pt idx="4">
                  <c:v>4.8033477751894198</c:v>
                </c:pt>
                <c:pt idx="5">
                  <c:v>7.0275925637769703</c:v>
                </c:pt>
                <c:pt idx="6">
                  <c:v>11.9394828341112</c:v>
                </c:pt>
                <c:pt idx="7">
                  <c:v>8.5859658546039199</c:v>
                </c:pt>
                <c:pt idx="8">
                  <c:v>9.7130806371215606</c:v>
                </c:pt>
                <c:pt idx="9">
                  <c:v>8.2700967582097</c:v>
                </c:pt>
                <c:pt idx="10">
                  <c:v>6.1412144026458604</c:v>
                </c:pt>
                <c:pt idx="11">
                  <c:v>4.9226634568012404</c:v>
                </c:pt>
                <c:pt idx="12">
                  <c:v>4.1639240795569297</c:v>
                </c:pt>
                <c:pt idx="13">
                  <c:v>3.9773354526157001</c:v>
                </c:pt>
                <c:pt idx="14">
                  <c:v>3.9926870513399599</c:v>
                </c:pt>
                <c:pt idx="15">
                  <c:v>3.6660122999746201</c:v>
                </c:pt>
                <c:pt idx="16">
                  <c:v>3.54408107288199</c:v>
                </c:pt>
                <c:pt idx="17">
                  <c:v>3.3904036392374599</c:v>
                </c:pt>
                <c:pt idx="18">
                  <c:v>3.6160009043252201</c:v>
                </c:pt>
                <c:pt idx="19">
                  <c:v>8.6547177143480507</c:v>
                </c:pt>
                <c:pt idx="20">
                  <c:v>9.6630390545571991</c:v>
                </c:pt>
                <c:pt idx="21">
                  <c:v>7.1688198889827799</c:v>
                </c:pt>
                <c:pt idx="22">
                  <c:v>5.4347396304581501</c:v>
                </c:pt>
                <c:pt idx="23">
                  <c:v>4.3048747260148001</c:v>
                </c:pt>
                <c:pt idx="24">
                  <c:v>4.27832318137387</c:v>
                </c:pt>
                <c:pt idx="25">
                  <c:v>4.1645448003452596</c:v>
                </c:pt>
                <c:pt idx="26">
                  <c:v>3.9408616350876402</c:v>
                </c:pt>
                <c:pt idx="27">
                  <c:v>4.9319074767824196</c:v>
                </c:pt>
                <c:pt idx="28">
                  <c:v>4.9008930292419297</c:v>
                </c:pt>
                <c:pt idx="29">
                  <c:v>5.0114868591121198</c:v>
                </c:pt>
                <c:pt idx="30">
                  <c:v>4.99828328892879</c:v>
                </c:pt>
                <c:pt idx="31">
                  <c:v>4.8210750423846198</c:v>
                </c:pt>
                <c:pt idx="32">
                  <c:v>4.5583618148938401</c:v>
                </c:pt>
                <c:pt idx="33">
                  <c:v>4.2770806377184396</c:v>
                </c:pt>
                <c:pt idx="34">
                  <c:v>4.3786437938054403</c:v>
                </c:pt>
              </c:numCache>
            </c:numRef>
          </c:val>
          <c:smooth val="0"/>
          <c:extLst>
            <c:ext xmlns:c16="http://schemas.microsoft.com/office/drawing/2014/chart" uri="{C3380CC4-5D6E-409C-BE32-E72D297353CC}">
              <c16:uniqueId val="{00000000-0517-4D97-B1B7-3A078D94097E}"/>
            </c:ext>
          </c:extLst>
        </c:ser>
        <c:ser>
          <c:idx val="1"/>
          <c:order val="1"/>
          <c:tx>
            <c:strRef>
              <c:f>Sheet2!$A$52</c:f>
              <c:strCache>
                <c:ptCount val="1"/>
                <c:pt idx="0">
                  <c:v>Indonesia</c:v>
                </c:pt>
              </c:strCache>
            </c:strRef>
          </c:tx>
          <c:spPr>
            <a:ln w="22225" cap="rnd">
              <a:solidFill>
                <a:schemeClr val="accent2"/>
              </a:solidFill>
              <a:round/>
            </a:ln>
            <a:effectLst/>
          </c:spPr>
          <c:marker>
            <c:symbol val="none"/>
          </c:marker>
          <c:cat>
            <c:numRef>
              <c:f>Sheet2!$C$58:$AK$58</c:f>
              <c:numCache>
                <c:formatCode>General</c:formatCode>
                <c:ptCount val="35"/>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pt idx="28">
                  <c:v>2016</c:v>
                </c:pt>
                <c:pt idx="29">
                  <c:v>2017</c:v>
                </c:pt>
                <c:pt idx="30">
                  <c:v>2018</c:v>
                </c:pt>
                <c:pt idx="31">
                  <c:v>2019</c:v>
                </c:pt>
                <c:pt idx="32">
                  <c:v>2020</c:v>
                </c:pt>
                <c:pt idx="33">
                  <c:v>2021</c:v>
                </c:pt>
                <c:pt idx="34">
                  <c:v>2022</c:v>
                </c:pt>
              </c:numCache>
            </c:numRef>
          </c:cat>
          <c:val>
            <c:numRef>
              <c:f>Sheet2!$C$60:$AK$60</c:f>
              <c:numCache>
                <c:formatCode>General</c:formatCode>
                <c:ptCount val="35"/>
                <c:pt idx="0">
                  <c:v>0.68327260718230498</c:v>
                </c:pt>
                <c:pt idx="1">
                  <c:v>0.72206425585905898</c:v>
                </c:pt>
                <c:pt idx="2">
                  <c:v>1.0297649424683999</c:v>
                </c:pt>
                <c:pt idx="3">
                  <c:v>1.2707722797342</c:v>
                </c:pt>
                <c:pt idx="4">
                  <c:v>1.38798883350104</c:v>
                </c:pt>
                <c:pt idx="5">
                  <c:v>1.26830064559013</c:v>
                </c:pt>
                <c:pt idx="6">
                  <c:v>1.1922519299764001</c:v>
                </c:pt>
                <c:pt idx="7">
                  <c:v>2.1500798401193699</c:v>
                </c:pt>
                <c:pt idx="8">
                  <c:v>2.7241978864670799</c:v>
                </c:pt>
                <c:pt idx="9">
                  <c:v>2.16779685196237</c:v>
                </c:pt>
                <c:pt idx="10">
                  <c:v>-0.25229044766040598</c:v>
                </c:pt>
                <c:pt idx="11">
                  <c:v>-1.33257354110796</c:v>
                </c:pt>
                <c:pt idx="12">
                  <c:v>-2.7574399335090298</c:v>
                </c:pt>
                <c:pt idx="13">
                  <c:v>-1.85568619300523</c:v>
                </c:pt>
                <c:pt idx="14">
                  <c:v>7.4151638318115901E-2</c:v>
                </c:pt>
                <c:pt idx="15">
                  <c:v>-0.25425632038100499</c:v>
                </c:pt>
                <c:pt idx="16">
                  <c:v>0.73824397988756296</c:v>
                </c:pt>
                <c:pt idx="17">
                  <c:v>2.9161148330305098</c:v>
                </c:pt>
                <c:pt idx="18">
                  <c:v>1.3479426406402499</c:v>
                </c:pt>
                <c:pt idx="19">
                  <c:v>1.6030105718879</c:v>
                </c:pt>
                <c:pt idx="20">
                  <c:v>1.8263290240399801</c:v>
                </c:pt>
                <c:pt idx="21">
                  <c:v>0.90391941965406197</c:v>
                </c:pt>
                <c:pt idx="22">
                  <c:v>2.0251791457678201</c:v>
                </c:pt>
                <c:pt idx="23">
                  <c:v>2.3029842939034499</c:v>
                </c:pt>
                <c:pt idx="24">
                  <c:v>2.3097803184487198</c:v>
                </c:pt>
                <c:pt idx="25">
                  <c:v>2.5513563340105798</c:v>
                </c:pt>
                <c:pt idx="26">
                  <c:v>2.8199726041914399</c:v>
                </c:pt>
                <c:pt idx="27">
                  <c:v>2.2976163937199598</c:v>
                </c:pt>
                <c:pt idx="28">
                  <c:v>0.48737247137086398</c:v>
                </c:pt>
                <c:pt idx="29">
                  <c:v>2.0194891981090799</c:v>
                </c:pt>
                <c:pt idx="30">
                  <c:v>1.81428979355581</c:v>
                </c:pt>
                <c:pt idx="31">
                  <c:v>2.2333620427506502</c:v>
                </c:pt>
                <c:pt idx="32">
                  <c:v>1.8105840202486301</c:v>
                </c:pt>
                <c:pt idx="33">
                  <c:v>1.7878620134090499</c:v>
                </c:pt>
                <c:pt idx="34">
                  <c:v>1.6244662907797101</c:v>
                </c:pt>
              </c:numCache>
            </c:numRef>
          </c:val>
          <c:smooth val="0"/>
          <c:extLst>
            <c:ext xmlns:c16="http://schemas.microsoft.com/office/drawing/2014/chart" uri="{C3380CC4-5D6E-409C-BE32-E72D297353CC}">
              <c16:uniqueId val="{00000001-0517-4D97-B1B7-3A078D94097E}"/>
            </c:ext>
          </c:extLst>
        </c:ser>
        <c:dLbls>
          <c:showLegendKey val="0"/>
          <c:showVal val="0"/>
          <c:showCatName val="0"/>
          <c:showSerName val="0"/>
          <c:showPercent val="0"/>
          <c:showBubbleSize val="0"/>
        </c:dLbls>
        <c:smooth val="0"/>
        <c:axId val="1209322304"/>
        <c:axId val="1066866304"/>
      </c:lineChart>
      <c:catAx>
        <c:axId val="120932230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0" spcFirstLastPara="1" vertOverflow="ellipsis"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VN"/>
          </a:p>
        </c:txPr>
        <c:crossAx val="1066866304"/>
        <c:crosses val="autoZero"/>
        <c:auto val="1"/>
        <c:lblAlgn val="ctr"/>
        <c:lblOffset val="10"/>
        <c:noMultiLvlLbl val="0"/>
      </c:catAx>
      <c:valAx>
        <c:axId val="106686630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VN"/>
          </a:p>
        </c:txPr>
        <c:crossAx val="120932230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V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endParaRPr lang="en-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Sheet1!$B$13</c:f>
              <c:strCache>
                <c:ptCount val="1"/>
                <c:pt idx="0">
                  <c:v>Thailand</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Sheet1!$A$14:$A$19</c:f>
              <c:strCache>
                <c:ptCount val="6"/>
                <c:pt idx="0">
                  <c:v>Labor force participation rate, total (% of total population ages 15+)</c:v>
                </c:pt>
                <c:pt idx="1">
                  <c:v>Government Effectiveness: Percentile Rank</c:v>
                </c:pt>
                <c:pt idx="2">
                  <c:v>Inflation, GDP deflator ( annual % )</c:v>
                </c:pt>
                <c:pt idx="3">
                  <c:v>Employment to population ratio, 15+, total (%) (modeled ILO estimate)</c:v>
                </c:pt>
                <c:pt idx="4">
                  <c:v>Real interest rate (%)</c:v>
                </c:pt>
                <c:pt idx="5">
                  <c:v>Political Stability and Absence of Violence/Terrorism: Percentile Rank</c:v>
                </c:pt>
              </c:strCache>
            </c:strRef>
          </c:cat>
          <c:val>
            <c:numRef>
              <c:f>Sheet1!$B$14:$B$19</c:f>
              <c:numCache>
                <c:formatCode>0.00</c:formatCode>
                <c:ptCount val="6"/>
                <c:pt idx="0">
                  <c:v>67.540000000000006</c:v>
                </c:pt>
                <c:pt idx="1">
                  <c:v>58.018867492675803</c:v>
                </c:pt>
                <c:pt idx="2">
                  <c:v>4.71017286371782</c:v>
                </c:pt>
                <c:pt idx="3">
                  <c:v>65.858999999999995</c:v>
                </c:pt>
                <c:pt idx="4">
                  <c:v>-1.5011335454772601</c:v>
                </c:pt>
                <c:pt idx="5">
                  <c:v>31.603773117065401</c:v>
                </c:pt>
              </c:numCache>
            </c:numRef>
          </c:val>
          <c:extLst>
            <c:ext xmlns:c16="http://schemas.microsoft.com/office/drawing/2014/chart" uri="{C3380CC4-5D6E-409C-BE32-E72D297353CC}">
              <c16:uniqueId val="{00000000-67D4-4AF3-B521-A126453E7F2D}"/>
            </c:ext>
          </c:extLst>
        </c:ser>
        <c:ser>
          <c:idx val="1"/>
          <c:order val="1"/>
          <c:tx>
            <c:strRef>
              <c:f>Sheet1!$C$13</c:f>
              <c:strCache>
                <c:ptCount val="1"/>
                <c:pt idx="0">
                  <c:v>Vietnam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Sheet1!$A$14:$A$19</c:f>
              <c:strCache>
                <c:ptCount val="6"/>
                <c:pt idx="0">
                  <c:v>Labor force participation rate, total (% of total population ages 15+)</c:v>
                </c:pt>
                <c:pt idx="1">
                  <c:v>Government Effectiveness: Percentile Rank</c:v>
                </c:pt>
                <c:pt idx="2">
                  <c:v>Inflation, GDP deflator ( annual % )</c:v>
                </c:pt>
                <c:pt idx="3">
                  <c:v>Employment to population ratio, 15+, total (%) (modeled ILO estimate)</c:v>
                </c:pt>
                <c:pt idx="4">
                  <c:v>Real interest rate (%)</c:v>
                </c:pt>
                <c:pt idx="5">
                  <c:v>Political Stability and Absence of Violence/Terrorism: Percentile Rank</c:v>
                </c:pt>
              </c:strCache>
            </c:strRef>
          </c:cat>
          <c:val>
            <c:numRef>
              <c:f>Sheet1!$C$14:$C$19</c:f>
              <c:numCache>
                <c:formatCode>0.00</c:formatCode>
                <c:ptCount val="6"/>
                <c:pt idx="0" formatCode="General">
                  <c:v>73.08</c:v>
                </c:pt>
                <c:pt idx="1">
                  <c:v>59.433963779999999</c:v>
                </c:pt>
                <c:pt idx="2">
                  <c:v>3.8604658359999999</c:v>
                </c:pt>
                <c:pt idx="3">
                  <c:v>72.012</c:v>
                </c:pt>
                <c:pt idx="4">
                  <c:v>3.9985065196213698</c:v>
                </c:pt>
                <c:pt idx="5">
                  <c:v>45.754718780517599</c:v>
                </c:pt>
              </c:numCache>
            </c:numRef>
          </c:val>
          <c:extLst>
            <c:ext xmlns:c16="http://schemas.microsoft.com/office/drawing/2014/chart" uri="{C3380CC4-5D6E-409C-BE32-E72D297353CC}">
              <c16:uniqueId val="{00000001-67D4-4AF3-B521-A126453E7F2D}"/>
            </c:ext>
          </c:extLst>
        </c:ser>
        <c:dLbls>
          <c:showLegendKey val="0"/>
          <c:showVal val="0"/>
          <c:showCatName val="0"/>
          <c:showSerName val="0"/>
          <c:showPercent val="0"/>
          <c:showBubbleSize val="0"/>
        </c:dLbls>
        <c:gapWidth val="150"/>
        <c:axId val="1850813040"/>
        <c:axId val="2030980976"/>
      </c:barChart>
      <c:catAx>
        <c:axId val="1850813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VN"/>
          </a:p>
        </c:txPr>
        <c:crossAx val="2030980976"/>
        <c:crosses val="autoZero"/>
        <c:auto val="1"/>
        <c:lblAlgn val="ctr"/>
        <c:lblOffset val="100"/>
        <c:noMultiLvlLbl val="0"/>
      </c:catAx>
      <c:valAx>
        <c:axId val="203098097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VN"/>
          </a:p>
        </c:txPr>
        <c:crossAx val="1850813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lang="en-US" sz="1300" b="1" i="0" u="none" strike="noStrike" kern="1200" cap="all" spc="120" normalizeH="0" baseline="0">
              <a:solidFill>
                <a:schemeClr val="tx1">
                  <a:lumMod val="65000"/>
                  <a:lumOff val="35000"/>
                </a:schemeClr>
              </a:solidFill>
              <a:latin typeface="+mn-lt"/>
              <a:ea typeface="+mn-ea"/>
              <a:cs typeface="+mn-cs"/>
            </a:defRPr>
          </a:pPr>
          <a:endParaRPr lang="en-VN"/>
        </a:p>
      </c:txPr>
    </c:title>
    <c:autoTitleDeleted val="0"/>
    <c:plotArea>
      <c:layout/>
      <c:scatterChart>
        <c:scatterStyle val="lineMarker"/>
        <c:varyColors val="0"/>
        <c:ser>
          <c:idx val="0"/>
          <c:order val="0"/>
          <c:tx>
            <c:strRef>
              <c:f>Idea!$E$2</c:f>
              <c:strCache>
                <c:ptCount val="1"/>
                <c:pt idx="0">
                  <c:v>X2_POP</c:v>
                </c:pt>
              </c:strCache>
            </c:strRef>
          </c:tx>
          <c:spPr>
            <a:ln w="25400" cap="rnd">
              <a:noFill/>
              <a:round/>
            </a:ln>
            <a:effectLst/>
          </c:spPr>
          <c:marker>
            <c:symbol val="diamond"/>
            <c:size val="6"/>
            <c:spPr>
              <a:solidFill>
                <a:schemeClr val="accent3"/>
              </a:solidFill>
              <a:ln w="9525">
                <a:solidFill>
                  <a:schemeClr val="accent3"/>
                </a:solidFill>
                <a:round/>
              </a:ln>
              <a:effectLst/>
            </c:spPr>
          </c:marker>
          <c:trendline>
            <c:spPr>
              <a:ln w="9525" cap="rnd">
                <a:solidFill>
                  <a:schemeClr val="accent3"/>
                </a:solidFill>
              </a:ln>
              <a:effectLst/>
            </c:spPr>
            <c:trendlineType val="linear"/>
            <c:dispRSqr val="0"/>
            <c:dispEq val="0"/>
          </c:trendline>
          <c:trendline>
            <c:spPr>
              <a:ln w="9525" cap="rnd">
                <a:solidFill>
                  <a:schemeClr val="accent3"/>
                </a:solidFill>
              </a:ln>
              <a:effectLst/>
            </c:spPr>
            <c:trendlineType val="linear"/>
            <c:dispRSqr val="0"/>
            <c:dispEq val="1"/>
            <c:trendlineLbl>
              <c:layout>
                <c:manualLayout>
                  <c:x val="-5.8814523184601904E-4"/>
                  <c:y val="0.144005905511811"/>
                </c:manualLayout>
              </c:layout>
              <c:numFmt formatCode="General" sourceLinked="0"/>
              <c:spPr>
                <a:noFill/>
                <a:ln>
                  <a:noFill/>
                </a:ln>
                <a:effectLst/>
              </c:spPr>
              <c:txPr>
                <a:bodyPr rot="0" spcFirstLastPara="1"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en-VN"/>
                </a:p>
              </c:txPr>
            </c:trendlineLbl>
          </c:trendline>
          <c:xVal>
            <c:numRef>
              <c:f>Idea!$C$3:$C$25</c:f>
              <c:numCache>
                <c:formatCode>General</c:formatCode>
                <c:ptCount val="23"/>
                <c:pt idx="0">
                  <c:v>1298000000</c:v>
                </c:pt>
                <c:pt idx="1">
                  <c:v>1300000000</c:v>
                </c:pt>
                <c:pt idx="2">
                  <c:v>1400000000</c:v>
                </c:pt>
                <c:pt idx="3">
                  <c:v>1450000000</c:v>
                </c:pt>
                <c:pt idx="4">
                  <c:v>1610000000</c:v>
                </c:pt>
                <c:pt idx="5">
                  <c:v>1954000000</c:v>
                </c:pt>
                <c:pt idx="6">
                  <c:v>2400000000</c:v>
                </c:pt>
                <c:pt idx="7">
                  <c:v>6700000000</c:v>
                </c:pt>
                <c:pt idx="8">
                  <c:v>9579000000</c:v>
                </c:pt>
                <c:pt idx="9">
                  <c:v>7600000000</c:v>
                </c:pt>
                <c:pt idx="10">
                  <c:v>8000000000</c:v>
                </c:pt>
                <c:pt idx="11">
                  <c:v>7430000000</c:v>
                </c:pt>
                <c:pt idx="12">
                  <c:v>8368000000</c:v>
                </c:pt>
                <c:pt idx="13">
                  <c:v>8900000000</c:v>
                </c:pt>
                <c:pt idx="14">
                  <c:v>9200000000</c:v>
                </c:pt>
                <c:pt idx="15">
                  <c:v>11800000000</c:v>
                </c:pt>
                <c:pt idx="16">
                  <c:v>12600000000</c:v>
                </c:pt>
                <c:pt idx="17">
                  <c:v>14100000000</c:v>
                </c:pt>
                <c:pt idx="18">
                  <c:v>15500000000</c:v>
                </c:pt>
                <c:pt idx="19">
                  <c:v>16120000000</c:v>
                </c:pt>
                <c:pt idx="20">
                  <c:v>15800000000</c:v>
                </c:pt>
                <c:pt idx="21">
                  <c:v>15660000000</c:v>
                </c:pt>
                <c:pt idx="22">
                  <c:v>17900000000</c:v>
                </c:pt>
              </c:numCache>
            </c:numRef>
          </c:xVal>
          <c:yVal>
            <c:numRef>
              <c:f>Idea!$E$3:$E$25</c:f>
              <c:numCache>
                <c:formatCode>General</c:formatCode>
                <c:ptCount val="23"/>
                <c:pt idx="0">
                  <c:v>79001142</c:v>
                </c:pt>
                <c:pt idx="1">
                  <c:v>79817777</c:v>
                </c:pt>
                <c:pt idx="2">
                  <c:v>80642308</c:v>
                </c:pt>
                <c:pt idx="3">
                  <c:v>81475825</c:v>
                </c:pt>
                <c:pt idx="4">
                  <c:v>82311227</c:v>
                </c:pt>
                <c:pt idx="5">
                  <c:v>83142095</c:v>
                </c:pt>
                <c:pt idx="6">
                  <c:v>83951800</c:v>
                </c:pt>
                <c:pt idx="7">
                  <c:v>84762269</c:v>
                </c:pt>
                <c:pt idx="8">
                  <c:v>85597241</c:v>
                </c:pt>
                <c:pt idx="9">
                  <c:v>86482923</c:v>
                </c:pt>
                <c:pt idx="10">
                  <c:v>87411012</c:v>
                </c:pt>
                <c:pt idx="11">
                  <c:v>88349117</c:v>
                </c:pt>
                <c:pt idx="12">
                  <c:v>89301326</c:v>
                </c:pt>
                <c:pt idx="13">
                  <c:v>90267739</c:v>
                </c:pt>
                <c:pt idx="14">
                  <c:v>91235504</c:v>
                </c:pt>
                <c:pt idx="15">
                  <c:v>92191398</c:v>
                </c:pt>
                <c:pt idx="16">
                  <c:v>93126529</c:v>
                </c:pt>
                <c:pt idx="17">
                  <c:v>94033048</c:v>
                </c:pt>
                <c:pt idx="18">
                  <c:v>94914330</c:v>
                </c:pt>
                <c:pt idx="19">
                  <c:v>95776716</c:v>
                </c:pt>
                <c:pt idx="20">
                  <c:v>96648685</c:v>
                </c:pt>
                <c:pt idx="21">
                  <c:v>97468029</c:v>
                </c:pt>
                <c:pt idx="22">
                  <c:v>98186856</c:v>
                </c:pt>
              </c:numCache>
            </c:numRef>
          </c:yVal>
          <c:smooth val="0"/>
          <c:extLst>
            <c:ext xmlns:c16="http://schemas.microsoft.com/office/drawing/2014/chart" uri="{C3380CC4-5D6E-409C-BE32-E72D297353CC}">
              <c16:uniqueId val="{00000002-8598-6245-9A84-796E9436A838}"/>
            </c:ext>
          </c:extLst>
        </c:ser>
        <c:dLbls>
          <c:showLegendKey val="0"/>
          <c:showVal val="0"/>
          <c:showCatName val="0"/>
          <c:showSerName val="0"/>
          <c:showPercent val="0"/>
          <c:showBubbleSize val="0"/>
        </c:dLbls>
        <c:axId val="894148928"/>
        <c:axId val="206544032"/>
      </c:scatterChart>
      <c:valAx>
        <c:axId val="894148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cap="all" spc="120" normalizeH="0" baseline="0">
                <a:solidFill>
                  <a:schemeClr val="tx1">
                    <a:lumMod val="65000"/>
                    <a:lumOff val="35000"/>
                  </a:schemeClr>
                </a:solidFill>
                <a:latin typeface="+mn-lt"/>
                <a:ea typeface="+mn-ea"/>
                <a:cs typeface="+mn-cs"/>
              </a:defRPr>
            </a:pPr>
            <a:endParaRPr lang="en-VN"/>
          </a:p>
        </c:txPr>
        <c:crossAx val="206544032"/>
        <c:crosses val="autoZero"/>
        <c:crossBetween val="midCat"/>
        <c:dispUnits>
          <c:builtInUnit val="millions"/>
          <c:dispUnitsLbl>
            <c:spPr>
              <a:noFill/>
              <a:ln>
                <a:noFill/>
              </a:ln>
              <a:effectLst/>
            </c:spPr>
            <c:txPr>
              <a:bodyPr rot="0" spcFirstLastPara="1" vertOverflow="ellipsis" vert="horz" wrap="square" anchor="ctr" anchorCtr="1">
                <a:spAutoFit/>
              </a:bodyPr>
              <a:lstStyle/>
              <a:p>
                <a:pPr>
                  <a:defRPr lang="en-US" sz="900" b="0" i="0" u="none" strike="noStrike" kern="1200" cap="all" baseline="0">
                    <a:solidFill>
                      <a:schemeClr val="tx1">
                        <a:lumMod val="65000"/>
                        <a:lumOff val="35000"/>
                      </a:schemeClr>
                    </a:solidFill>
                    <a:latin typeface="+mn-lt"/>
                    <a:ea typeface="+mn-ea"/>
                    <a:cs typeface="+mn-cs"/>
                  </a:defRPr>
                </a:pPr>
                <a:endParaRPr lang="en-VN"/>
              </a:p>
            </c:txPr>
          </c:dispUnitsLbl>
        </c:dispUnits>
      </c:valAx>
      <c:valAx>
        <c:axId val="20654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VN"/>
          </a:p>
        </c:txPr>
        <c:crossAx val="894148928"/>
        <c:crosses val="autoZero"/>
        <c:crossBetween val="midCat"/>
        <c:dispUnits>
          <c:builtInUnit val="millions"/>
          <c:dispUnitsLbl>
            <c:spPr>
              <a:noFill/>
              <a:ln>
                <a:noFill/>
              </a:ln>
              <a:effectLst/>
            </c:spPr>
            <c:txPr>
              <a:bodyPr rot="-5400000" spcFirstLastPara="1" vertOverflow="ellipsis" vert="horz" wrap="square" anchor="ctr" anchorCtr="1">
                <a:spAutoFit/>
              </a:bodyPr>
              <a:lstStyle/>
              <a:p>
                <a:pPr>
                  <a:defRPr lang="en-US" sz="900" b="0" i="0" u="none" strike="noStrike" kern="1200" cap="all" baseline="0">
                    <a:solidFill>
                      <a:schemeClr val="tx1">
                        <a:lumMod val="65000"/>
                        <a:lumOff val="35000"/>
                      </a:schemeClr>
                    </a:solidFill>
                    <a:latin typeface="+mn-lt"/>
                    <a:ea typeface="+mn-ea"/>
                    <a:cs typeface="+mn-cs"/>
                  </a:defRPr>
                </a:pPr>
                <a:endParaRPr lang="en-VN"/>
              </a:p>
            </c:txPr>
          </c:dispUnitsLbl>
        </c:dispUnits>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Reversed" id="25">
  <a:schemeClr val="accent5"/>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67E1B-14A6-1643-97B1-BC11DD427E3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6568</Words>
  <Characters>37439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QUYNH HUONG</dc:creator>
  <cp:lastModifiedBy>NGUYEN QUYNH HUONG</cp:lastModifiedBy>
  <cp:revision>16</cp:revision>
  <dcterms:created xsi:type="dcterms:W3CDTF">2024-01-26T19:04:00Z</dcterms:created>
  <dcterms:modified xsi:type="dcterms:W3CDTF">2025-08-01T13:22:00Z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89F54E64D2394A32BCA1ED25974643FC_12</vt:lpwstr>
  </property>
</Properties>
</file>