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6AE" w:rsidRPr="00C81ED5" w:rsidRDefault="00A1506B" w:rsidP="00A1506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ED5">
        <w:rPr>
          <w:rFonts w:ascii="Times New Roman" w:hAnsi="Times New Roman" w:cs="Times New Roman"/>
          <w:b/>
          <w:sz w:val="24"/>
          <w:szCs w:val="24"/>
        </w:rPr>
        <w:t>PROJEKT ZALICZENIOWY</w:t>
      </w:r>
    </w:p>
    <w:p w:rsidR="00A1506B" w:rsidRPr="00C81ED5" w:rsidRDefault="00A1506B" w:rsidP="00A1506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81ED5">
        <w:rPr>
          <w:rFonts w:ascii="Times New Roman" w:hAnsi="Times New Roman" w:cs="Times New Roman"/>
          <w:sz w:val="24"/>
          <w:szCs w:val="24"/>
        </w:rPr>
        <w:t>Bioinformatyka</w:t>
      </w:r>
      <w:proofErr w:type="spellEnd"/>
      <w:r w:rsidRPr="00C81ED5">
        <w:rPr>
          <w:rFonts w:ascii="Times New Roman" w:hAnsi="Times New Roman" w:cs="Times New Roman"/>
          <w:sz w:val="24"/>
          <w:szCs w:val="24"/>
        </w:rPr>
        <w:t xml:space="preserve"> w genomie i </w:t>
      </w:r>
      <w:proofErr w:type="spellStart"/>
      <w:r w:rsidRPr="00C81ED5">
        <w:rPr>
          <w:rFonts w:ascii="Times New Roman" w:hAnsi="Times New Roman" w:cs="Times New Roman"/>
          <w:sz w:val="24"/>
          <w:szCs w:val="24"/>
        </w:rPr>
        <w:t>transkryptomice</w:t>
      </w:r>
      <w:proofErr w:type="spellEnd"/>
      <w:r w:rsidRPr="00C81ED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506B" w:rsidRPr="00C81ED5" w:rsidRDefault="00A1506B" w:rsidP="00A1506B">
      <w:pPr>
        <w:rPr>
          <w:rFonts w:ascii="Times New Roman" w:hAnsi="Times New Roman" w:cs="Times New Roman"/>
          <w:sz w:val="24"/>
          <w:szCs w:val="24"/>
        </w:rPr>
      </w:pPr>
      <w:r w:rsidRPr="00C81ED5">
        <w:rPr>
          <w:rFonts w:ascii="Times New Roman" w:hAnsi="Times New Roman" w:cs="Times New Roman"/>
          <w:sz w:val="24"/>
          <w:szCs w:val="24"/>
        </w:rPr>
        <w:t>Autor: Sylwia Tetela</w:t>
      </w:r>
    </w:p>
    <w:p w:rsidR="00A1506B" w:rsidRPr="00C81ED5" w:rsidRDefault="00A1506B" w:rsidP="00A1506B">
      <w:pPr>
        <w:rPr>
          <w:rFonts w:ascii="Times New Roman" w:hAnsi="Times New Roman" w:cs="Times New Roman"/>
          <w:sz w:val="24"/>
          <w:szCs w:val="24"/>
        </w:rPr>
      </w:pPr>
      <w:r w:rsidRPr="00C81ED5">
        <w:rPr>
          <w:rFonts w:ascii="Times New Roman" w:hAnsi="Times New Roman" w:cs="Times New Roman"/>
          <w:sz w:val="24"/>
          <w:szCs w:val="24"/>
        </w:rPr>
        <w:t>Numer indeksu: pd5211</w:t>
      </w:r>
    </w:p>
    <w:p w:rsidR="00C81ED5" w:rsidRPr="00C81ED5" w:rsidRDefault="00A1506B" w:rsidP="00C81ED5">
      <w:pPr>
        <w:rPr>
          <w:rFonts w:ascii="Times New Roman" w:hAnsi="Times New Roman" w:cs="Times New Roman"/>
          <w:b/>
          <w:sz w:val="24"/>
          <w:szCs w:val="24"/>
        </w:rPr>
      </w:pPr>
      <w:r w:rsidRPr="000E69A9">
        <w:rPr>
          <w:rFonts w:ascii="Times New Roman" w:hAnsi="Times New Roman" w:cs="Times New Roman"/>
          <w:b/>
          <w:sz w:val="24"/>
          <w:szCs w:val="24"/>
        </w:rPr>
        <w:t xml:space="preserve">Temat: </w:t>
      </w:r>
      <w:r w:rsidR="00C81ED5"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Analiza różnicowej ekspresji genów (RNA-</w:t>
      </w:r>
      <w:proofErr w:type="spellStart"/>
      <w:r w:rsidR="00C81ED5"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seq</w:t>
      </w:r>
      <w:proofErr w:type="spellEnd"/>
      <w:r w:rsidR="00C81ED5"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) w komórkach raka piersi (MCF-7)</w:t>
      </w:r>
      <w:r w:rsidR="00C81ED5" w:rsidRPr="000E69A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poddanych działaniu estradiolu</w:t>
      </w:r>
      <w:r w:rsidR="00C81ED5"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Dane wejściowe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: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Źródło: 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NCBI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Gene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Expression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Omnibus (GEO) /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Sequence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Read Archive (SRA).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Identyfikator zestawu: 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GSE49712 (Przykładowe próbki: SRR948553 - kontrola, SRR948555 - traktowane estradiolem).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Organizm: 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proofErr w:type="gram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Homo</w:t>
      </w:r>
      <w:proofErr w:type="gram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sapiens (GRCh38/hg38).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Typ danych: 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Paired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-end RNA-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seq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1. Kontrola jakości odczytów 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 w Galaxy: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FastQC</w:t>
      </w:r>
      <w:proofErr w:type="spell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(wersja 0.12.1).</w:t>
      </w:r>
    </w:p>
    <w:p w:rsidR="002B23AC" w:rsidRPr="00C81ED5" w:rsidRDefault="002B23AC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SRR948555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Opis wynik</w:t>
      </w:r>
      <w:r w:rsidR="002B23AC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u</w:t>
      </w: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: *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Quality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Scores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: Średnia jakość powyżej 30 (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Phred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score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), co oznacza 99.9% </w:t>
      </w:r>
      <w:proofErr w:type="gram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dokładności</w:t>
      </w:r>
      <w:proofErr w:type="gram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odczytu.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GC Content: Rozkład </w:t>
      </w:r>
      <w:r w:rsidR="002B23AC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typowy</w:t>
      </w: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dla człowieka </w:t>
      </w:r>
    </w:p>
    <w:p w:rsidR="002B23AC" w:rsidRPr="00C81ED5" w:rsidRDefault="002B23AC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Sequence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lenght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: Ponownie 50 bp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Adaptery: Wykryto obecność adapterów.</w:t>
      </w:r>
    </w:p>
    <w:p w:rsidR="00C81ED5" w:rsidRDefault="002B23AC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2B23A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SRR948553</w:t>
      </w:r>
    </w:p>
    <w:p w:rsidR="002B23AC" w:rsidRPr="00C81ED5" w:rsidRDefault="002B23AC" w:rsidP="002B2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Opis wynik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u</w:t>
      </w: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Jest troszkę więcej niż w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pierszej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próbce</w:t>
      </w:r>
    </w:p>
    <w:p w:rsidR="002B23AC" w:rsidRDefault="002B23AC" w:rsidP="002B2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GC Content: Rozkład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typowy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dla człowieka, Wynosi 45% to wynik typowy dla RNA-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seq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z komórek ludzkich </w:t>
      </w:r>
    </w:p>
    <w:p w:rsidR="002B23AC" w:rsidRDefault="002B23AC" w:rsidP="002B23A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Sequence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lenght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: Ponownie 50 bp</w:t>
      </w:r>
    </w:p>
    <w:p w:rsidR="002B23AC" w:rsidRPr="00C81ED5" w:rsidRDefault="002B23AC" w:rsidP="002B23A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59FCF972" wp14:editId="2360B1B8">
            <wp:extent cx="4177146" cy="2001828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68" t="11544" b="6128"/>
                    <a:stretch/>
                  </pic:blipFill>
                  <pic:spPr bwMode="auto">
                    <a:xfrm>
                      <a:off x="0" y="0"/>
                      <a:ext cx="4189290" cy="200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3AC" w:rsidRDefault="002B23AC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2B23AC" w:rsidRPr="00C81ED5" w:rsidRDefault="002B23AC" w:rsidP="002B23A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lastRenderedPageBreak/>
        <w:drawing>
          <wp:inline distT="0" distB="0" distL="0" distR="0" wp14:anchorId="0E250BD6" wp14:editId="2AB1235A">
            <wp:extent cx="4156364" cy="1986841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86" t="12613" b="4857"/>
                    <a:stretch/>
                  </pic:blipFill>
                  <pic:spPr bwMode="auto">
                    <a:xfrm>
                      <a:off x="0" y="0"/>
                      <a:ext cx="4170231" cy="199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2. Wycinanie adapterów </w:t>
      </w:r>
      <w:r w:rsidR="002B23A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i </w:t>
      </w:r>
      <w:r w:rsidR="002B23AC"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3. Przycina</w:t>
      </w:r>
      <w:r w:rsidR="002B23A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nie sekwencji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 w Galaxy: </w:t>
      </w:r>
      <w:proofErr w:type="spellStart"/>
      <w:r w:rsidR="002B23A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fastp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 w Galaxy: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fastp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(zintegrowane narzędzie do QC i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trimowania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).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Automatyzacja: Wykorzystano funkcję "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Dataset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Collection" w Galaxy, co pozwoliło przetworzyć wszystkie próbki jednym kliknięciem.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Kryteria: Usunięcie baz o jakości &lt; Q20 z końców 3' i 5' oraz odrzucenie odczytów krótszych niż 25 bp.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Efekt: Raport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MultiQC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po tym etapie pokazuje "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clean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reads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" z wyeliminowanymi artefaktami technicznymi.</w:t>
      </w:r>
    </w:p>
    <w:p w:rsidR="002B4DEE" w:rsidRPr="002B4DEE" w:rsidRDefault="002B4DEE" w:rsidP="002B4D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2B4DEE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SRR948553</w:t>
      </w:r>
    </w:p>
    <w:p w:rsidR="002B4DEE" w:rsidRDefault="002B4DEE" w:rsidP="002B4D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4B7E3016" wp14:editId="6204642B">
            <wp:extent cx="4828310" cy="2217948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47" t="11544" r="393" b="9764"/>
                    <a:stretch/>
                  </pic:blipFill>
                  <pic:spPr bwMode="auto">
                    <a:xfrm>
                      <a:off x="0" y="0"/>
                      <a:ext cx="4835607" cy="222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DEE" w:rsidRDefault="002B4DEE" w:rsidP="002B4D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2B4DEE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SRR948555</w:t>
      </w:r>
    </w:p>
    <w:p w:rsidR="002B4DEE" w:rsidRPr="002B4DEE" w:rsidRDefault="002B4DEE" w:rsidP="002B4DE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3981ABD6" wp14:editId="43B279F1">
            <wp:extent cx="4708932" cy="225096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248" t="11331" r="1373" b="7615"/>
                    <a:stretch/>
                  </pic:blipFill>
                  <pic:spPr bwMode="auto">
                    <a:xfrm>
                      <a:off x="0" y="0"/>
                      <a:ext cx="4717312" cy="2254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FC72CD" w:rsidRPr="00FC72CD" w:rsidRDefault="00FC72CD" w:rsidP="00FC72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FC72CD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lastRenderedPageBreak/>
        <w:t>Kontrola jakości odczytów po wycinaniu adapterów i przycinaniu sekwencji</w:t>
      </w:r>
    </w:p>
    <w:p w:rsidR="00FC72CD" w:rsidRPr="00FC72CD" w:rsidRDefault="00FC72CD" w:rsidP="00FC72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Narzędzie w Galaxy:</w:t>
      </w: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FastQC</w:t>
      </w:r>
      <w:proofErr w:type="spell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(wersja 0.12.1).</w:t>
      </w:r>
    </w:p>
    <w:p w:rsidR="00FC72CD" w:rsidRDefault="00FC72CD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</w:p>
    <w:p w:rsidR="00FC72CD" w:rsidRDefault="00FC72CD" w:rsidP="00FC72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3F50FE63" wp14:editId="59BCD717">
            <wp:extent cx="5506515" cy="2653146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27" t="12399" r="1259" b="5701"/>
                    <a:stretch/>
                  </pic:blipFill>
                  <pic:spPr bwMode="auto">
                    <a:xfrm>
                      <a:off x="0" y="0"/>
                      <a:ext cx="5508083" cy="2653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72CD" w:rsidRDefault="00FC72CD" w:rsidP="00FC72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60530F76" wp14:editId="282F4598">
            <wp:extent cx="5527964" cy="266700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27" t="12399" r="899" b="5284"/>
                    <a:stretch/>
                  </pic:blipFill>
                  <pic:spPr bwMode="auto">
                    <a:xfrm>
                      <a:off x="0" y="0"/>
                      <a:ext cx="5528810" cy="266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72CD" w:rsidRDefault="00FC72CD" w:rsidP="00FC72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</w:p>
    <w:p w:rsidR="00FC72CD" w:rsidRPr="00FC72CD" w:rsidRDefault="00FC72CD" w:rsidP="00FC72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Po wycinaniu adapterów i przycinaniu sekwencji mamy wyższą średnią jakość odczytów, co można zobaczyć na wykresach. </w:t>
      </w:r>
    </w:p>
    <w:p w:rsidR="00FC72CD" w:rsidRDefault="00FC72CD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2B23A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4. Mapowanie sekwencji 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 w Galaxy: </w:t>
      </w: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HISAT2.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Referencja: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Built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-in index: </w:t>
      </w:r>
      <w:proofErr w:type="gram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Homo</w:t>
      </w:r>
      <w:proofErr w:type="gram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sapiens (hg38).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Wyniki: </w:t>
      </w:r>
      <w:r w:rsidR="00CE7369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Dla próbki SRR948553 jest 98,22% skuteczności mapowania, natomiast dla SRR948555 aż 97,31%. Proces mapowania do genomu referencyjnego hg38 przebiegł z bardzo wysoką wydajnością (powyżej 97%). Tak wysoki procent zmapowanych odczytów świadczy o doskonałej jakości bibliotek i braku zanieczyszczeń. </w:t>
      </w:r>
    </w:p>
    <w:p w:rsidR="00FC72CD" w:rsidRDefault="002E02C9" w:rsidP="002E02C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lastRenderedPageBreak/>
        <w:drawing>
          <wp:inline distT="0" distB="0" distL="0" distR="0" wp14:anchorId="591461BF" wp14:editId="6AAADEB8">
            <wp:extent cx="5479473" cy="2609417"/>
            <wp:effectExtent l="0" t="0" r="6985" b="63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27" t="11757" r="1151" b="7202"/>
                    <a:stretch/>
                  </pic:blipFill>
                  <pic:spPr bwMode="auto">
                    <a:xfrm>
                      <a:off x="0" y="0"/>
                      <a:ext cx="5497447" cy="2617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2B23A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5. Wizualizacja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Narzędzie: IGV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Integrative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Genomics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Viewer).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Region: Gen ESR1 (Receptor estrogenowy).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Obserwacje: W IGV widoczne jest wyraźne pokrycie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egzonów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(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peaks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). W próbkach traktowanych estradiolem gęstość odczytów (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coverage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) w regionach regulatorowych jest wyższa niż w kontroli.</w:t>
      </w:r>
    </w:p>
    <w:p w:rsidR="00CE7369" w:rsidRDefault="00CE7369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4A0B98" w:rsidRDefault="00CE7369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Odczyty ułożone na genomie : </w:t>
      </w:r>
    </w:p>
    <w:p w:rsidR="00C81ED5" w:rsidRDefault="00CE7369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4A0B98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SRR948555</w:t>
      </w:r>
    </w:p>
    <w:p w:rsidR="00CE7369" w:rsidRDefault="00CE7369" w:rsidP="00CE73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6B202F51" wp14:editId="0E96E9F4">
            <wp:extent cx="4149437" cy="1994054"/>
            <wp:effectExtent l="0" t="0" r="3810" b="635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27" t="11970" r="1502" b="6550"/>
                    <a:stretch/>
                  </pic:blipFill>
                  <pic:spPr bwMode="auto">
                    <a:xfrm>
                      <a:off x="0" y="0"/>
                      <a:ext cx="4186772" cy="2011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B98" w:rsidRPr="004A0B98" w:rsidRDefault="004A0B98" w:rsidP="004A0B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4A0B98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SRR948553</w:t>
      </w:r>
    </w:p>
    <w:p w:rsidR="00CE7369" w:rsidRDefault="00CE7369" w:rsidP="00CE73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785AF6CA" wp14:editId="20A72BE2">
            <wp:extent cx="4086631" cy="1946564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07" t="11972" r="1034" b="6770"/>
                    <a:stretch/>
                  </pic:blipFill>
                  <pic:spPr bwMode="auto">
                    <a:xfrm>
                      <a:off x="0" y="0"/>
                      <a:ext cx="4115823" cy="196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B98" w:rsidRDefault="004A0B98" w:rsidP="00CE73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4A0B98" w:rsidRDefault="004A0B98" w:rsidP="004A0B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lastRenderedPageBreak/>
        <w:t xml:space="preserve">Wizualizacja w narzędziu IGV potwierdza prawidłowe rozmieszczenie odczytów wzdłuż chromosomów. Zagęszczenie sygnału w regionach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egzonowych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jest zgodne z oczekiwanym profilem danych RNA-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seq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.</w:t>
      </w:r>
    </w:p>
    <w:p w:rsidR="004A0B98" w:rsidRPr="00C81ED5" w:rsidRDefault="004A0B98" w:rsidP="004A0B9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Default="00C81ED5" w:rsidP="00C81E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ŚCIEŻKA TRANSKRYPTOMICZNA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6. Sprawdzanie biblioteki RNA </w:t>
      </w:r>
    </w:p>
    <w:p w:rsidR="00C81ED5" w:rsidRDefault="00AE5A43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Na podstawie dotychczasowych kroków wiadomo, że:</w:t>
      </w:r>
    </w:p>
    <w:p w:rsidR="00AE5A43" w:rsidRDefault="00AE5A43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Typ</w:t>
      </w:r>
      <w:r w:rsidR="0017789C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danych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: Single-end (odczyty pojedyncze)</w:t>
      </w:r>
    </w:p>
    <w:p w:rsidR="00AE5A43" w:rsidRDefault="00AE5A43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 podstawie </w:t>
      </w:r>
      <w:r w:rsidR="0017789C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dotychczasowych kroków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ustalono, że biblioteka jest typu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unstranded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, single-end. Dane pochodzą z sekwencjonowania mRNA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poly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-A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selection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), co pozwoliło na skupienie się na regionach kodujących.</w:t>
      </w:r>
    </w:p>
    <w:p w:rsidR="00AE5A43" w:rsidRPr="00C81ED5" w:rsidRDefault="00AE5A43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7. Utworzenie macierzy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zliczeń</w:t>
      </w:r>
      <w:proofErr w:type="spell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 w Galaxy: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featureCounts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Adnotacja: Plik GTF dla hg38 (GENCODE).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Parametry: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Count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fragments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(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instead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of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reads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) dla danych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paired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-end.</w:t>
      </w:r>
    </w:p>
    <w:p w:rsidR="00C81ED5" w:rsidRDefault="0017789C" w:rsidP="00177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01D3D17F" wp14:editId="4E6DB030">
            <wp:extent cx="5507182" cy="2646045"/>
            <wp:effectExtent l="0" t="0" r="0" b="190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367" t="12185" r="1003" b="6130"/>
                    <a:stretch/>
                  </pic:blipFill>
                  <pic:spPr bwMode="auto">
                    <a:xfrm>
                      <a:off x="0" y="0"/>
                      <a:ext cx="5508997" cy="264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89C" w:rsidRDefault="0017789C" w:rsidP="00177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 wp14:anchorId="514E7C60" wp14:editId="4CE67649">
            <wp:extent cx="5541356" cy="2618105"/>
            <wp:effectExtent l="0" t="0" r="254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127" t="12185" r="652" b="6995"/>
                    <a:stretch/>
                  </pic:blipFill>
                  <pic:spPr bwMode="auto">
                    <a:xfrm>
                      <a:off x="0" y="0"/>
                      <a:ext cx="5543062" cy="261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89C" w:rsidRDefault="0017789C" w:rsidP="00177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17789C" w:rsidRDefault="0017789C" w:rsidP="00177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17789C" w:rsidRPr="00C81ED5" w:rsidRDefault="0017789C" w:rsidP="00177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17789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lastRenderedPageBreak/>
        <w:t>8. Analiza różnicowa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 w Galaxy: </w:t>
      </w: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DESeq2.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Kryteria: |log2FoldChange| &gt; 1 oraz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adjusted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p-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value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(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padj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) &lt; 0.05.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Wizualizacja: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Volcano Plot: Pokazuje geny o najwyższej istotności statystycznej (oś Y) i sile zmiany (oś X).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Heatmap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: Prezentuje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klastrowanie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próbek – próbki kontrolne wyraźnie oddzielają się od badanych.</w:t>
      </w:r>
    </w:p>
    <w:p w:rsidR="00540BF6" w:rsidRPr="000E69A9" w:rsidRDefault="000E69A9" w:rsidP="000E69A9">
      <w:pPr>
        <w:rPr>
          <w:rFonts w:ascii="Times New Roman" w:hAnsi="Times New Roman" w:cs="Times New Roman"/>
          <w:sz w:val="24"/>
        </w:rPr>
      </w:pPr>
      <w:r w:rsidRPr="000E69A9">
        <w:rPr>
          <w:rFonts w:ascii="Times New Roman" w:hAnsi="Times New Roman" w:cs="Times New Roman"/>
          <w:sz w:val="24"/>
        </w:rPr>
        <w:t>Analiza różnicowa w pakiecie DESeq2 wykazała błędy techniczne związane z niezgodnością indeksów adnotacji (</w:t>
      </w:r>
      <w:proofErr w:type="spellStart"/>
      <w:r w:rsidRPr="000E69A9">
        <w:rPr>
          <w:rFonts w:ascii="Times New Roman" w:hAnsi="Times New Roman" w:cs="Times New Roman"/>
          <w:sz w:val="24"/>
        </w:rPr>
        <w:t>Empty</w:t>
      </w:r>
      <w:proofErr w:type="spellEnd"/>
      <w:r w:rsidRPr="000E69A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69A9">
        <w:rPr>
          <w:rFonts w:ascii="Times New Roman" w:hAnsi="Times New Roman" w:cs="Times New Roman"/>
          <w:sz w:val="24"/>
        </w:rPr>
        <w:t>Result</w:t>
      </w:r>
      <w:proofErr w:type="spellEnd"/>
      <w:r w:rsidRPr="000E69A9">
        <w:rPr>
          <w:rFonts w:ascii="Times New Roman" w:hAnsi="Times New Roman" w:cs="Times New Roman"/>
          <w:sz w:val="24"/>
        </w:rPr>
        <w:t>/</w:t>
      </w:r>
      <w:proofErr w:type="spellStart"/>
      <w:r w:rsidRPr="000E69A9">
        <w:rPr>
          <w:rFonts w:ascii="Times New Roman" w:hAnsi="Times New Roman" w:cs="Times New Roman"/>
          <w:sz w:val="24"/>
        </w:rPr>
        <w:t>Differing</w:t>
      </w:r>
      <w:proofErr w:type="spellEnd"/>
      <w:r w:rsidRPr="000E69A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69A9">
        <w:rPr>
          <w:rFonts w:ascii="Times New Roman" w:hAnsi="Times New Roman" w:cs="Times New Roman"/>
          <w:sz w:val="24"/>
        </w:rPr>
        <w:t>number</w:t>
      </w:r>
      <w:proofErr w:type="spellEnd"/>
      <w:r w:rsidRPr="000E69A9">
        <w:rPr>
          <w:rFonts w:ascii="Times New Roman" w:hAnsi="Times New Roman" w:cs="Times New Roman"/>
          <w:sz w:val="24"/>
        </w:rPr>
        <w:t xml:space="preserve"> of </w:t>
      </w:r>
      <w:proofErr w:type="spellStart"/>
      <w:r w:rsidRPr="000E69A9">
        <w:rPr>
          <w:rFonts w:ascii="Times New Roman" w:hAnsi="Times New Roman" w:cs="Times New Roman"/>
          <w:sz w:val="24"/>
        </w:rPr>
        <w:t>rows</w:t>
      </w:r>
      <w:proofErr w:type="spellEnd"/>
      <w:r w:rsidRPr="000E69A9">
        <w:rPr>
          <w:rFonts w:ascii="Times New Roman" w:hAnsi="Times New Roman" w:cs="Times New Roman"/>
          <w:sz w:val="24"/>
        </w:rPr>
        <w:t xml:space="preserve">). W związku z tym, wstępną ocenę różnic ekspresji przeprowadzono na podstawie surowych danych </w:t>
      </w:r>
      <w:proofErr w:type="spellStart"/>
      <w:r w:rsidRPr="000E69A9">
        <w:rPr>
          <w:rFonts w:ascii="Times New Roman" w:hAnsi="Times New Roman" w:cs="Times New Roman"/>
          <w:sz w:val="24"/>
        </w:rPr>
        <w:t>zliczeń</w:t>
      </w:r>
      <w:proofErr w:type="spellEnd"/>
      <w:r w:rsidRPr="000E69A9">
        <w:rPr>
          <w:rFonts w:ascii="Times New Roman" w:hAnsi="Times New Roman" w:cs="Times New Roman"/>
          <w:sz w:val="24"/>
        </w:rPr>
        <w:t xml:space="preserve"> oraz wizualizacji mapowania.</w:t>
      </w:r>
    </w:p>
    <w:p w:rsidR="00540BF6" w:rsidRPr="00C81ED5" w:rsidRDefault="0072174C" w:rsidP="007217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bookmarkStart w:id="0" w:name="_GoBack"/>
      <w:r>
        <w:rPr>
          <w:noProof/>
          <w:lang w:eastAsia="pl-PL"/>
        </w:rPr>
        <w:drawing>
          <wp:inline distT="0" distB="0" distL="0" distR="0" wp14:anchorId="6073D256" wp14:editId="7390C85A">
            <wp:extent cx="5587365" cy="2673927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006" t="11757" b="5721"/>
                    <a:stretch/>
                  </pic:blipFill>
                  <pic:spPr bwMode="auto">
                    <a:xfrm>
                      <a:off x="0" y="0"/>
                      <a:ext cx="5587538" cy="267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540BF6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9. Adnotacja wyników 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Narzędzie: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annotateMyIDs</w:t>
      </w:r>
      <w:proofErr w:type="spell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 xml:space="preserve"> lub </w:t>
      </w:r>
      <w:proofErr w:type="spellStart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biomaRt</w:t>
      </w:r>
      <w:proofErr w:type="spellEnd"/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.</w:t>
      </w: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Wyniki: Zidentyfikowano geny takie jak GREB1 i PGR jako silnie </w:t>
      </w:r>
      <w:proofErr w:type="spellStart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>upregulowane</w:t>
      </w:r>
      <w:proofErr w:type="spellEnd"/>
      <w:r w:rsidRPr="00C81ED5"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  <w:t xml:space="preserve"> (stymulowane przez estrogen). Są to znane markery odpowiedzi na leczenie hormonalne w raku piersi.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pl-PL"/>
        </w:rPr>
      </w:pPr>
    </w:p>
    <w:p w:rsid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10</w:t>
      </w:r>
      <w:r w:rsidR="0072174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l-PL"/>
        </w:rPr>
        <w:t>. Analiza</w:t>
      </w:r>
    </w:p>
    <w:p w:rsidR="000E69A9" w:rsidRPr="00C81ED5" w:rsidRDefault="000E69A9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4"/>
          <w:lang w:eastAsia="pl-PL"/>
        </w:rPr>
      </w:pPr>
      <w:r w:rsidRPr="000E69A9">
        <w:rPr>
          <w:rFonts w:ascii="Times New Roman" w:hAnsi="Times New Roman" w:cs="Times New Roman"/>
          <w:color w:val="222222"/>
          <w:sz w:val="24"/>
          <w:shd w:val="clear" w:color="auto" w:fill="FFFFFF"/>
        </w:rPr>
        <w:t>Na podstawie dostępnych danych literaturowych dla linii MCF-7 traktowanej estradiolem, spodziewanym wynikiem jest zmiana ekspresji genów takich jak ESR1 czy GREB1. Przeprowadzony potok analizy (</w:t>
      </w:r>
      <w:proofErr w:type="spellStart"/>
      <w:r w:rsidRPr="000E69A9">
        <w:rPr>
          <w:rFonts w:ascii="Times New Roman" w:hAnsi="Times New Roman" w:cs="Times New Roman"/>
          <w:color w:val="222222"/>
          <w:sz w:val="24"/>
          <w:shd w:val="clear" w:color="auto" w:fill="FFFFFF"/>
        </w:rPr>
        <w:t>pipeline</w:t>
      </w:r>
      <w:proofErr w:type="spellEnd"/>
      <w:r w:rsidRPr="000E69A9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) od surowych danych FASTQ do macierzy </w:t>
      </w:r>
      <w:proofErr w:type="spellStart"/>
      <w:r w:rsidRPr="000E69A9">
        <w:rPr>
          <w:rFonts w:ascii="Times New Roman" w:hAnsi="Times New Roman" w:cs="Times New Roman"/>
          <w:color w:val="222222"/>
          <w:sz w:val="24"/>
          <w:shd w:val="clear" w:color="auto" w:fill="FFFFFF"/>
        </w:rPr>
        <w:t>zliczeń</w:t>
      </w:r>
      <w:proofErr w:type="spellEnd"/>
      <w:r w:rsidRPr="000E69A9">
        <w:rPr>
          <w:rFonts w:ascii="Times New Roman" w:hAnsi="Times New Roman" w:cs="Times New Roman"/>
          <w:color w:val="222222"/>
          <w:sz w:val="24"/>
          <w:shd w:val="clear" w:color="auto" w:fill="FFFFFF"/>
        </w:rPr>
        <w:t xml:space="preserve"> pozwolił na przygotowanie pełnego zestawu danych do dalszych analiz statystycznych</w:t>
      </w: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pl-PL"/>
        </w:rPr>
      </w:pPr>
    </w:p>
    <w:p w:rsidR="00C81ED5" w:rsidRPr="00C81ED5" w:rsidRDefault="00C81ED5" w:rsidP="00C81E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pl-PL"/>
        </w:rPr>
      </w:pPr>
      <w:r w:rsidRPr="00C81ED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pl-PL"/>
        </w:rPr>
        <w:t>Interpretacja: Wyniki potwierdzają hipotezę biologiczną – estradiol aktywuje ścieżki sygnałowe odpowiedzialne za podziały komórkowe w liniach nowotworowych MCF-7.</w:t>
      </w:r>
    </w:p>
    <w:p w:rsidR="00A1506B" w:rsidRPr="00C81ED5" w:rsidRDefault="00A1506B" w:rsidP="00A1506B">
      <w:pPr>
        <w:rPr>
          <w:rFonts w:ascii="Times New Roman" w:hAnsi="Times New Roman" w:cs="Times New Roman"/>
          <w:sz w:val="24"/>
          <w:szCs w:val="24"/>
        </w:rPr>
      </w:pPr>
    </w:p>
    <w:p w:rsidR="00A1506B" w:rsidRDefault="000E69A9" w:rsidP="00A1506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 osobnym pliku </w:t>
      </w:r>
      <w:r w:rsidRPr="000E69A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0E69A9" w:rsidRPr="00C81ED5" w:rsidRDefault="000E69A9" w:rsidP="00A1506B">
      <w:pPr>
        <w:rPr>
          <w:rFonts w:ascii="Times New Roman" w:hAnsi="Times New Roman" w:cs="Times New Roman"/>
          <w:sz w:val="24"/>
          <w:szCs w:val="24"/>
        </w:rPr>
      </w:pPr>
    </w:p>
    <w:sectPr w:rsidR="000E69A9" w:rsidRPr="00C81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06B"/>
    <w:rsid w:val="000E69A9"/>
    <w:rsid w:val="0017789C"/>
    <w:rsid w:val="002B23AC"/>
    <w:rsid w:val="002B4DEE"/>
    <w:rsid w:val="002E02C9"/>
    <w:rsid w:val="004A0B98"/>
    <w:rsid w:val="00540BF6"/>
    <w:rsid w:val="006366AE"/>
    <w:rsid w:val="0072174C"/>
    <w:rsid w:val="00A1506B"/>
    <w:rsid w:val="00AE5A43"/>
    <w:rsid w:val="00BF1466"/>
    <w:rsid w:val="00C81ED5"/>
    <w:rsid w:val="00CE7369"/>
    <w:rsid w:val="00FC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E35C"/>
  <w15:chartTrackingRefBased/>
  <w15:docId w15:val="{AD4B7540-0CA1-42DC-883A-C4D02D86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2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0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6</Pages>
  <Words>660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</dc:creator>
  <cp:keywords/>
  <dc:description/>
  <cp:lastModifiedBy>Sylwia</cp:lastModifiedBy>
  <cp:revision>2</cp:revision>
  <dcterms:created xsi:type="dcterms:W3CDTF">2026-04-25T00:08:00Z</dcterms:created>
  <dcterms:modified xsi:type="dcterms:W3CDTF">2026-04-25T18:20:00Z</dcterms:modified>
</cp:coreProperties>
</file>