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医疗器械委托生产合同（长期框架协议）</w:t>
      </w:r>
    </w:p>
    <w:p>
      <w:r>
        <w:rPr>
          <w:b/>
        </w:rPr>
        <w:t>甲方：</w:t>
      </w:r>
      <w:r>
        <w:t>某某医疗器械股份有限公司</w:t>
      </w:r>
    </w:p>
    <w:p>
      <w:r>
        <w:rPr>
          <w:b/>
        </w:rPr>
        <w:t>乙方：</w:t>
      </w:r>
      <w:r>
        <w:t>某某精密制造有限公司</w:t>
      </w:r>
    </w:p>
    <w:p>
      <w:r>
        <w:t>（以下简称"双方"）</w:t>
      </w:r>
    </w:p>
    <w:p>
      <w:r>
        <w:t>甲方为系列骨科植入物产品的注册人/备案人，就产品委托生产事宜与乙方签订本框架协议。本协议项下的具体订单、价格及交期以订单确认为准。</w:t>
      </w:r>
    </w:p>
    <w:p>
      <w:pPr>
        <w:pStyle w:val="Heading1"/>
      </w:pPr>
      <w:r>
        <w:t>第一条 定义</w:t>
      </w:r>
    </w:p>
    <w:p>
      <w:r>
        <w:t>1.1 "产品"指本协议附件一列明的由甲方注册或备案、由乙方受托生产的医疗器械。</w:t>
      </w:r>
    </w:p>
    <w:p>
      <w:r>
        <w:t>1.2 "规范"指《医疗器械生产质量管理规范》及其附录。</w:t>
      </w:r>
    </w:p>
    <w:p>
      <w:pPr>
        <w:pStyle w:val="Heading1"/>
      </w:pPr>
      <w:r>
        <w:t>第二条 委托范围</w:t>
      </w:r>
    </w:p>
    <w:p>
      <w:r>
        <w:t>2.1 甲方委托乙方生产附件一所列全部型号产品。</w:t>
      </w:r>
    </w:p>
    <w:p>
      <w:r>
        <w:t>2.2 乙方接受甲方委托，并保证其生产许可范围覆盖全部受托产品。</w:t>
      </w:r>
    </w:p>
    <w:p>
      <w:pPr>
        <w:pStyle w:val="Heading1"/>
      </w:pPr>
      <w:r>
        <w:t>第三条 双方资质</w:t>
      </w:r>
    </w:p>
    <w:p>
      <w:r>
        <w:t>3.1 甲方持有全部产品的注册证或备案凭证，并保证其真实有效。</w:t>
      </w:r>
    </w:p>
    <w:p>
      <w:r>
        <w:t>3.2 乙方持有覆盖受托产品的医疗器械生产许可证。</w:t>
      </w:r>
    </w:p>
    <w:p>
      <w:r>
        <w:t>3.3 任一方资质失效的，应于失效之日起停止相关产品生产并及时书面通知对方。</w:t>
      </w:r>
    </w:p>
    <w:p>
      <w:pPr>
        <w:pStyle w:val="Heading1"/>
      </w:pPr>
      <w:r>
        <w:t>第四条 质量管理体系</w:t>
      </w:r>
    </w:p>
    <w:p>
      <w:r>
        <w:t>4.1 乙方应建立并保持与受托产品相适应的质量管理体系。</w:t>
      </w:r>
    </w:p>
    <w:p>
      <w:r>
        <w:t>4.2 乙方应配合甲方每年不少于一次的质量体系审核。</w:t>
      </w:r>
    </w:p>
    <w:p>
      <w:r>
        <w:t>4.3 甲方审核中发现重大缺陷的，乙方应在30日内完成整改。</w:t>
      </w:r>
    </w:p>
    <w:p>
      <w:r>
        <w:t>4.4 乙方质量负责人变更应提前书面通知甲方。</w:t>
      </w:r>
    </w:p>
    <w:p>
      <w:pPr>
        <w:pStyle w:val="Heading1"/>
      </w:pPr>
      <w:r>
        <w:t>第五条 生产管理</w:t>
      </w:r>
    </w:p>
    <w:p>
      <w:r>
        <w:t>5.1 乙方应按注册的产品技术要求和经甲方确认的工艺文件组织生产。</w:t>
      </w:r>
    </w:p>
    <w:p>
      <w:r>
        <w:t>5.2 生产前乙方应完成首件确认，首件未经甲方书面批准不得批量生产。</w:t>
      </w:r>
    </w:p>
    <w:p>
      <w:r>
        <w:t>5.3 批生产记录应实时填写，不得事后补记。</w:t>
      </w:r>
    </w:p>
    <w:p>
      <w:r>
        <w:t>5.4 生产偏差应记录、评估并经质量负责人批准后方可放行。</w:t>
      </w:r>
    </w:p>
    <w:p>
      <w:pPr>
        <w:pStyle w:val="Heading1"/>
      </w:pPr>
      <w:r>
        <w:t>第六条 物料管理</w:t>
      </w:r>
    </w:p>
    <w:p>
      <w:r>
        <w:t>6.1 A类关键物料由甲方指定供应商，乙方不得擅自更换。</w:t>
      </w:r>
    </w:p>
    <w:p>
      <w:r>
        <w:t>6.2 B类一般物料由乙方自行采购，采购标准报甲方备案。</w:t>
      </w:r>
    </w:p>
    <w:p>
      <w:r>
        <w:t>6.3 进厂物料应经检验或验证合格后方可投入使用。</w:t>
      </w:r>
    </w:p>
    <w:p>
      <w:r>
        <w:t>6.4 不合格物料应隔离存放并作标识。</w:t>
      </w:r>
    </w:p>
    <w:p>
      <w:r>
        <w:t>6.5 物料的贮存条件应满足其稳定性要求。</w:t>
      </w:r>
    </w:p>
    <w:p>
      <w:pPr>
        <w:pStyle w:val="Heading1"/>
      </w:pPr>
      <w:r>
        <w:t>第七条 设备与场地</w:t>
      </w:r>
    </w:p>
    <w:p>
      <w:r>
        <w:t>7.1 乙方用于受托生产的场地、设备不得用于第三方同类产品生产。</w:t>
      </w:r>
    </w:p>
    <w:p>
      <w:r>
        <w:t>7.2 共线生产其他产品的，应有经验证的清场管理规程。</w:t>
      </w:r>
    </w:p>
    <w:p>
      <w:pPr>
        <w:pStyle w:val="Heading1"/>
      </w:pPr>
      <w:r>
        <w:t>第八条 人员</w:t>
      </w:r>
    </w:p>
    <w:p>
      <w:r>
        <w:t>8.1 乙方应配备与受托产品相适应的生产、检验人员。</w:t>
      </w:r>
    </w:p>
    <w:p>
      <w:r>
        <w:t>8.2 关键岗位人员应经培训考核合格并保持记录。</w:t>
      </w:r>
    </w:p>
    <w:p>
      <w:pPr>
        <w:pStyle w:val="Heading1"/>
      </w:pPr>
      <w:r>
        <w:t>第九条 质量控制</w:t>
      </w:r>
    </w:p>
    <w:p>
      <w:r>
        <w:t>9.1 乙方应按检验规程完成过程检验和出厂检验。</w:t>
      </w:r>
    </w:p>
    <w:p>
      <w:r>
        <w:t>9.2 检验仪器应定期校准并保存校准记录。</w:t>
      </w:r>
    </w:p>
    <w:p>
      <w:r>
        <w:t>9.3 检验用标准品、对照品的来源应合法可追溯。</w:t>
      </w:r>
    </w:p>
    <w:p>
      <w:pPr>
        <w:pStyle w:val="Heading1"/>
      </w:pPr>
      <w:r>
        <w:t>第十条 放行</w:t>
      </w:r>
    </w:p>
    <w:p>
      <w:r>
        <w:t>10.1 产品经乙方质量负责人签署放行意见并经甲方确认后方可交付。</w:t>
      </w:r>
    </w:p>
    <w:p>
      <w:pPr>
        <w:pStyle w:val="Heading1"/>
      </w:pPr>
      <w:r>
        <w:t>第十一条 留样与稳定性</w:t>
      </w:r>
    </w:p>
    <w:p>
      <w:r>
        <w:t>11.1 每批产品应留样，留样量满足全检需要。</w:t>
      </w:r>
    </w:p>
    <w:p>
      <w:r>
        <w:t>11.2 乙方应按年度开展产品稳定性考察。</w:t>
      </w:r>
    </w:p>
    <w:p>
      <w:pPr>
        <w:pStyle w:val="Heading1"/>
      </w:pPr>
      <w:r>
        <w:t>第十二条 返工</w:t>
      </w:r>
    </w:p>
    <w:p>
      <w:r>
        <w:t>12.1 需返工的批次应制定返工方案并报甲方书面同意。</w:t>
      </w:r>
    </w:p>
    <w:p>
      <w:r>
        <w:t>12.2 返工批次应重新检验并单独记录。</w:t>
      </w:r>
    </w:p>
    <w:p>
      <w:pPr>
        <w:pStyle w:val="Heading1"/>
      </w:pPr>
      <w:r>
        <w:t>第十三条 不合格品</w:t>
      </w:r>
    </w:p>
    <w:p>
      <w:r>
        <w:t>13.1 不合格品的处置方式（返工、降级、销毁）须经甲方确认。</w:t>
      </w:r>
    </w:p>
    <w:p>
      <w:pPr>
        <w:pStyle w:val="Heading1"/>
      </w:pPr>
      <w:r>
        <w:t>第十四条 不良事件</w:t>
      </w:r>
    </w:p>
    <w:p>
      <w:r>
        <w:t>14.1 乙方获知可能与受托产品有关的不良事件的，应在24小时内通报甲方。</w:t>
      </w:r>
    </w:p>
    <w:p>
      <w:r>
        <w:t>14.2 甲方负责不良事件的监测和上报义务。</w:t>
      </w:r>
    </w:p>
    <w:p>
      <w:pPr>
        <w:pStyle w:val="Heading1"/>
      </w:pPr>
      <w:r>
        <w:t>第十五条 召回</w:t>
      </w:r>
    </w:p>
    <w:p>
      <w:r>
        <w:t>15.1 甲方决定实施召回的，乙方应配合提供批次生产、销售流向等记录。</w:t>
      </w:r>
    </w:p>
    <w:p>
      <w:r>
        <w:t>15.2 因乙方生产原因导致的召回，乙方向甲方承担赔偿责任。</w:t>
      </w:r>
    </w:p>
    <w:p>
      <w:pPr>
        <w:pStyle w:val="Heading1"/>
      </w:pPr>
      <w:r>
        <w:t>第十六条 监管检查</w:t>
      </w:r>
    </w:p>
    <w:p>
      <w:r>
        <w:t>16.1 监管部门对乙方开展的延伸检查，乙方应提前通知甲方并允许甲方代表列席。</w:t>
      </w:r>
    </w:p>
    <w:p>
      <w:r>
        <w:t>16.2 检查发现的缺陷涉及产品安全的，乙方应立即暂停相关批次放行。</w:t>
      </w:r>
    </w:p>
    <w:p>
      <w:pPr>
        <w:pStyle w:val="Heading1"/>
      </w:pPr>
      <w:r>
        <w:t>第十七条 上市后追溯</w:t>
      </w:r>
    </w:p>
    <w:p>
      <w:r>
        <w:t>17.1 乙方应保证批记录完整，满足产品追溯要求。</w:t>
      </w:r>
    </w:p>
    <w:p>
      <w:pPr>
        <w:pStyle w:val="Heading1"/>
      </w:pPr>
      <w:r>
        <w:t>第十八条 价格</w:t>
      </w:r>
    </w:p>
    <w:p>
      <w:r>
        <w:t>18.1 各型号产品单价见附件二《价格表》，每年度可协商调整一次。</w:t>
      </w:r>
    </w:p>
    <w:p>
      <w:pPr>
        <w:pStyle w:val="Heading1"/>
      </w:pPr>
      <w:r>
        <w:t>第十九条 订单</w:t>
      </w:r>
    </w:p>
    <w:p>
      <w:r>
        <w:t>19.1 甲方以书面订单形式下达生产需求，乙方应在3个工作日内确认。</w:t>
      </w:r>
    </w:p>
    <w:p>
      <w:r>
        <w:t>19.2 乙方逾期未确认的视为接受订单。</w:t>
      </w:r>
    </w:p>
    <w:p>
      <w:pPr>
        <w:pStyle w:val="Heading1"/>
      </w:pPr>
      <w:r>
        <w:t>第二十条 付款</w:t>
      </w:r>
    </w:p>
    <w:p>
      <w:r>
        <w:t>20.1 甲方按季度支付已交付合格产品货款，付款条件为收到发票后90日内。</w:t>
      </w:r>
    </w:p>
    <w:p>
      <w:r>
        <w:t>20.2 双方对账不一致的，以乙方批放行记录及交付签收单为准。</w:t>
      </w:r>
    </w:p>
    <w:p>
      <w:pPr>
        <w:pStyle w:val="Heading1"/>
      </w:pPr>
      <w:r>
        <w:t>第二十一条 交付与运输</w:t>
      </w:r>
    </w:p>
    <w:p>
      <w:r>
        <w:t>21.1 交付地点为甲方指定仓库，运输方式由甲方指定承运商。</w:t>
      </w:r>
    </w:p>
    <w:p>
      <w:r>
        <w:t>21.2 交付时乙方应随货提供批检验报告。</w:t>
      </w:r>
    </w:p>
    <w:p>
      <w:pPr>
        <w:pStyle w:val="Heading1"/>
      </w:pPr>
      <w:r>
        <w:t>第二十二条 包装标签</w:t>
      </w:r>
    </w:p>
    <w:p>
      <w:r>
        <w:t>22.1 产品最小销售单元的标签内容应以甲方注册备案的标签样式为准。</w:t>
      </w:r>
    </w:p>
    <w:p>
      <w:pPr>
        <w:pStyle w:val="Heading1"/>
      </w:pPr>
      <w:r>
        <w:t>第二十三条 技术资料</w:t>
      </w:r>
    </w:p>
    <w:p>
      <w:r>
        <w:t>23.1 甲方提供的技术资料，乙方应专用于受托产品生产。</w:t>
      </w:r>
    </w:p>
    <w:p>
      <w:r>
        <w:t>23.2 合同终止后30日内，乙方应返还全部技术资料或按甲方要求销毁。</w:t>
      </w:r>
    </w:p>
    <w:p>
      <w:pPr>
        <w:pStyle w:val="Heading1"/>
      </w:pPr>
      <w:r>
        <w:t>第二十四条 知识产权</w:t>
      </w:r>
    </w:p>
    <w:p>
      <w:r>
        <w:t>24.1 产品注册证及注册资料项下的知识产权归甲方所有。</w:t>
      </w:r>
    </w:p>
    <w:p>
      <w:r>
        <w:t>24.2 乙方在受托生产中形成的工艺改进成果，归乙方所有。</w:t>
      </w:r>
    </w:p>
    <w:p>
      <w:r>
        <w:t>24.3 一方侵犯对方知识产权的，应赔偿对方全部损失。</w:t>
      </w:r>
    </w:p>
    <w:p>
      <w:pPr>
        <w:pStyle w:val="Heading1"/>
      </w:pPr>
      <w:r>
        <w:t>第二十五条 保密</w:t>
      </w:r>
    </w:p>
    <w:p>
      <w:r>
        <w:t>25.1 本协议项下保密义务涵盖双方披露的一切技术、商务信息。</w:t>
      </w:r>
    </w:p>
    <w:p>
      <w:r>
        <w:t>25.2 保密期限不受本协议有效期限制。</w:t>
      </w:r>
    </w:p>
    <w:p>
      <w:pPr>
        <w:pStyle w:val="Heading1"/>
      </w:pPr>
      <w:r>
        <w:t>第二十六条 转委托禁止</w:t>
      </w:r>
    </w:p>
    <w:p>
      <w:r>
        <w:t>26.1 未经甲方书面同意，乙方不得将受托生产任务全部或部分转委托。</w:t>
      </w:r>
    </w:p>
    <w:p>
      <w:pPr>
        <w:pStyle w:val="Heading1"/>
      </w:pPr>
      <w:r>
        <w:t>第二十七条 保险</w:t>
      </w:r>
    </w:p>
    <w:p>
      <w:r>
        <w:t>27.1 乙方应投保产品责任险，保额不低于人民币1000万元。</w:t>
      </w:r>
    </w:p>
    <w:p>
      <w:pPr>
        <w:pStyle w:val="Heading1"/>
      </w:pPr>
      <w:r>
        <w:t>第二十八条 违约责任</w:t>
      </w:r>
    </w:p>
    <w:p>
      <w:r>
        <w:t>28.1 乙方交付批次不合格的，应承担返工、更换费用及甲方直接损失。</w:t>
      </w:r>
    </w:p>
    <w:p>
      <w:r>
        <w:t>28.2 甲方逾期付款的，每逾期一日按欠付金额的10%支付违约金。</w:t>
      </w:r>
    </w:p>
    <w:p>
      <w:r>
        <w:t>28.3 乙方擅自转委托的，甲方有权立即解除协议并要求乙方支付年度采购额50%的违约金。</w:t>
      </w:r>
    </w:p>
    <w:p>
      <w:pPr>
        <w:pStyle w:val="Heading1"/>
      </w:pPr>
      <w:r>
        <w:t>第二十九条 协议解除</w:t>
      </w:r>
    </w:p>
    <w:p>
      <w:r>
        <w:t>29.1 双方协商一致可解除本协议。</w:t>
      </w:r>
    </w:p>
    <w:p>
      <w:r>
        <w:t>29.2 乙方生产许可证被吊销的，本协议自动终止。</w:t>
      </w:r>
    </w:p>
    <w:p>
      <w:r>
        <w:t>29.3 一方严重违约的，守约方有权解除协议。</w:t>
      </w:r>
    </w:p>
    <w:p>
      <w:pPr>
        <w:pStyle w:val="Heading1"/>
      </w:pPr>
      <w:r>
        <w:t>第三十条 终止后义务</w:t>
      </w:r>
    </w:p>
    <w:p>
      <w:r>
        <w:t>30.1 协议终止后，乙方应继续履行在途订单、记录保存及保密义务。</w:t>
      </w:r>
    </w:p>
    <w:p>
      <w:pPr>
        <w:pStyle w:val="Heading1"/>
      </w:pPr>
      <w:r>
        <w:t>第三十一条 责任限制</w:t>
      </w:r>
    </w:p>
    <w:p>
      <w:r>
        <w:t>31.1 乙方对甲方的赔偿责任以本协议项下上一年度结算金额为上限。</w:t>
      </w:r>
    </w:p>
    <w:p>
      <w:r>
        <w:t>31.2 因产品质量造成人身损害的，不受前款限制。</w:t>
      </w:r>
    </w:p>
    <w:p>
      <w:pPr>
        <w:pStyle w:val="Heading1"/>
      </w:pPr>
      <w:r>
        <w:t>第三十二条 不可抗力</w:t>
      </w:r>
    </w:p>
    <w:p>
      <w:r>
        <w:t>32.1 因不可抗力不能履行义务的一方应在3日内通知对方并提供证明。</w:t>
      </w:r>
    </w:p>
    <w:p>
      <w:pPr>
        <w:pStyle w:val="Heading1"/>
      </w:pPr>
      <w:r>
        <w:t>第三十三条 通知</w:t>
      </w:r>
    </w:p>
    <w:p>
      <w:r>
        <w:t>33.1 书面通知送达以本协议签署页载明的地址为准，地址变更应提前书面告知。</w:t>
      </w:r>
    </w:p>
    <w:p>
      <w:pPr>
        <w:pStyle w:val="Heading1"/>
      </w:pPr>
      <w:r>
        <w:t>第三十四条 争议解决</w:t>
      </w:r>
    </w:p>
    <w:p>
      <w:r>
        <w:t>34.1 因本协议引起的争议，双方应先协商；协商不成的，提交中国国际经济贸易仲裁委员会仲裁，或向原告所在地人民法院起诉。</w:t>
      </w:r>
    </w:p>
    <w:p>
      <w:pPr>
        <w:pStyle w:val="Heading1"/>
      </w:pPr>
      <w:r>
        <w:t>第三十五条 适用法律</w:t>
      </w:r>
    </w:p>
    <w:p>
      <w:r>
        <w:t>35.1 本协议适用中华人民共和国法律。</w:t>
      </w:r>
    </w:p>
    <w:p>
      <w:pPr>
        <w:pStyle w:val="Heading1"/>
      </w:pPr>
      <w:r>
        <w:t>第三十六条 生效与期限</w:t>
      </w:r>
    </w:p>
    <w:p>
      <w:r>
        <w:t>36.1 本协议自双方盖章之日起生效，有效期5年。</w:t>
      </w:r>
    </w:p>
    <w:p>
      <w:pPr>
        <w:pStyle w:val="Heading1"/>
      </w:pPr>
      <w:r>
        <w:t>第三十七条 文本</w:t>
      </w:r>
    </w:p>
    <w:p>
      <w:r>
        <w:t>37.1 本协议一式六份，双方各执三份。</w:t>
      </w:r>
    </w:p>
    <w:p>
      <w:pPr>
        <w:pStyle w:val="Heading1"/>
      </w:pPr>
      <w:r>
        <w:t>第三十八条 附件</w:t>
      </w:r>
    </w:p>
    <w:p>
      <w:r>
        <w:t>38.1 附件一《委托生产产品明细》、附件二《价格表》、附件三《质量标准与验收项目表》为本协议组成部分。</w:t>
      </w:r>
    </w:p>
    <w:p>
      <w:pPr>
        <w:pStyle w:val="Heading1"/>
      </w:pPr>
      <w:r>
        <w:t>第三十九条 未尽事宜</w:t>
      </w:r>
    </w:p>
    <w:p>
      <w:r>
        <w:t>39.1 未尽事宜由双方另行签订补充协议。</w:t>
      </w:r>
    </w:p>
    <w:p>
      <w:pPr>
        <w:pStyle w:val="Heading1"/>
      </w:pPr>
      <w:r>
        <w:t>第四十条 签署</w:t>
      </w:r>
    </w:p>
    <w:p>
      <w:r>
        <w:t>40.1 本协议由双方法定代表人或授权代表签署。</w:t>
      </w:r>
    </w:p>
    <w:p>
      <w:pPr>
        <w:pStyle w:val="Heading1"/>
      </w:pPr>
      <w:r>
        <w:t>第四十一条 语言</w:t>
      </w:r>
    </w:p>
    <w:p>
      <w:r>
        <w:t>41.1 本协议以中文书就，其他语言版本仅供参考。</w:t>
      </w:r>
    </w:p>
    <w:p>
      <w:pPr>
        <w:pStyle w:val="Heading1"/>
      </w:pPr>
      <w:r>
        <w:t>第四十二条 可分割性</w:t>
      </w:r>
    </w:p>
    <w:p>
      <w:r>
        <w:t>42.1 本协议任一条款被认定无效的，不影响其他条款的效力。</w:t>
      </w:r>
    </w:p>
    <w:p>
      <w:pPr>
        <w:pStyle w:val="Heading1"/>
      </w:pPr>
      <w:r>
        <w:t>第四十三条 完整协议</w:t>
      </w:r>
    </w:p>
    <w:p>
      <w:r>
        <w:t>43.1 本协议及附件构成双方就委托生产事宜的完整约定。</w:t>
      </w:r>
    </w:p>
    <w:p>
      <w:pPr>
        <w:pStyle w:val="Heading1"/>
      </w:pPr>
      <w:r>
        <w:t>第四十四条 修订</w:t>
      </w:r>
    </w:p>
    <w:p>
      <w:r>
        <w:t>44.1 本协议的修订须经双方书面同意。</w:t>
      </w:r>
    </w:p>
    <w:p>
      <w:pPr>
        <w:pStyle w:val="Heading1"/>
      </w:pPr>
      <w:r>
        <w:t>第四十五条 副本效力</w:t>
      </w:r>
    </w:p>
    <w:p>
      <w:r>
        <w:t>45.1 双方以传真或扫描方式交换的本协议文本与原件具有同等效力。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甲方（盖章）：</w:t>
            </w:r>
          </w:p>
        </w:tc>
        <w:tc>
          <w:tcPr>
            <w:tcW w:type="dxa" w:w="4320"/>
          </w:tcPr>
          <w:p>
            <w:r>
              <w:t>乙方（盖章）：</w:t>
            </w:r>
          </w:p>
        </w:tc>
      </w:tr>
      <w:tr>
        <w:tc>
          <w:tcPr>
            <w:tcW w:type="dxa" w:w="4320"/>
          </w:tcPr>
          <w:p>
            <w:r>
              <w:t>法定代表人（签字）：</w:t>
            </w:r>
          </w:p>
        </w:tc>
        <w:tc>
          <w:tcPr>
            <w:tcW w:type="dxa" w:w="4320"/>
          </w:tcPr>
          <w:p>
            <w:r>
              <w:t>法定代表人（签字）：</w:t>
            </w:r>
          </w:p>
        </w:tc>
      </w:tr>
      <w:tr>
        <w:tc>
          <w:tcPr>
            <w:tcW w:type="dxa" w:w="4320"/>
          </w:tcPr>
          <w:p>
            <w:r>
              <w:t>日期：    年  月  日</w:t>
            </w:r>
          </w:p>
        </w:tc>
        <w:tc>
          <w:tcPr>
            <w:tcW w:type="dxa" w:w="4320"/>
          </w:tcPr>
          <w:p>
            <w:r>
              <w:t>日期：    年  月  日</w:t>
            </w:r>
          </w:p>
        </w:tc>
      </w:tr>
    </w:tbl>
    <w:p/>
    <w:p>
      <w:pPr>
        <w:pStyle w:val="Heading1"/>
      </w:pPr>
      <w:r>
        <w:t>附件一 委托生产产品明细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产品名称</w:t>
            </w:r>
          </w:p>
        </w:tc>
        <w:tc>
          <w:tcPr>
            <w:tcW w:type="dxa" w:w="1728"/>
          </w:tcPr>
          <w:p>
            <w:r>
              <w:t>型号</w:t>
            </w:r>
          </w:p>
        </w:tc>
        <w:tc>
          <w:tcPr>
            <w:tcW w:type="dxa" w:w="1728"/>
          </w:tcPr>
          <w:p>
            <w:r>
              <w:t>注册证号/备案号</w:t>
            </w:r>
          </w:p>
        </w:tc>
        <w:tc>
          <w:tcPr>
            <w:tcW w:type="dxa" w:w="1728"/>
          </w:tcPr>
          <w:p>
            <w:r>
              <w:t>管理类别</w:t>
            </w:r>
          </w:p>
        </w:tc>
        <w:tc>
          <w:tcPr>
            <w:tcW w:type="dxa" w:w="1728"/>
          </w:tcPr>
          <w:p>
            <w:r>
              <w:t>年预估量</w:t>
            </w:r>
          </w:p>
        </w:tc>
      </w:tr>
      <w:tr>
        <w:tc>
          <w:tcPr>
            <w:tcW w:type="dxa" w:w="1728"/>
          </w:tcPr>
          <w:p>
            <w:r>
              <w:t>金属接骨板</w:t>
            </w:r>
          </w:p>
        </w:tc>
        <w:tc>
          <w:tcPr>
            <w:tcW w:type="dxa" w:w="1728"/>
          </w:tcPr>
          <w:p>
            <w:r>
              <w:t>JP-A型</w:t>
            </w:r>
          </w:p>
        </w:tc>
        <w:tc>
          <w:tcPr>
            <w:tcW w:type="dxa" w:w="1728"/>
          </w:tcPr>
          <w:p>
            <w:r>
              <w:t>国械注准2022XXXXXXX</w:t>
            </w:r>
          </w:p>
        </w:tc>
        <w:tc>
          <w:tcPr>
            <w:tcW w:type="dxa" w:w="1728"/>
          </w:tcPr>
          <w:p>
            <w:r>
              <w:t>三类</w:t>
            </w:r>
          </w:p>
        </w:tc>
        <w:tc>
          <w:tcPr>
            <w:tcW w:type="dxa" w:w="1728"/>
          </w:tcPr>
          <w:p>
            <w:r>
              <w:t>50,000件</w:t>
            </w:r>
          </w:p>
        </w:tc>
      </w:tr>
      <w:tr>
        <w:tc>
          <w:tcPr>
            <w:tcW w:type="dxa" w:w="1728"/>
          </w:tcPr>
          <w:p>
            <w:r>
              <w:t>金属接骨螺钉</w:t>
            </w:r>
          </w:p>
        </w:tc>
        <w:tc>
          <w:tcPr>
            <w:tcW w:type="dxa" w:w="1728"/>
          </w:tcPr>
          <w:p>
            <w:r>
              <w:t>LS-B型</w:t>
            </w:r>
          </w:p>
        </w:tc>
        <w:tc>
          <w:tcPr>
            <w:tcW w:type="dxa" w:w="1728"/>
          </w:tcPr>
          <w:p>
            <w:r>
              <w:t>国械注准2022XXXXXXX</w:t>
            </w:r>
          </w:p>
        </w:tc>
        <w:tc>
          <w:tcPr>
            <w:tcW w:type="dxa" w:w="1728"/>
          </w:tcPr>
          <w:p>
            <w:r>
              <w:t>三类</w:t>
            </w:r>
          </w:p>
        </w:tc>
        <w:tc>
          <w:tcPr>
            <w:tcW w:type="dxa" w:w="1728"/>
          </w:tcPr>
          <w:p>
            <w:r>
              <w:t>200,000件</w:t>
            </w:r>
          </w:p>
        </w:tc>
      </w:tr>
      <w:tr>
        <w:tc>
          <w:tcPr>
            <w:tcW w:type="dxa" w:w="1728"/>
          </w:tcPr>
          <w:p>
            <w:r>
              <w:t>髓内钉</w:t>
            </w:r>
          </w:p>
        </w:tc>
        <w:tc>
          <w:tcPr>
            <w:tcW w:type="dxa" w:w="1728"/>
          </w:tcPr>
          <w:p>
            <w:r>
              <w:t>MN-C型</w:t>
            </w:r>
          </w:p>
        </w:tc>
        <w:tc>
          <w:tcPr>
            <w:tcW w:type="dxa" w:w="1728"/>
          </w:tcPr>
          <w:p>
            <w:r>
              <w:t>国械注进2023XXXXXXX</w:t>
            </w:r>
          </w:p>
        </w:tc>
        <w:tc>
          <w:tcPr>
            <w:tcW w:type="dxa" w:w="1728"/>
          </w:tcPr>
          <w:p>
            <w:r>
              <w:t>三类</w:t>
            </w:r>
          </w:p>
        </w:tc>
        <w:tc>
          <w:tcPr>
            <w:tcW w:type="dxa" w:w="1728"/>
          </w:tcPr>
          <w:p>
            <w:r>
              <w:t>8,000件</w:t>
            </w:r>
          </w:p>
        </w:tc>
      </w:tr>
      <w:tr>
        <w:tc>
          <w:tcPr>
            <w:tcW w:type="dxa" w:w="1728"/>
          </w:tcPr>
          <w:p>
            <w:r>
              <w:t>骨科固定器</w:t>
            </w:r>
          </w:p>
        </w:tc>
        <w:tc>
          <w:tcPr>
            <w:tcW w:type="dxa" w:w="1728"/>
          </w:tcPr>
          <w:p>
            <w:r>
              <w:t>GD-D型</w:t>
            </w:r>
          </w:p>
        </w:tc>
        <w:tc>
          <w:tcPr>
            <w:tcW w:type="dxa" w:w="1728"/>
          </w:tcPr>
          <w:p>
            <w:r>
              <w:t>苏械注准2021XXXXXX</w:t>
            </w:r>
          </w:p>
        </w:tc>
        <w:tc>
          <w:tcPr>
            <w:tcW w:type="dxa" w:w="1728"/>
          </w:tcPr>
          <w:p>
            <w:r>
              <w:t>二类</w:t>
            </w:r>
          </w:p>
        </w:tc>
        <w:tc>
          <w:tcPr>
            <w:tcW w:type="dxa" w:w="1728"/>
          </w:tcPr>
          <w:p>
            <w:r>
              <w:t>30,000件</w:t>
            </w:r>
          </w:p>
        </w:tc>
      </w:tr>
      <w:tr>
        <w:tc>
          <w:tcPr>
            <w:tcW w:type="dxa" w:w="1728"/>
          </w:tcPr>
          <w:p>
            <w:r>
              <w:t>一次性使用手术器械包</w:t>
            </w:r>
          </w:p>
        </w:tc>
        <w:tc>
          <w:tcPr>
            <w:tcW w:type="dxa" w:w="1728"/>
          </w:tcPr>
          <w:p>
            <w:r>
              <w:t>SQ-E型</w:t>
            </w:r>
          </w:p>
        </w:tc>
        <w:tc>
          <w:tcPr>
            <w:tcW w:type="dxa" w:w="1728"/>
          </w:tcPr>
          <w:p>
            <w:r>
              <w:t>苏械注准2021XXXXXX</w:t>
            </w:r>
          </w:p>
        </w:tc>
        <w:tc>
          <w:tcPr>
            <w:tcW w:type="dxa" w:w="1728"/>
          </w:tcPr>
          <w:p>
            <w:r>
              <w:t>二类</w:t>
            </w:r>
          </w:p>
        </w:tc>
        <w:tc>
          <w:tcPr>
            <w:tcW w:type="dxa" w:w="1728"/>
          </w:tcPr>
          <w:p>
            <w:r>
              <w:t>60,000套</w:t>
            </w:r>
          </w:p>
        </w:tc>
      </w:tr>
      <w:tr>
        <w:tc>
          <w:tcPr>
            <w:tcW w:type="dxa" w:w="1728"/>
          </w:tcPr>
          <w:p>
            <w:r>
              <w:t>骨科植入物配套工具</w:t>
            </w:r>
          </w:p>
        </w:tc>
        <w:tc>
          <w:tcPr>
            <w:tcW w:type="dxa" w:w="1728"/>
          </w:tcPr>
          <w:p>
            <w:r>
              <w:t>GJ-F型</w:t>
            </w:r>
          </w:p>
        </w:tc>
        <w:tc>
          <w:tcPr>
            <w:tcW w:type="dxa" w:w="1728"/>
          </w:tcPr>
          <w:p>
            <w:r>
              <w:t>____备案号待补____</w:t>
            </w:r>
          </w:p>
        </w:tc>
        <w:tc>
          <w:tcPr>
            <w:tcW w:type="dxa" w:w="1728"/>
          </w:tcPr>
          <w:p>
            <w:r>
              <w:t>一类</w:t>
            </w:r>
          </w:p>
        </w:tc>
        <w:tc>
          <w:tcPr>
            <w:tcW w:type="dxa" w:w="1728"/>
          </w:tcPr>
          <w:p>
            <w:r>
              <w:t>2,000套</w:t>
            </w:r>
          </w:p>
        </w:tc>
      </w:tr>
    </w:tbl>
    <w:p/>
    <w:p>
      <w:pPr>
        <w:pStyle w:val="Heading1"/>
      </w:pPr>
      <w:r>
        <w:t>附件二 价格表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产品名称</w:t>
            </w:r>
          </w:p>
        </w:tc>
        <w:tc>
          <w:tcPr>
            <w:tcW w:type="dxa" w:w="2160"/>
          </w:tcPr>
          <w:p>
            <w:r>
              <w:t>含税单价</w:t>
            </w:r>
          </w:p>
        </w:tc>
        <w:tc>
          <w:tcPr>
            <w:tcW w:type="dxa" w:w="2160"/>
          </w:tcPr>
          <w:p>
            <w:r>
              <w:t>结算方式</w:t>
            </w:r>
          </w:p>
        </w:tc>
        <w:tc>
          <w:tcPr>
            <w:tcW w:type="dxa" w:w="2160"/>
          </w:tcPr>
          <w:p>
            <w:r>
              <w:t>备注</w:t>
            </w:r>
          </w:p>
        </w:tc>
      </w:tr>
      <w:tr>
        <w:tc>
          <w:tcPr>
            <w:tcW w:type="dxa" w:w="2160"/>
          </w:tcPr>
          <w:p>
            <w:r>
              <w:t>金属接骨板</w:t>
            </w:r>
          </w:p>
        </w:tc>
        <w:tc>
          <w:tcPr>
            <w:tcW w:type="dxa" w:w="2160"/>
          </w:tcPr>
          <w:p>
            <w:r>
              <w:t>￥860.00/件</w:t>
            </w:r>
          </w:p>
        </w:tc>
        <w:tc>
          <w:tcPr>
            <w:tcW w:type="dxa" w:w="2160"/>
          </w:tcPr>
          <w:p>
            <w:r>
              <w:t>按季结算</w:t>
            </w:r>
          </w:p>
        </w:tc>
        <w:tc>
          <w:tcPr>
            <w:tcW w:type="dxa" w:w="2160"/>
          </w:tcPr>
          <w:p>
            <w:r>
              <w:t>含加工费</w:t>
            </w:r>
          </w:p>
        </w:tc>
      </w:tr>
      <w:tr>
        <w:tc>
          <w:tcPr>
            <w:tcW w:type="dxa" w:w="2160"/>
          </w:tcPr>
          <w:p>
            <w:r>
              <w:t>金属接骨螺钉</w:t>
            </w:r>
          </w:p>
        </w:tc>
        <w:tc>
          <w:tcPr>
            <w:tcW w:type="dxa" w:w="2160"/>
          </w:tcPr>
          <w:p>
            <w:r>
              <w:t>￥95.00/件</w:t>
            </w:r>
          </w:p>
        </w:tc>
        <w:tc>
          <w:tcPr>
            <w:tcW w:type="dxa" w:w="2160"/>
          </w:tcPr>
          <w:p>
            <w:r>
              <w:t>按季结算</w:t>
            </w:r>
          </w:p>
        </w:tc>
        <w:tc>
          <w:tcPr>
            <w:tcW w:type="dxa" w:w="2160"/>
          </w:tcPr>
          <w:p>
            <w:r>
              <w:t>含加工费</w:t>
            </w:r>
          </w:p>
        </w:tc>
      </w:tr>
      <w:tr>
        <w:tc>
          <w:tcPr>
            <w:tcW w:type="dxa" w:w="2160"/>
          </w:tcPr>
          <w:p>
            <w:r>
              <w:t>髓内钉</w:t>
            </w:r>
          </w:p>
        </w:tc>
        <w:tc>
          <w:tcPr>
            <w:tcW w:type="dxa" w:w="2160"/>
          </w:tcPr>
          <w:p>
            <w:r>
              <w:t>￥1,280.00/件</w:t>
            </w:r>
          </w:p>
        </w:tc>
        <w:tc>
          <w:tcPr>
            <w:tcW w:type="dxa" w:w="2160"/>
          </w:tcPr>
          <w:p>
            <w:r>
              <w:t>按季结算</w:t>
            </w:r>
          </w:p>
        </w:tc>
        <w:tc>
          <w:tcPr>
            <w:tcW w:type="dxa" w:w="2160"/>
          </w:tcPr>
          <w:p>
            <w:r>
              <w:t>进口原料</w:t>
            </w:r>
          </w:p>
        </w:tc>
      </w:tr>
      <w:tr>
        <w:tc>
          <w:tcPr>
            <w:tcW w:type="dxa" w:w="2160"/>
          </w:tcPr>
          <w:p>
            <w:r>
              <w:t>一次性使用手术器械包</w:t>
            </w:r>
          </w:p>
        </w:tc>
        <w:tc>
          <w:tcPr>
            <w:tcW w:type="dxa" w:w="2160"/>
          </w:tcPr>
          <w:p>
            <w:r>
              <w:t>￥126.00/套</w:t>
            </w:r>
          </w:p>
        </w:tc>
        <w:tc>
          <w:tcPr>
            <w:tcW w:type="dxa" w:w="2160"/>
          </w:tcPr>
          <w:p>
            <w:r>
              <w:t>按季结算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/>
    <w:p>
      <w:pPr>
        <w:pStyle w:val="Heading1"/>
      </w:pPr>
      <w:r>
        <w:t>附件三 质量标准与验收项目表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产品</w:t>
            </w:r>
          </w:p>
        </w:tc>
        <w:tc>
          <w:tcPr>
            <w:tcW w:type="dxa" w:w="2160"/>
          </w:tcPr>
          <w:p>
            <w:r>
              <w:t>检验项目</w:t>
            </w:r>
          </w:p>
        </w:tc>
        <w:tc>
          <w:tcPr>
            <w:tcW w:type="dxa" w:w="2160"/>
          </w:tcPr>
          <w:p>
            <w:r>
              <w:t>标准要求</w:t>
            </w:r>
          </w:p>
        </w:tc>
        <w:tc>
          <w:tcPr>
            <w:tcW w:type="dxa" w:w="2160"/>
          </w:tcPr>
          <w:p>
            <w:r>
              <w:t>检验方法</w:t>
            </w:r>
          </w:p>
        </w:tc>
      </w:tr>
      <w:tr>
        <w:tc>
          <w:tcPr>
            <w:tcW w:type="dxa" w:w="2160"/>
          </w:tcPr>
          <w:p>
            <w:r>
              <w:t>金属接骨板</w:t>
            </w:r>
          </w:p>
        </w:tc>
        <w:tc>
          <w:tcPr>
            <w:tcW w:type="dxa" w:w="2160"/>
          </w:tcPr>
          <w:p>
            <w:r>
              <w:t>表面质量</w:t>
            </w:r>
          </w:p>
        </w:tc>
        <w:tc>
          <w:tcPr>
            <w:tcW w:type="dxa" w:w="2160"/>
          </w:tcPr>
          <w:p>
            <w:r>
              <w:t>无裂纹、无毛刺</w:t>
            </w:r>
          </w:p>
        </w:tc>
        <w:tc>
          <w:tcPr>
            <w:tcW w:type="dxa" w:w="2160"/>
          </w:tcPr>
          <w:p>
            <w:r>
              <w:t>目测/放大镜</w:t>
            </w:r>
          </w:p>
        </w:tc>
      </w:tr>
      <w:tr>
        <w:tc>
          <w:tcPr>
            <w:tcW w:type="dxa" w:w="2160"/>
          </w:tcPr>
          <w:p>
            <w:r>
              <w:t>金属接骨板</w:t>
            </w:r>
          </w:p>
        </w:tc>
        <w:tc>
          <w:tcPr>
            <w:tcW w:type="dxa" w:w="2160"/>
          </w:tcPr>
          <w:p>
            <w:r>
              <w:t>尺寸公差</w:t>
            </w:r>
          </w:p>
        </w:tc>
        <w:tc>
          <w:tcPr>
            <w:tcW w:type="dxa" w:w="2160"/>
          </w:tcPr>
          <w:p>
            <w:r>
              <w:t>符合图纸公差带</w:t>
            </w:r>
          </w:p>
        </w:tc>
        <w:tc>
          <w:tcPr>
            <w:tcW w:type="dxa" w:w="2160"/>
          </w:tcPr>
          <w:p>
            <w:r>
              <w:t>三坐标测量</w:t>
            </w:r>
          </w:p>
        </w:tc>
      </w:tr>
      <w:tr>
        <w:tc>
          <w:tcPr>
            <w:tcW w:type="dxa" w:w="2160"/>
          </w:tcPr>
          <w:p>
            <w:r>
              <w:t>金属接骨板</w:t>
            </w:r>
          </w:p>
        </w:tc>
        <w:tc>
          <w:tcPr>
            <w:tcW w:type="dxa" w:w="2160"/>
          </w:tcPr>
          <w:p>
            <w:r>
              <w:t>材料成分</w:t>
            </w:r>
          </w:p>
        </w:tc>
        <w:tc>
          <w:tcPr>
            <w:tcW w:type="dxa" w:w="2160"/>
          </w:tcPr>
          <w:p>
            <w:r>
              <w:t>符合TC4化学成分表</w:t>
            </w:r>
          </w:p>
        </w:tc>
        <w:tc>
          <w:tcPr>
            <w:tcW w:type="dxa" w:w="2160"/>
          </w:tcPr>
          <w:p>
            <w:r>
              <w:t>光谱分析</w:t>
            </w:r>
          </w:p>
        </w:tc>
      </w:tr>
      <w:tr>
        <w:tc>
          <w:tcPr>
            <w:tcW w:type="dxa" w:w="2160"/>
          </w:tcPr>
          <w:p>
            <w:r>
              <w:t>金属接骨螺钉</w:t>
            </w:r>
          </w:p>
        </w:tc>
        <w:tc>
          <w:tcPr>
            <w:tcW w:type="dxa" w:w="2160"/>
          </w:tcPr>
          <w:p>
            <w:r>
              <w:t>螺纹精度</w:t>
            </w:r>
          </w:p>
        </w:tc>
        <w:tc>
          <w:tcPr>
            <w:tcW w:type="dxa" w:w="2160"/>
          </w:tcPr>
          <w:p>
            <w:r>
              <w:t>符合6g级精度</w:t>
            </w:r>
          </w:p>
        </w:tc>
        <w:tc>
          <w:tcPr>
            <w:tcW w:type="dxa" w:w="2160"/>
          </w:tcPr>
          <w:p>
            <w:r>
              <w:t>螺纹规</w:t>
            </w:r>
          </w:p>
        </w:tc>
      </w:tr>
      <w:tr>
        <w:tc>
          <w:tcPr>
            <w:tcW w:type="dxa" w:w="2160"/>
          </w:tcPr>
          <w:p>
            <w:r>
              <w:t>金属接骨螺钉</w:t>
            </w:r>
          </w:p>
        </w:tc>
        <w:tc>
          <w:tcPr>
            <w:tcW w:type="dxa" w:w="2160"/>
          </w:tcPr>
          <w:p>
            <w:r>
              <w:t>硬度</w:t>
            </w:r>
          </w:p>
        </w:tc>
        <w:tc>
          <w:tcPr>
            <w:tcW w:type="dxa" w:w="2160"/>
          </w:tcPr>
          <w:p>
            <w:r>
              <w:t>HRC 32-38</w:t>
            </w:r>
          </w:p>
        </w:tc>
        <w:tc>
          <w:tcPr>
            <w:tcW w:type="dxa" w:w="2160"/>
          </w:tcPr>
          <w:p>
            <w:r>
              <w:t>硬度计</w:t>
            </w:r>
          </w:p>
        </w:tc>
      </w:tr>
      <w:tr>
        <w:tc>
          <w:tcPr>
            <w:tcW w:type="dxa" w:w="2160"/>
          </w:tcPr>
          <w:p>
            <w:r>
              <w:t>髓内钉</w:t>
            </w:r>
          </w:p>
        </w:tc>
        <w:tc>
          <w:tcPr>
            <w:tcW w:type="dxa" w:w="2160"/>
          </w:tcPr>
          <w:p>
            <w:r>
              <w:t>直线度</w:t>
            </w:r>
          </w:p>
        </w:tc>
        <w:tc>
          <w:tcPr>
            <w:tcW w:type="dxa" w:w="2160"/>
          </w:tcPr>
          <w:p>
            <w:r>
              <w:t>≤0.5mm/m</w:t>
            </w:r>
          </w:p>
        </w:tc>
        <w:tc>
          <w:tcPr>
            <w:tcW w:type="dxa" w:w="2160"/>
          </w:tcPr>
          <w:p>
            <w:r>
              <w:t>平台测量</w:t>
            </w:r>
          </w:p>
        </w:tc>
      </w:tr>
      <w:tr>
        <w:tc>
          <w:tcPr>
            <w:tcW w:type="dxa" w:w="2160"/>
          </w:tcPr>
          <w:p>
            <w:r>
              <w:t>手术器械包</w:t>
            </w:r>
          </w:p>
        </w:tc>
        <w:tc>
          <w:tcPr>
            <w:tcW w:type="dxa" w:w="2160"/>
          </w:tcPr>
          <w:p>
            <w:r>
              <w:t>无菌</w:t>
            </w:r>
          </w:p>
        </w:tc>
        <w:tc>
          <w:tcPr>
            <w:tcW w:type="dxa" w:w="2160"/>
          </w:tcPr>
          <w:p>
            <w:r>
              <w:t>无菌合格</w:t>
            </w:r>
          </w:p>
        </w:tc>
        <w:tc>
          <w:tcPr>
            <w:tcW w:type="dxa" w:w="2160"/>
          </w:tcPr>
          <w:p>
            <w:r>
              <w:t>药典法</w:t>
            </w:r>
          </w:p>
        </w:tc>
      </w:tr>
      <w:tr>
        <w:tc>
          <w:tcPr>
            <w:tcW w:type="dxa" w:w="2160"/>
          </w:tcPr>
          <w:p>
            <w:r>
              <w:t>手术器械包</w:t>
            </w:r>
          </w:p>
        </w:tc>
        <w:tc>
          <w:tcPr>
            <w:tcW w:type="dxa" w:w="2160"/>
          </w:tcPr>
          <w:p>
            <w:r>
              <w:t>环氧乙烷残留</w:t>
            </w:r>
          </w:p>
        </w:tc>
        <w:tc>
          <w:tcPr>
            <w:tcW w:type="dxa" w:w="2160"/>
          </w:tcPr>
          <w:p>
            <w:r>
              <w:t>≤10μg/g</w:t>
            </w:r>
          </w:p>
        </w:tc>
        <w:tc>
          <w:tcPr>
            <w:tcW w:type="dxa" w:w="2160"/>
          </w:tcPr>
          <w:p>
            <w:r>
              <w:t>气相色谱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