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医疗信息系统采购合同</w:t>
      </w:r>
    </w:p>
    <w:p>
      <w:r>
        <w:rPr>
          <w:b/>
        </w:rPr>
        <w:t>甲方：</w:t>
      </w:r>
      <w:r>
        <w:t>某某医院管理有限公司</w:t>
      </w:r>
    </w:p>
    <w:p>
      <w:r>
        <w:rPr>
          <w:b/>
        </w:rPr>
        <w:t>乙方：</w:t>
      </w:r>
      <w:r>
        <w:t>某某医疗信息科技有限公司</w:t>
      </w:r>
    </w:p>
    <w:p>
      <w:r>
        <w:t>（以下简称"双方"）</w:t>
      </w:r>
    </w:p>
    <w:p>
      <w:r>
        <w:t>甲方向乙方采购医院信息系统软件、硬件及相关服务，根据《中华人民共和国民法典》及相关法律法规，达成如下协议：</w:t>
      </w:r>
    </w:p>
    <w:p>
      <w:pPr>
        <w:pStyle w:val="Heading1"/>
      </w:pPr>
      <w:r>
        <w:t>第一条 采购内容</w:t>
      </w:r>
    </w:p>
    <w:p>
      <w:r>
        <w:t>1.1 甲方向乙方采购医院信息系统一套，含门急诊、住院、药房、检验、影像模块及配套服务器、网络设备，具体见附件一《系统与设备清单》。</w:t>
      </w:r>
    </w:p>
    <w:p>
      <w:pPr>
        <w:pStyle w:val="Heading1"/>
      </w:pPr>
      <w:r>
        <w:t>第二条 合同价款</w:t>
      </w:r>
    </w:p>
    <w:p>
      <w:r>
        <w:t>2.1 本合同总价款为￥6,800,000元。</w:t>
      </w:r>
    </w:p>
    <w:p>
      <w:r>
        <w:t>2.2 合同价款包含软件许可费、实施服务费、硬件价款、三年质保费。</w:t>
      </w:r>
    </w:p>
    <w:p>
      <w:r>
        <w:t>2.3 超出合同范围的需求变更另行计费，变更单价见附件二。</w:t>
      </w:r>
    </w:p>
    <w:p>
      <w:pPr>
        <w:pStyle w:val="Heading1"/>
      </w:pPr>
      <w:r>
        <w:t>第三条 付款方式</w:t>
      </w:r>
    </w:p>
    <w:p>
      <w:r>
        <w:t>3.1 合同生效后10个工作日内，甲方支付合同总价的50%预付款，即￥3,400,000元。</w:t>
      </w:r>
    </w:p>
    <w:p>
      <w:r>
        <w:t>3.2 系统上线验收合格后支付40%，终验合格后支付10%。</w:t>
      </w:r>
    </w:p>
    <w:p>
      <w:r>
        <w:t>3.3 乙方应在收款前开具等额增值税专用发票。</w:t>
      </w:r>
    </w:p>
    <w:p>
      <w:r>
        <w:t>3.4 甲方逾期付款的，不影响其对系统质量的验收权利。</w:t>
      </w:r>
    </w:p>
    <w:p>
      <w:pPr>
        <w:pStyle w:val="Heading1"/>
      </w:pPr>
      <w:r>
        <w:t>第四条 交付</w:t>
      </w:r>
    </w:p>
    <w:p>
      <w:r>
        <w:t>4.1 乙方应于合同生效后120日内完成全部硬件到货。</w:t>
      </w:r>
    </w:p>
    <w:p>
      <w:r>
        <w:t>4.2 乙方应于合同生效后180日内完成系统部署及试运行。</w:t>
      </w:r>
    </w:p>
    <w:p>
      <w:r>
        <w:t>4.3 交付地点为甲方指定机房。</w:t>
      </w:r>
    </w:p>
    <w:p>
      <w:pPr>
        <w:pStyle w:val="Heading1"/>
      </w:pPr>
      <w:r>
        <w:t>第五条 实施服务</w:t>
      </w:r>
    </w:p>
    <w:p>
      <w:r>
        <w:t>5.1 乙方负责系统的安装、配置、数据迁移、接口开发。</w:t>
      </w:r>
    </w:p>
    <w:p>
      <w:r>
        <w:t>5.2 乙方应制定项目实施计划并经甲方确认。</w:t>
      </w:r>
    </w:p>
    <w:p>
      <w:r>
        <w:t>5.3 项目实施过程中，乙方项目经理变更须经甲方书面同意。</w:t>
      </w:r>
    </w:p>
    <w:p>
      <w:pPr>
        <w:pStyle w:val="Heading1"/>
      </w:pPr>
      <w:r>
        <w:t>第六条 数据安全</w:t>
      </w:r>
    </w:p>
    <w:p>
      <w:r>
        <w:t>6.1 乙方在实施及运维过程中接触的患者数据，仅限用于本合同目的。</w:t>
      </w:r>
    </w:p>
    <w:p>
      <w:r>
        <w:t>6.2 乙方应采取加密、脱敏等技术措施保护患者数据。</w:t>
      </w:r>
    </w:p>
    <w:p>
      <w:r>
        <w:t>6.3 乙方不得将患者数据带离甲方场地或传输至外部环境。</w:t>
      </w:r>
    </w:p>
    <w:p>
      <w:r>
        <w:t>6.4 发生数据泄露的，乙方应在1小时内通知甲方。</w:t>
      </w:r>
    </w:p>
    <w:p>
      <w:pPr>
        <w:pStyle w:val="Heading1"/>
      </w:pPr>
      <w:r>
        <w:t>第七条 验收</w:t>
      </w:r>
    </w:p>
    <w:p>
      <w:r>
        <w:t>7.1 系统部署完成后进入试运行期，试运行期不少于30日。</w:t>
      </w:r>
    </w:p>
    <w:p>
      <w:r>
        <w:t>7.2 验收标准见附件二《验收标准与测试用例》。</w:t>
      </w:r>
    </w:p>
    <w:p>
      <w:r>
        <w:t>7.3 甲方应在收到乙方验收申请后及时组织验收。</w:t>
      </w:r>
    </w:p>
    <w:p>
      <w:r>
        <w:t>7.4 验收不合格的，乙方应在30日内整改后重新申请验收。</w:t>
      </w:r>
    </w:p>
    <w:p>
      <w:pPr>
        <w:pStyle w:val="Heading1"/>
      </w:pPr>
      <w:r>
        <w:t>第八条 试运行</w:t>
      </w:r>
    </w:p>
    <w:p>
      <w:r>
        <w:t>8.1 试运行期间发现的缺陷按严重程度分级处理。</w:t>
      </w:r>
    </w:p>
    <w:p>
      <w:r>
        <w:t>8.2 严重缺陷应在3个工作日内修复。</w:t>
      </w:r>
    </w:p>
    <w:p>
      <w:pPr>
        <w:pStyle w:val="Heading1"/>
      </w:pPr>
      <w:r>
        <w:t>第九条 培训</w:t>
      </w:r>
    </w:p>
    <w:p>
      <w:r>
        <w:t>9.1 乙方应为甲方管理员、医护用户提供不少于40学时的培训。</w:t>
      </w:r>
    </w:p>
    <w:p>
      <w:r>
        <w:t>9.2 培训考核不合格的，乙方应免费补充培训。</w:t>
      </w:r>
    </w:p>
    <w:p>
      <w:pPr>
        <w:pStyle w:val="Heading1"/>
      </w:pPr>
      <w:r>
        <w:t>第十条 质保</w:t>
      </w:r>
    </w:p>
    <w:p>
      <w:r>
        <w:t>10.1 系统质保期为终验合格后36个月。</w:t>
      </w:r>
    </w:p>
    <w:p>
      <w:r>
        <w:t>10.2 硬件质保期为交付后24个月。</w:t>
      </w:r>
    </w:p>
    <w:p>
      <w:r>
        <w:t>10.3 质保期内乙方提供免费缺陷修复及版本升级。</w:t>
      </w:r>
    </w:p>
    <w:p>
      <w:pPr>
        <w:pStyle w:val="Heading1"/>
      </w:pPr>
      <w:r>
        <w:t>第十一条 运维</w:t>
      </w:r>
    </w:p>
    <w:p>
      <w:r>
        <w:t>11.1 质保期内乙方提供5×8小时远程支持、4小时到场服务。</w:t>
      </w:r>
    </w:p>
    <w:p>
      <w:r>
        <w:t>11.2 系统可用率承诺不低于99%。</w:t>
      </w:r>
    </w:p>
    <w:p>
      <w:r>
        <w:t>11.3 可用率不达标的，按月度服务费比例扣减。</w:t>
      </w:r>
    </w:p>
    <w:p>
      <w:pPr>
        <w:pStyle w:val="Heading1"/>
      </w:pPr>
      <w:r>
        <w:t>第十二条 软件许可</w:t>
      </w:r>
    </w:p>
    <w:p>
      <w:r>
        <w:t>12.1 软件许可类型为永久许可，含甲方院内无限用户数。</w:t>
      </w:r>
    </w:p>
    <w:p>
      <w:r>
        <w:t>12.2 许可范围仅限甲方及其关联医疗机构使用。</w:t>
      </w:r>
    </w:p>
    <w:p>
      <w:pPr>
        <w:pStyle w:val="Heading1"/>
      </w:pPr>
      <w:r>
        <w:t>第十三条 源码托管</w:t>
      </w:r>
    </w:p>
    <w:p>
      <w:r>
        <w:t>13.1 乙方应将定制开发模块的源代码托管于双方认可的第三方机构。</w:t>
      </w:r>
    </w:p>
    <w:p>
      <w:pPr>
        <w:pStyle w:val="Heading1"/>
      </w:pPr>
      <w:r>
        <w:t>第十四条 知识产权</w:t>
      </w:r>
    </w:p>
    <w:p>
      <w:r>
        <w:t>14.1 定制开发模块的知识产权归甲方所有。</w:t>
      </w:r>
    </w:p>
    <w:p>
      <w:r>
        <w:t>14.2 乙方标准产品模块的知识产权仍归乙方所有。</w:t>
      </w:r>
    </w:p>
    <w:p>
      <w:r>
        <w:t>14.3 乙方保证系统不侵犯任何第三方知识产权。</w:t>
      </w:r>
    </w:p>
    <w:p>
      <w:pPr>
        <w:pStyle w:val="Heading1"/>
      </w:pPr>
      <w:r>
        <w:t>第十五条 第三方侵权</w:t>
      </w:r>
    </w:p>
    <w:p>
      <w:r>
        <w:t>15.1 第三方主张系统侵权的，乙方负责应诉并承担全部责任。</w:t>
      </w:r>
    </w:p>
    <w:p>
      <w:pPr>
        <w:pStyle w:val="Heading1"/>
      </w:pPr>
      <w:r>
        <w:t>第十六条 保密</w:t>
      </w:r>
    </w:p>
    <w:p>
      <w:r>
        <w:t>16.1 双方对合同履行中知悉的对方商业秘密、患者数据负有保密义务。</w:t>
      </w:r>
    </w:p>
    <w:p>
      <w:r>
        <w:t>16.2 保密期限至相关信息进入公有领域为止。</w:t>
      </w:r>
    </w:p>
    <w:p>
      <w:pPr>
        <w:pStyle w:val="Heading1"/>
      </w:pPr>
      <w:r>
        <w:t>第十七条 网络安全</w:t>
      </w:r>
    </w:p>
    <w:p>
      <w:r>
        <w:t>17.1 系统应符合网络安全等级保护第三级要求。</w:t>
      </w:r>
    </w:p>
    <w:p>
      <w:r>
        <w:t>17.2 乙方应在上线前完成等保测评并整改达标。</w:t>
      </w:r>
    </w:p>
    <w:p>
      <w:pPr>
        <w:pStyle w:val="Heading1"/>
      </w:pPr>
      <w:r>
        <w:t>第十八条 互联互通</w:t>
      </w:r>
    </w:p>
    <w:p>
      <w:r>
        <w:t>18.1 系统应支持与区域卫生平台的数据对接。</w:t>
      </w:r>
    </w:p>
    <w:p>
      <w:r>
        <w:t>18.2 接口标准符合国家互联互通成熟度四级要求。</w:t>
      </w:r>
    </w:p>
    <w:p>
      <w:pPr>
        <w:pStyle w:val="Heading1"/>
      </w:pPr>
      <w:r>
        <w:t>第十九条 性能指标</w:t>
      </w:r>
    </w:p>
    <w:p>
      <w:r>
        <w:t>19.1 门诊挂号并发不低于300用户，响应时间不超过2秒。</w:t>
      </w:r>
    </w:p>
    <w:p>
      <w:r>
        <w:t>19.2 影像调阅首屏时间不超过3秒。</w:t>
      </w:r>
    </w:p>
    <w:p>
      <w:pPr>
        <w:pStyle w:val="Heading1"/>
      </w:pPr>
      <w:r>
        <w:t>第二十条 机房要求</w:t>
      </w:r>
    </w:p>
    <w:p>
      <w:r>
        <w:t>20.1 甲方按乙方提供的机房环境要求准备场地、电力与空调。</w:t>
      </w:r>
    </w:p>
    <w:p>
      <w:pPr>
        <w:pStyle w:val="Heading1"/>
      </w:pPr>
      <w:r>
        <w:t>第二十一条 违约责任</w:t>
      </w:r>
    </w:p>
    <w:p>
      <w:r>
        <w:t>21.1 乙方逾期交付的，每逾期一日按合同总价的6%支付违约金。</w:t>
      </w:r>
    </w:p>
    <w:p>
      <w:r>
        <w:t>21.2 甲方逾期付款的，每逾期一日按逾期金额的千分之五支付违约金。</w:t>
      </w:r>
    </w:p>
    <w:p>
      <w:r>
        <w:t>21.3 系统连续两个月可用率低于95%的，甲方有权解除合同。</w:t>
      </w:r>
    </w:p>
    <w:p>
      <w:r>
        <w:t>21.4 乙方发生患者数据泄露的，应支付合同总价20%的违约金并赔偿全部损失。</w:t>
      </w:r>
    </w:p>
    <w:p>
      <w:pPr>
        <w:pStyle w:val="Heading1"/>
      </w:pPr>
      <w:r>
        <w:t>第二十二条 责任限制</w:t>
      </w:r>
    </w:p>
    <w:p>
      <w:r>
        <w:t>22.1 乙方对甲方的赔偿责任以合同总价为上限。</w:t>
      </w:r>
    </w:p>
    <w:p>
      <w:r>
        <w:t>22.2 涉及患者人身权益的数据泄露不受前款限制。</w:t>
      </w:r>
    </w:p>
    <w:p>
      <w:pPr>
        <w:pStyle w:val="Heading1"/>
      </w:pPr>
      <w:r>
        <w:t>第二十三条 不可抗力</w:t>
      </w:r>
    </w:p>
    <w:p>
      <w:r>
        <w:t>23.1 不可抗力包括但不限于地震、洪水、疫情管控等。</w:t>
      </w:r>
    </w:p>
    <w:p>
      <w:r>
        <w:t>23.2 遭受不可抗力一方应于3日内通知对方。</w:t>
      </w:r>
    </w:p>
    <w:p>
      <w:pPr>
        <w:pStyle w:val="Heading1"/>
      </w:pPr>
      <w:r>
        <w:t>第二十四条 合同变更</w:t>
      </w:r>
    </w:p>
    <w:p>
      <w:r>
        <w:t>24.1 需求变更以书面变更单确认，变更费用按附件二计。</w:t>
      </w:r>
    </w:p>
    <w:p>
      <w:pPr>
        <w:pStyle w:val="Heading1"/>
      </w:pPr>
      <w:r>
        <w:t>第二十五条 合同转让禁止</w:t>
      </w:r>
    </w:p>
    <w:p>
      <w:r>
        <w:t>25.1 未经甲方书面同意，乙方不得将合同义务转让第三方。</w:t>
      </w:r>
    </w:p>
    <w:p>
      <w:pPr>
        <w:pStyle w:val="Heading1"/>
      </w:pPr>
      <w:r>
        <w:t>第二十六条 分包</w:t>
      </w:r>
    </w:p>
    <w:p>
      <w:r>
        <w:t>26.1 乙方实施过程中不得将核心实施工作分包。</w:t>
      </w:r>
    </w:p>
    <w:p>
      <w:r>
        <w:t>26.2 硬件到货签收前毁损灭失风险由乙方承担。</w:t>
      </w:r>
    </w:p>
    <w:p>
      <w:pPr>
        <w:pStyle w:val="Heading1"/>
      </w:pPr>
      <w:r>
        <w:t>第二十七条 解除</w:t>
      </w:r>
    </w:p>
    <w:p>
      <w:r>
        <w:t>27.1 双方协商一致可解除合同。</w:t>
      </w:r>
    </w:p>
    <w:p>
      <w:r>
        <w:t>27.2 乙方逾期交付超过60日的，甲方有权解除合同并要求退还全部已付款。</w:t>
      </w:r>
    </w:p>
    <w:p>
      <w:pPr>
        <w:pStyle w:val="Heading1"/>
      </w:pPr>
      <w:r>
        <w:t>第二十八条 终止后处理</w:t>
      </w:r>
    </w:p>
    <w:p>
      <w:r>
        <w:t>28.1 合同解除或终止的，乙方应配合甲方完成数据导出与系统移交。</w:t>
      </w:r>
    </w:p>
    <w:p>
      <w:r>
        <w:t>28.2 乙方不得以合同终止为由停用已交付系统。</w:t>
      </w:r>
    </w:p>
    <w:p>
      <w:pPr>
        <w:pStyle w:val="Heading1"/>
      </w:pPr>
      <w:r>
        <w:t>第二十九条 争议解决</w:t>
      </w:r>
    </w:p>
    <w:p>
      <w:r>
        <w:t>29.1 因本合同引起的争议，双方应友好协商解决。</w:t>
      </w:r>
    </w:p>
    <w:p>
      <w:r>
        <w:t>29.2 协商不成的，提交深圳国际仲裁院仲裁，或向甲方所在地人民法院提起诉讼。</w:t>
      </w:r>
    </w:p>
    <w:p>
      <w:pPr>
        <w:pStyle w:val="Heading1"/>
      </w:pPr>
      <w:r>
        <w:t>第三十条 适用法律</w:t>
      </w:r>
    </w:p>
    <w:p>
      <w:r>
        <w:t>30.1 本合同适用中华人民共和国法律。</w:t>
      </w:r>
    </w:p>
    <w:p>
      <w:pPr>
        <w:pStyle w:val="Heading1"/>
      </w:pPr>
      <w:r>
        <w:t>第三十一条 通知送达</w:t>
      </w:r>
    </w:p>
    <w:p>
      <w:r>
        <w:t>31.1 以本合同签署页载明的地址、电子邮箱为准。</w:t>
      </w:r>
    </w:p>
    <w:p>
      <w:pPr>
        <w:pStyle w:val="Heading1"/>
      </w:pPr>
      <w:r>
        <w:t>第三十二条 税费</w:t>
      </w:r>
    </w:p>
    <w:p>
      <w:r>
        <w:t>32.1 双方各自承担依法应缴纳的税费。</w:t>
      </w:r>
    </w:p>
    <w:p>
      <w:pPr>
        <w:pStyle w:val="Heading1"/>
      </w:pPr>
      <w:r>
        <w:t>第三十三条 生效</w:t>
      </w:r>
    </w:p>
    <w:p>
      <w:r>
        <w:t>33.1 本合同自双方签字盖章之日起生效。</w:t>
      </w:r>
    </w:p>
    <w:p>
      <w:pPr>
        <w:pStyle w:val="Heading1"/>
      </w:pPr>
      <w:r>
        <w:t>第三十四条 文本</w:t>
      </w:r>
    </w:p>
    <w:p>
      <w:r>
        <w:t>34.1 本合同一式肆份，甲方执贰份，乙方执贰份。</w:t>
      </w:r>
    </w:p>
    <w:p>
      <w:pPr>
        <w:pStyle w:val="Heading1"/>
      </w:pPr>
      <w:r>
        <w:t>第三十五条 附件</w:t>
      </w:r>
    </w:p>
    <w:p>
      <w:r>
        <w:t>35.1 附件一《系统与设备清单》、附件二《验收标准与测试用例》为本合同组成部分。</w:t>
      </w:r>
    </w:p>
    <w:p>
      <w:pPr>
        <w:pStyle w:val="Heading1"/>
      </w:pPr>
      <w:r>
        <w:t>第三十六条 完整约定</w:t>
      </w:r>
    </w:p>
    <w:p>
      <w:r>
        <w:t>36.1 本合同签订前双方的谈判文件与本合同不一致的，以本合同为准。</w:t>
      </w:r>
    </w:p>
    <w:p>
      <w:pPr>
        <w:pStyle w:val="Heading1"/>
      </w:pPr>
      <w:r>
        <w:t>第三十七条 可分割性</w:t>
      </w:r>
    </w:p>
    <w:p>
      <w:r>
        <w:t>37.1 任一条款无效不影响其他条款效力。</w:t>
      </w:r>
    </w:p>
    <w:p>
      <w:pPr>
        <w:pStyle w:val="Heading1"/>
      </w:pPr>
      <w:r>
        <w:t>第三十八条 语言</w:t>
      </w:r>
    </w:p>
    <w:p>
      <w:r>
        <w:t>38.1 本合同以中文书写。</w:t>
      </w:r>
    </w:p>
    <w:p>
      <w:pPr>
        <w:pStyle w:val="Heading1"/>
      </w:pPr>
      <w:r>
        <w:t>第三十九条 补充</w:t>
      </w:r>
    </w:p>
    <w:p>
      <w:r>
        <w:t>39.1 未尽事宜双方另行签订补充协议。</w:t>
      </w:r>
    </w:p>
    <w:p>
      <w:pPr>
        <w:pStyle w:val="Heading1"/>
      </w:pPr>
      <w:r>
        <w:t>第四十条 副本</w:t>
      </w:r>
    </w:p>
    <w:p>
      <w:r>
        <w:t>40.1 传真、扫描件与原件具同等效力。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甲方（盖章）：</w:t>
            </w:r>
          </w:p>
        </w:tc>
        <w:tc>
          <w:tcPr>
            <w:tcW w:type="dxa" w:w="4320"/>
          </w:tcPr>
          <w:p>
            <w:r>
              <w:t>乙方（盖章）：</w:t>
            </w:r>
          </w:p>
        </w:tc>
      </w:tr>
      <w:tr>
        <w:tc>
          <w:tcPr>
            <w:tcW w:type="dxa" w:w="4320"/>
          </w:tcPr>
          <w:p>
            <w:r>
              <w:t>法定代表人（签字）：</w:t>
            </w:r>
          </w:p>
        </w:tc>
        <w:tc>
          <w:tcPr>
            <w:tcW w:type="dxa" w:w="4320"/>
          </w:tcPr>
          <w:p>
            <w:r>
              <w:t>法定代表人（签字）：</w:t>
            </w:r>
          </w:p>
        </w:tc>
      </w:tr>
      <w:tr>
        <w:tc>
          <w:tcPr>
            <w:tcW w:type="dxa" w:w="4320"/>
          </w:tcPr>
          <w:p>
            <w:r>
              <w:t>日期：    年  月  日</w:t>
            </w:r>
          </w:p>
        </w:tc>
        <w:tc>
          <w:tcPr>
            <w:tcW w:type="dxa" w:w="4320"/>
          </w:tcPr>
          <w:p>
            <w:r>
              <w:t>日期：    年  月  日</w:t>
            </w:r>
          </w:p>
        </w:tc>
      </w:tr>
    </w:tbl>
    <w:p/>
    <w:p>
      <w:pPr>
        <w:pStyle w:val="Heading1"/>
      </w:pPr>
      <w:r>
        <w:t>附件一 系统与设备清单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规格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HIS核心服务器</w:t>
            </w:r>
          </w:p>
        </w:tc>
        <w:tc>
          <w:tcPr>
            <w:tcW w:type="dxa" w:w="2160"/>
          </w:tcPr>
          <w:p>
            <w:r>
              <w:t>2×E5-2690/256G/RAID10</w:t>
            </w:r>
          </w:p>
        </w:tc>
        <w:tc>
          <w:tcPr>
            <w:tcW w:type="dxa" w:w="2160"/>
          </w:tcPr>
          <w:p>
            <w:r>
              <w:t>2台</w:t>
            </w:r>
          </w:p>
        </w:tc>
        <w:tc>
          <w:tcPr>
            <w:tcW w:type="dxa" w:w="2160"/>
          </w:tcPr>
          <w:p>
            <w:r>
              <w:t>主备</w:t>
            </w:r>
          </w:p>
        </w:tc>
      </w:tr>
      <w:tr>
        <w:tc>
          <w:tcPr>
            <w:tcW w:type="dxa" w:w="2160"/>
          </w:tcPr>
          <w:p>
            <w:r>
              <w:t>数据库服务器</w:t>
            </w:r>
          </w:p>
        </w:tc>
        <w:tc>
          <w:tcPr>
            <w:tcW w:type="dxa" w:w="2160"/>
          </w:tcPr>
          <w:p>
            <w:r>
              <w:t>2×E5-2690/512G</w:t>
            </w:r>
          </w:p>
        </w:tc>
        <w:tc>
          <w:tcPr>
            <w:tcW w:type="dxa" w:w="2160"/>
          </w:tcPr>
          <w:p>
            <w:r>
              <w:t>2台</w:t>
            </w:r>
          </w:p>
        </w:tc>
        <w:tc>
          <w:tcPr>
            <w:tcW w:type="dxa" w:w="2160"/>
          </w:tcPr>
          <w:p>
            <w:r>
              <w:t>集群</w:t>
            </w:r>
          </w:p>
        </w:tc>
      </w:tr>
      <w:tr>
        <w:tc>
          <w:tcPr>
            <w:tcW w:type="dxa" w:w="2160"/>
          </w:tcPr>
          <w:p>
            <w:r>
              <w:t>影像存储阵列</w:t>
            </w:r>
          </w:p>
        </w:tc>
        <w:tc>
          <w:tcPr>
            <w:tcW w:type="dxa" w:w="2160"/>
          </w:tcPr>
          <w:p>
            <w:r>
              <w:t>200TB</w:t>
            </w:r>
          </w:p>
        </w:tc>
        <w:tc>
          <w:tcPr>
            <w:tcW w:type="dxa" w:w="2160"/>
          </w:tcPr>
          <w:p>
            <w:r>
              <w:t>1套</w:t>
            </w:r>
          </w:p>
        </w:tc>
        <w:tc>
          <w:tcPr>
            <w:tcW w:type="dxa" w:w="2160"/>
          </w:tcPr>
          <w:p>
            <w:r>
              <w:t>PACS</w:t>
            </w:r>
          </w:p>
        </w:tc>
      </w:tr>
      <w:tr>
        <w:tc>
          <w:tcPr>
            <w:tcW w:type="dxa" w:w="2160"/>
          </w:tcPr>
          <w:p>
            <w:r>
              <w:t>核心交换机</w:t>
            </w:r>
          </w:p>
        </w:tc>
        <w:tc>
          <w:tcPr>
            <w:tcW w:type="dxa" w:w="2160"/>
          </w:tcPr>
          <w:p>
            <w:r>
              <w:t>48口万兆</w:t>
            </w:r>
          </w:p>
        </w:tc>
        <w:tc>
          <w:tcPr>
            <w:tcW w:type="dxa" w:w="2160"/>
          </w:tcPr>
          <w:p>
            <w:r>
              <w:t>2台</w:t>
            </w:r>
          </w:p>
        </w:tc>
        <w:tc>
          <w:tcPr>
            <w:tcW w:type="dxa" w:w="2160"/>
          </w:tcPr>
          <w:p>
            <w:r>
              <w:t>冗余</w:t>
            </w:r>
          </w:p>
        </w:tc>
      </w:tr>
      <w:tr>
        <w:tc>
          <w:tcPr>
            <w:tcW w:type="dxa" w:w="2160"/>
          </w:tcPr>
          <w:p>
            <w:r>
              <w:t>应用软件许可</w:t>
            </w:r>
          </w:p>
        </w:tc>
        <w:tc>
          <w:tcPr>
            <w:tcW w:type="dxa" w:w="2160"/>
          </w:tcPr>
          <w:p>
            <w:r>
              <w:t>院内无限用户</w:t>
            </w:r>
          </w:p>
        </w:tc>
        <w:tc>
          <w:tcPr>
            <w:tcW w:type="dxa" w:w="2160"/>
          </w:tcPr>
          <w:p>
            <w:r>
              <w:t>1套</w:t>
            </w:r>
          </w:p>
        </w:tc>
        <w:tc>
          <w:tcPr>
            <w:tcW w:type="dxa" w:w="2160"/>
          </w:tcPr>
          <w:p>
            <w:r>
              <w:t>永久</w:t>
            </w:r>
          </w:p>
        </w:tc>
      </w:tr>
      <w:tr>
        <w:tc>
          <w:tcPr>
            <w:tcW w:type="dxa" w:w="2160"/>
          </w:tcPr>
          <w:p>
            <w:r>
              <w:t>PACS/RIS模块</w:t>
            </w:r>
          </w:p>
        </w:tc>
        <w:tc>
          <w:tcPr>
            <w:tcW w:type="dxa" w:w="2160"/>
          </w:tcPr>
          <w:p>
            <w:r>
              <w:t>含影像调阅</w:t>
            </w:r>
          </w:p>
        </w:tc>
        <w:tc>
          <w:tcPr>
            <w:tcW w:type="dxa" w:w="2160"/>
          </w:tcPr>
          <w:p>
            <w:r>
              <w:t>1套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LIS模块</w:t>
            </w:r>
          </w:p>
        </w:tc>
        <w:tc>
          <w:tcPr>
            <w:tcW w:type="dxa" w:w="2160"/>
          </w:tcPr>
          <w:p>
            <w:r>
              <w:t>含仪器接口</w:t>
            </w:r>
          </w:p>
        </w:tc>
        <w:tc>
          <w:tcPr>
            <w:tcW w:type="dxa" w:w="2160"/>
          </w:tcPr>
          <w:p>
            <w:r>
              <w:t>1套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实施服务</w:t>
            </w:r>
          </w:p>
        </w:tc>
        <w:tc>
          <w:tcPr>
            <w:tcW w:type="dxa" w:w="2160"/>
          </w:tcPr>
          <w:p>
            <w:r>
              <w:t>人天×600</w:t>
            </w:r>
          </w:p>
        </w:tc>
        <w:tc>
          <w:tcPr>
            <w:tcW w:type="dxa" w:w="2160"/>
          </w:tcPr>
          <w:p>
            <w:r>
              <w:t>1项</w:t>
            </w:r>
          </w:p>
        </w:tc>
        <w:tc>
          <w:tcPr>
            <w:tcW w:type="dxa" w:w="2160"/>
          </w:tcPr>
          <w:p>
            <w:r>
              <w:t>含数据迁移</w:t>
            </w:r>
          </w:p>
        </w:tc>
      </w:tr>
    </w:tbl>
    <w:p/>
    <w:p>
      <w:pPr>
        <w:pStyle w:val="Heading1"/>
      </w:pPr>
      <w:r>
        <w:t>附件二 验收标准与测试用例（节选）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测试项</w:t>
            </w:r>
          </w:p>
        </w:tc>
        <w:tc>
          <w:tcPr>
            <w:tcW w:type="dxa" w:w="2160"/>
          </w:tcPr>
          <w:p>
            <w:r>
              <w:t>通过标准</w:t>
            </w:r>
          </w:p>
        </w:tc>
        <w:tc>
          <w:tcPr>
            <w:tcW w:type="dxa" w:w="2160"/>
          </w:tcPr>
          <w:p>
            <w:r>
              <w:t>测试类型</w:t>
            </w:r>
          </w:p>
        </w:tc>
      </w:tr>
      <w:tr>
        <w:tc>
          <w:tcPr>
            <w:tcW w:type="dxa" w:w="2160"/>
          </w:tcPr>
          <w:p>
            <w:r>
              <w:t>门诊</w:t>
            </w:r>
          </w:p>
        </w:tc>
        <w:tc>
          <w:tcPr>
            <w:tcW w:type="dxa" w:w="2160"/>
          </w:tcPr>
          <w:p>
            <w:r>
              <w:t>挂号并发300</w:t>
            </w:r>
          </w:p>
        </w:tc>
        <w:tc>
          <w:tcPr>
            <w:tcW w:type="dxa" w:w="2160"/>
          </w:tcPr>
          <w:p>
            <w:r>
              <w:t>响应≤2s，错误率0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</w:tr>
      <w:tr>
        <w:tc>
          <w:tcPr>
            <w:tcW w:type="dxa" w:w="2160"/>
          </w:tcPr>
          <w:p>
            <w:r>
              <w:t>住院</w:t>
            </w:r>
          </w:p>
        </w:tc>
        <w:tc>
          <w:tcPr>
            <w:tcW w:type="dxa" w:w="2160"/>
          </w:tcPr>
          <w:p>
            <w:r>
              <w:t>入出转流程</w:t>
            </w:r>
          </w:p>
        </w:tc>
        <w:tc>
          <w:tcPr>
            <w:tcW w:type="dxa" w:w="2160"/>
          </w:tcPr>
          <w:p>
            <w:r>
              <w:t>全流程闭环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药房</w:t>
            </w:r>
          </w:p>
        </w:tc>
        <w:tc>
          <w:tcPr>
            <w:tcW w:type="dxa" w:w="2160"/>
          </w:tcPr>
          <w:p>
            <w:r>
              <w:t>发药核对</w:t>
            </w:r>
          </w:p>
        </w:tc>
        <w:tc>
          <w:tcPr>
            <w:tcW w:type="dxa" w:w="2160"/>
          </w:tcPr>
          <w:p>
            <w:r>
              <w:t>扫码匹配率100%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检验</w:t>
            </w:r>
          </w:p>
        </w:tc>
        <w:tc>
          <w:tcPr>
            <w:tcW w:type="dxa" w:w="2160"/>
          </w:tcPr>
          <w:p>
            <w:r>
              <w:t>仪器联机</w:t>
            </w:r>
          </w:p>
        </w:tc>
        <w:tc>
          <w:tcPr>
            <w:tcW w:type="dxa" w:w="2160"/>
          </w:tcPr>
          <w:p>
            <w:r>
              <w:t>结果自动回传</w:t>
            </w:r>
          </w:p>
        </w:tc>
        <w:tc>
          <w:tcPr>
            <w:tcW w:type="dxa" w:w="2160"/>
          </w:tcPr>
          <w:p>
            <w:r>
              <w:t>集成</w:t>
            </w:r>
          </w:p>
        </w:tc>
      </w:tr>
      <w:tr>
        <w:tc>
          <w:tcPr>
            <w:tcW w:type="dxa" w:w="2160"/>
          </w:tcPr>
          <w:p>
            <w:r>
              <w:t>影像</w:t>
            </w:r>
          </w:p>
        </w:tc>
        <w:tc>
          <w:tcPr>
            <w:tcW w:type="dxa" w:w="2160"/>
          </w:tcPr>
          <w:p>
            <w:r>
              <w:t>调阅首屏</w:t>
            </w:r>
          </w:p>
        </w:tc>
        <w:tc>
          <w:tcPr>
            <w:tcW w:type="dxa" w:w="2160"/>
          </w:tcPr>
          <w:p>
            <w:r>
              <w:t>≤3s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</w:tr>
      <w:tr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等保三级</w:t>
            </w:r>
          </w:p>
        </w:tc>
        <w:tc>
          <w:tcPr>
            <w:tcW w:type="dxa" w:w="2160"/>
          </w:tcPr>
          <w:p>
            <w:r>
              <w:t>测评通过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