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医疗器械采购合同</w:t>
      </w:r>
    </w:p>
    <w:p>
      <w:r>
        <w:rPr>
          <w:b/>
        </w:rPr>
        <w:t>甲方：</w:t>
      </w:r>
      <w:r>
        <w:t>某某医院管理有限公司</w:t>
      </w:r>
    </w:p>
    <w:p>
      <w:r>
        <w:rPr>
          <w:b/>
        </w:rPr>
        <w:t>乙方：</w:t>
      </w:r>
      <w:r>
        <w:t>【待填写】医疗器械贸易有限公司</w:t>
      </w:r>
    </w:p>
    <w:p>
      <w:r>
        <w:t>（以下简称"双方"）</w:t>
      </w:r>
    </w:p>
    <w:p>
      <w:r>
        <w:t>甲方向乙方采购医疗设备及相关耗材，根据《中华人民共和国民法典》及相关法律法规，达成如下协议：</w:t>
      </w:r>
    </w:p>
    <w:p>
      <w:pPr>
        <w:pStyle w:val="Heading1"/>
      </w:pPr>
      <w:r>
        <w:t>第一条 采购标的</w:t>
      </w:r>
    </w:p>
    <w:p>
      <w:r>
        <w:t>1.1 甲方向乙方采购全自动生化分析仪2台、配套试剂一批，具体规格见本合同附件一《设备清单》。</w:t>
      </w:r>
    </w:p>
    <w:p>
      <w:r>
        <w:t>1.2 设备应为全新的、未使用的合格产品。</w:t>
      </w:r>
    </w:p>
    <w:p>
      <w:pPr>
        <w:pStyle w:val="Heading1"/>
      </w:pPr>
      <w:r>
        <w:t>第二条 合同价款</w:t>
      </w:r>
    </w:p>
    <w:p>
      <w:r>
        <w:t>2.1 本合同总金额为￥2,850,000元。</w:t>
      </w:r>
    </w:p>
    <w:p>
      <w:r>
        <w:t>2.2 上述价款包含设备价款、运输费、安装调试费及首年保修服务费。</w:t>
      </w:r>
    </w:p>
    <w:p>
      <w:pPr>
        <w:pStyle w:val="Heading1"/>
      </w:pPr>
      <w:r>
        <w:t>第三条 支付方式</w:t>
      </w:r>
    </w:p>
    <w:p>
      <w:r>
        <w:t>3.1 合同签订后10个工作日内，甲方向乙方支付合同总额的70%作为预付款，即￥1,995,000元。</w:t>
      </w:r>
    </w:p>
    <w:p>
      <w:r>
        <w:t>3.2 设备安装验收合格后，甲方支付剩余30%尾款。</w:t>
      </w:r>
    </w:p>
    <w:p>
      <w:r>
        <w:t>3.3 乙方收款账户：开户行________，账号________。</w:t>
      </w:r>
    </w:p>
    <w:p>
      <w:pPr>
        <w:pStyle w:val="Heading1"/>
      </w:pPr>
      <w:r>
        <w:t>第四条 交付</w:t>
      </w:r>
    </w:p>
    <w:p>
      <w:r>
        <w:t>4.1 乙方应于合同生效后60日内将设备运抵甲方指定地点。</w:t>
      </w:r>
    </w:p>
    <w:p>
      <w:r>
        <w:t>4.2 运输费用及运输过程中的风险由乙方承担。</w:t>
      </w:r>
    </w:p>
    <w:p>
      <w:pPr>
        <w:pStyle w:val="Heading1"/>
      </w:pPr>
      <w:r>
        <w:t>第五条 安装与调试</w:t>
      </w:r>
    </w:p>
    <w:p>
      <w:r>
        <w:t>5.1 设备运抵后，乙方应派工程师在7个工作日内完成安装调试。</w:t>
      </w:r>
    </w:p>
    <w:p>
      <w:r>
        <w:t>5.2 安装调试过程中，乙方应遵守甲方场地的安全管理制度。</w:t>
      </w:r>
    </w:p>
    <w:p>
      <w:pPr>
        <w:pStyle w:val="Heading1"/>
      </w:pPr>
      <w:r>
        <w:t>第六条 验收</w:t>
      </w:r>
    </w:p>
    <w:p>
      <w:r>
        <w:t>6.1 安装调试完成后，甲方应在合理期限内组织验收。</w:t>
      </w:r>
    </w:p>
    <w:p>
      <w:r>
        <w:t>6.2 验收标准按国家相关行业标准及产品技术说明书执行。</w:t>
      </w:r>
    </w:p>
    <w:p>
      <w:pPr>
        <w:pStyle w:val="Heading1"/>
      </w:pPr>
      <w:r>
        <w:t>第七条 质量保证</w:t>
      </w:r>
    </w:p>
    <w:p>
      <w:r>
        <w:t>7.1 乙方保证所供设备为合法进口或生产、手续齐全的产品。</w:t>
      </w:r>
    </w:p>
    <w:p>
      <w:r>
        <w:t>7.2 设备保修期为验收合格后12个月，保修期内非人为损坏的维修费用由乙方承担。</w:t>
      </w:r>
    </w:p>
    <w:p>
      <w:pPr>
        <w:pStyle w:val="Heading1"/>
      </w:pPr>
      <w:r>
        <w:t>第八条 资质文件</w:t>
      </w:r>
    </w:p>
    <w:p>
      <w:r>
        <w:t>8.1 乙方应向甲方提供医疗器械经营许可证、产品注册证、合格证明文件。</w:t>
      </w:r>
    </w:p>
    <w:p>
      <w:r>
        <w:t>8.2 乙方逾期未提供上述文件的，甲方有权拒收设备。</w:t>
      </w:r>
    </w:p>
    <w:p>
      <w:pPr>
        <w:pStyle w:val="Heading1"/>
      </w:pPr>
      <w:r>
        <w:t>第九条 培训</w:t>
      </w:r>
    </w:p>
    <w:p>
      <w:r>
        <w:t>9.1 乙方应为甲方操作人员提供不少于2次的免费操作培训。</w:t>
      </w:r>
    </w:p>
    <w:p>
      <w:pPr>
        <w:pStyle w:val="Heading1"/>
      </w:pPr>
      <w:r>
        <w:t>第十条 售后服务</w:t>
      </w:r>
    </w:p>
    <w:p>
      <w:r>
        <w:t>10.1 乙方应在接到甲方故障通知后尽快响应。</w:t>
      </w:r>
    </w:p>
    <w:p>
      <w:r>
        <w:t>10.2 乙方未及时响应的，甲方有权委托第三方维修，费用由乙方承担。</w:t>
      </w:r>
    </w:p>
    <w:p>
      <w:pPr>
        <w:pStyle w:val="Heading1"/>
      </w:pPr>
      <w:r>
        <w:t>第十一条 包装</w:t>
      </w:r>
    </w:p>
    <w:p>
      <w:r>
        <w:t>11.1 设备包装应符合防潮、防震、防腐蚀要求，适应长途运输。</w:t>
      </w:r>
    </w:p>
    <w:p>
      <w:pPr>
        <w:pStyle w:val="Heading1"/>
      </w:pPr>
      <w:r>
        <w:t>第十二条 所有权与风险</w:t>
      </w:r>
    </w:p>
    <w:p>
      <w:r>
        <w:t>12.1 设备所有权自甲方付清全部价款之日起转移。</w:t>
      </w:r>
    </w:p>
    <w:p>
      <w:r>
        <w:t>12.2 设备毁损灭失风险自交付甲方指定地点之日起转移至甲方。</w:t>
      </w:r>
    </w:p>
    <w:p>
      <w:pPr>
        <w:pStyle w:val="Heading1"/>
      </w:pPr>
      <w:r>
        <w:t>第十三条 知识产权</w:t>
      </w:r>
    </w:p>
    <w:p>
      <w:r>
        <w:t>13.1 设备所涉及的专利、软件等知识产权归乙方或其权利人所有。</w:t>
      </w:r>
    </w:p>
    <w:p>
      <w:pPr>
        <w:pStyle w:val="Heading1"/>
      </w:pPr>
      <w:r>
        <w:t>第十四条 保密</w:t>
      </w:r>
    </w:p>
    <w:p>
      <w:r>
        <w:t>14.1 双方对合同履行过程中知悉的对方商业信息负有保密义务。</w:t>
      </w:r>
    </w:p>
    <w:p>
      <w:pPr>
        <w:pStyle w:val="Heading1"/>
      </w:pPr>
      <w:r>
        <w:t>第十五条 违约责任</w:t>
      </w:r>
    </w:p>
    <w:p>
      <w:r>
        <w:t>15.1 乙方逾期交付的，每逾期一日，应按合同总额的5%向甲方支付违约金；逾期超过30日的，甲方有权解除合同。</w:t>
      </w:r>
    </w:p>
    <w:p>
      <w:r>
        <w:t>15.2 甲方逾期付款的，每逾期一日，应按逾期金额的千分之五向乙方支付违约金。</w:t>
      </w:r>
    </w:p>
    <w:p>
      <w:r>
        <w:t>15.3 乙方交付的设备不符合质量要求的，甲方有权要求退货，乙方应退还全部已付款项并支付合同总额30%的违约金。</w:t>
      </w:r>
    </w:p>
    <w:p>
      <w:pPr>
        <w:pStyle w:val="Heading1"/>
      </w:pPr>
      <w:r>
        <w:t>第十六条 不可抗力</w:t>
      </w:r>
    </w:p>
    <w:p>
      <w:r>
        <w:t>16.1 因不可抗力不能履行合同的，根据不可抗力的影响，部分或全部免除责任。</w:t>
      </w:r>
    </w:p>
    <w:p>
      <w:pPr>
        <w:pStyle w:val="Heading1"/>
      </w:pPr>
      <w:r>
        <w:t>第十七条 合同解除</w:t>
      </w:r>
    </w:p>
    <w:p>
      <w:r>
        <w:t>17.1 双方协商一致可以解除本合同。</w:t>
      </w:r>
    </w:p>
    <w:p>
      <w:r>
        <w:t>17.2 一方严重违约致使合同目的不能实现的，另一方有权解除合同。</w:t>
      </w:r>
    </w:p>
    <w:p>
      <w:pPr>
        <w:pStyle w:val="Heading1"/>
      </w:pPr>
      <w:r>
        <w:t>第十八条 争议解决</w:t>
      </w:r>
    </w:p>
    <w:p>
      <w:r>
        <w:t>18.1 因本合同引起的争议，双方应首先通过友好协商解决。</w:t>
      </w:r>
    </w:p>
    <w:p>
      <w:r>
        <w:t>18.2 协商不成的，任何一方均可向上海仲裁委员会申请仲裁，或向乙方所在地人民法院提起诉讼。</w:t>
      </w:r>
    </w:p>
    <w:p>
      <w:pPr>
        <w:pStyle w:val="Heading1"/>
      </w:pPr>
      <w:r>
        <w:t>第十九条 通知与送达</w:t>
      </w:r>
    </w:p>
    <w:p>
      <w:r>
        <w:t>19.1 双方指定的联系地址及联系人以本合同签署页载明信息为准。</w:t>
      </w:r>
    </w:p>
    <w:p>
      <w:pPr>
        <w:pStyle w:val="Heading1"/>
      </w:pPr>
      <w:r>
        <w:t>第二十条 合同生效</w:t>
      </w:r>
    </w:p>
    <w:p>
      <w:r>
        <w:t>20.1 本合同自双方签字盖章之日起生效。</w:t>
      </w:r>
    </w:p>
    <w:p>
      <w:r>
        <w:t>20.2 本合同一式四份，甲乙双方各执两份。</w:t>
      </w:r>
    </w:p>
    <w:p>
      <w:pPr>
        <w:pStyle w:val="Heading1"/>
      </w:pPr>
      <w:r>
        <w:t>第二十一条 附件</w:t>
      </w:r>
    </w:p>
    <w:p>
      <w:r>
        <w:t>21.1 本合同附件一《设备清单》为本合同不可分割的组成部分。</w:t>
      </w:r>
    </w:p>
    <w:p>
      <w:pPr>
        <w:pStyle w:val="Heading1"/>
      </w:pPr>
      <w:r>
        <w:t>第二十二条 其他</w:t>
      </w:r>
    </w:p>
    <w:p>
      <w:r>
        <w:t>22.1 本合同未尽事宜，双方另行协商签订补充协议，补充协议与本合同具有同等法律效力。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甲方（盖章）：</w:t>
            </w:r>
          </w:p>
        </w:tc>
        <w:tc>
          <w:tcPr>
            <w:tcW w:type="dxa" w:w="4320"/>
          </w:tcPr>
          <w:p>
            <w:r>
              <w:t>乙方（盖章）：</w:t>
            </w:r>
          </w:p>
        </w:tc>
      </w:tr>
      <w:tr>
        <w:tc>
          <w:tcPr>
            <w:tcW w:type="dxa" w:w="4320"/>
          </w:tcPr>
          <w:p>
            <w:r>
              <w:t>法定代表人（签字）：</w:t>
            </w:r>
          </w:p>
        </w:tc>
        <w:tc>
          <w:tcPr>
            <w:tcW w:type="dxa" w:w="4320"/>
          </w:tcPr>
          <w:p>
            <w:r>
              <w:t>法定代表人（签字）：</w:t>
            </w:r>
          </w:p>
        </w:tc>
      </w:tr>
      <w:tr>
        <w:tc>
          <w:tcPr>
            <w:tcW w:type="dxa" w:w="4320"/>
          </w:tcPr>
          <w:p>
            <w:r>
              <w:t>日期：    年  月  日</w:t>
            </w:r>
          </w:p>
        </w:tc>
        <w:tc>
          <w:tcPr>
            <w:tcW w:type="dxa" w:w="4320"/>
          </w:tcPr>
          <w:p>
            <w:r>
              <w:t>日期：    年  月  日</w:t>
            </w:r>
          </w:p>
        </w:tc>
      </w:tr>
    </w:tbl>
    <w:p/>
    <w:p>
      <w:pPr>
        <w:pStyle w:val="Heading1"/>
      </w:pPr>
      <w:r>
        <w:t>附件一 设备清单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设备名称</w:t>
            </w:r>
          </w:p>
        </w:tc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单价（元）</w:t>
            </w:r>
          </w:p>
        </w:tc>
      </w:tr>
      <w:tr>
        <w:tc>
          <w:tcPr>
            <w:tcW w:type="dxa" w:w="2160"/>
          </w:tcPr>
          <w:p>
            <w:r>
              <w:t>全自动生化分析仪</w:t>
            </w:r>
          </w:p>
        </w:tc>
        <w:tc>
          <w:tcPr>
            <w:tcW w:type="dxa" w:w="2160"/>
          </w:tcPr>
          <w:p>
            <w:r>
              <w:t>BS-2000M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980,000</w:t>
            </w:r>
          </w:p>
        </w:tc>
      </w:tr>
      <w:tr>
        <w:tc>
          <w:tcPr>
            <w:tcW w:type="dxa" w:w="2160"/>
          </w:tcPr>
          <w:p>
            <w:r>
              <w:t>配套试剂（一年用量）</w:t>
            </w:r>
          </w:p>
        </w:tc>
        <w:tc>
          <w:tcPr>
            <w:tcW w:type="dxa" w:w="2160"/>
          </w:tcPr>
          <w:p>
            <w:r>
              <w:t>BS系列</w:t>
            </w:r>
          </w:p>
        </w:tc>
        <w:tc>
          <w:tcPr>
            <w:tcW w:type="dxa" w:w="2160"/>
          </w:tcPr>
          <w:p>
            <w:r>
              <w:t>1批</w:t>
            </w:r>
          </w:p>
        </w:tc>
        <w:tc>
          <w:tcPr>
            <w:tcW w:type="dxa" w:w="2160"/>
          </w:tcPr>
          <w:p>
            <w:r>
              <w:t>890,000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