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00"/>
              <w:left w:type="dxa" w:w="150"/>
              <w:bottom w:type="dxa" w:w="100"/>
              <w:right w:type="dxa" w:w="150"/>
            </w:tcMar>
          </w:tcPr>
          <w:p>
            <w:pPr>
              <w:spacing w:after="100" w:before="0"/>
              <w:jc w:val="center"/>
            </w:pPr>
            <w:r>
              <w:rPr>
                <w:rFonts w:ascii="Arial" w:cs="Arial" w:eastAsia="Arial" w:hAnsi="Arial"/>
                <w:b/>
                <w:i w:val="false"/>
                <w:iCs w:val="false"/>
                <w:color w:val="FFFFFF"/>
                <w:sz w:val="80"/>
                <w:szCs w:val="80"/>
              </w:rPr>
              <w:t xml:space="preserve">PCCD</w:t>
            </w:r>
          </w:p>
          <w:p>
            <w:pPr>
              <w:spacing w:after="100" w:before="0"/>
              <w:jc w:val="center"/>
            </w:pPr>
            <w:r>
              <w:rPr>
                <w:rFonts w:ascii="Arial" w:cs="Arial" w:eastAsia="Arial" w:hAnsi="Arial"/>
                <w:b w:val="false"/>
                <w:i w:val="false"/>
                <w:iCs w:val="false"/>
                <w:color w:val="FFFFFF"/>
                <w:sz w:val="26"/>
                <w:szCs w:val="26"/>
              </w:rPr>
              <w:t xml:space="preserve">Protocole de Cohérence Cognitive Distribuée</w:t>
            </w:r>
          </w:p>
          <w:p>
            <w:pPr>
              <w:spacing w:after="100" w:before="0"/>
              <w:jc w:val="center"/>
            </w:pPr>
            <w:r>
              <w:rPr>
                <w:rFonts w:ascii="Arial" w:cs="Arial" w:eastAsia="Arial" w:hAnsi="Arial"/>
                <w:b w:val="false"/>
                <w:i w:val="false"/>
                <w:iCs w:val="false"/>
                <w:color w:val="FFFFFF"/>
                <w:sz w:val="20"/>
                <w:szCs w:val="20"/>
              </w:rPr>
              <w:t xml:space="preserve">Hypothesis v0.3 · Avril 2026</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tcPr>
          <w:p>
            <w:pPr>
              <w:spacing w:after="100" w:before="0"/>
              <w:jc w:val="center"/>
            </w:pPr>
            <w:r>
              <w:rPr>
                <w:rFonts w:ascii="Arial" w:cs="Arial" w:eastAsia="Arial" w:hAnsi="Arial"/>
                <w:b/>
                <w:i w:val="false"/>
                <w:iCs w:val="false"/>
                <w:color w:val="FFFFFF"/>
                <w:sz w:val="18"/>
                <w:szCs w:val="18"/>
              </w:rPr>
              <w:t xml:space="preserve">STATUS</w:t>
            </w:r>
          </w:p>
        </w:tc>
        <w:tc>
          <w:tcPr>
            <w:tcW w:type="dxa" w:w="312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tcPr>
          <w:p>
            <w:pPr>
              <w:spacing w:after="100" w:before="0"/>
              <w:jc w:val="center"/>
            </w:pPr>
            <w:r>
              <w:rPr>
                <w:rFonts w:ascii="Arial" w:cs="Arial" w:eastAsia="Arial" w:hAnsi="Arial"/>
                <w:b/>
                <w:i w:val="false"/>
                <w:iCs w:val="false"/>
                <w:color w:val="FFFFFF"/>
                <w:sz w:val="18"/>
                <w:szCs w:val="18"/>
              </w:rPr>
              <w:t xml:space="preserve">PÉRIMÈTRE</w:t>
            </w:r>
          </w:p>
        </w:tc>
        <w:tc>
          <w:tcPr>
            <w:tcW w:type="dxa" w:w="312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tcPr>
          <w:p>
            <w:pPr>
              <w:spacing w:after="100" w:before="0"/>
              <w:jc w:val="center"/>
            </w:pPr>
            <w:r>
              <w:rPr>
                <w:rFonts w:ascii="Arial" w:cs="Arial" w:eastAsia="Arial" w:hAnsi="Arial"/>
                <w:b/>
                <w:i w:val="false"/>
                <w:iCs w:val="false"/>
                <w:color w:val="FFFFFF"/>
                <w:sz w:val="18"/>
                <w:szCs w:val="18"/>
              </w:rPr>
              <w:t xml:space="preserve">ACTEURS</w:t>
            </w:r>
          </w:p>
        </w:tc>
      </w:tr>
      <w:tr>
        <w:tc>
          <w:tcPr>
            <w:tcW w:type="dxa" w:w="312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pPr>
              <w:spacing w:after="100" w:before="0"/>
              <w:jc w:val="center"/>
            </w:pPr>
            <w:r>
              <w:rPr>
                <w:rFonts w:ascii="Arial" w:cs="Arial" w:eastAsia="Arial" w:hAnsi="Arial"/>
                <w:b/>
                <w:i w:val="false"/>
                <w:iCs w:val="false"/>
                <w:color w:val="C47D0E"/>
                <w:sz w:val="22"/>
                <w:szCs w:val="22"/>
              </w:rPr>
              <w:t xml:space="preserve">PENDING</w:t>
            </w:r>
          </w:p>
        </w:tc>
        <w:tc>
          <w:tcPr>
            <w:tcW w:type="dxa" w:w="312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pPr>
              <w:spacing w:after="100" w:before="0"/>
              <w:jc w:val="center"/>
            </w:pPr>
            <w:r>
              <w:rPr>
                <w:rFonts w:ascii="Arial" w:cs="Arial" w:eastAsia="Arial" w:hAnsi="Arial"/>
                <w:b w:val="false"/>
                <w:i w:val="false"/>
                <w:iCs w:val="false"/>
                <w:color w:val="666666"/>
                <w:sz w:val="20"/>
                <w:szCs w:val="20"/>
              </w:rPr>
              <w:t xml:space="preserve">À définir — v1.0</w:t>
            </w:r>
          </w:p>
        </w:tc>
        <w:tc>
          <w:tcPr>
            <w:tcW w:type="dxa" w:w="312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pPr>
              <w:spacing w:after="100" w:before="0"/>
              <w:jc w:val="center"/>
            </w:pPr>
            <w:r>
              <w:rPr>
                <w:rFonts w:ascii="Arial" w:cs="Arial" w:eastAsia="Arial" w:hAnsi="Arial"/>
                <w:b w:val="false"/>
                <w:i w:val="false"/>
                <w:iCs w:val="false"/>
                <w:color w:val="666666"/>
                <w:sz w:val="20"/>
                <w:szCs w:val="20"/>
              </w:rPr>
              <w:t xml:space="preserve">À définir — v1.0</w:t>
            </w:r>
          </w:p>
        </w:tc>
      </w:tr>
    </w:tbl>
    <w:p>
      <w:pPr>
        <w:spacing w:after="0" w:before="200"/>
      </w:pPr>
    </w:p>
    <w:p>
      <w:pPr>
        <w:pStyle w:val="Heading1"/>
        <w:pBdr>
          <w:bottom w:val="single" w:color="2E5FA3" w:sz="6" w:space="4"/>
        </w:pBdr>
        <w:spacing w:after="160" w:before="320"/>
      </w:pPr>
      <w:r>
        <w:rPr>
          <w:rFonts w:ascii="Arial" w:cs="Arial" w:eastAsia="Arial" w:hAnsi="Arial"/>
          <w:b/>
          <w:i w:val="false"/>
          <w:iCs w:val="false"/>
          <w:color w:val="1B2A4A"/>
          <w:sz w:val="34"/>
          <w:szCs w:val="34"/>
        </w:rPr>
        <w:t xml:space="preserve">0. Signal vital du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tcPr>
          <w:p>
            <w:pPr>
              <w:spacing w:after="100" w:before="0"/>
              <w:jc w:val="left"/>
            </w:pPr>
            <w:r>
              <w:rPr>
                <w:rFonts w:ascii="Arial" w:cs="Arial" w:eastAsia="Arial" w:hAnsi="Arial"/>
                <w:b/>
                <w:i w:val="false"/>
                <w:iCs w:val="false"/>
                <w:color w:val="FFFFFF"/>
                <w:sz w:val="20"/>
                <w:szCs w:val="20"/>
              </w:rPr>
              <w:t xml:space="preserve">Champ</w:t>
            </w:r>
          </w:p>
        </w:tc>
        <w:tc>
          <w:tcPr>
            <w:tcW w:type="dxa" w:w="656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tcPr>
          <w:p>
            <w:pPr>
              <w:spacing w:after="100" w:before="0"/>
              <w:jc w:val="left"/>
            </w:pPr>
            <w:r>
              <w:rPr>
                <w:rFonts w:ascii="Arial" w:cs="Arial" w:eastAsia="Arial" w:hAnsi="Arial"/>
                <w:b/>
                <w:i w:val="false"/>
                <w:iCs w:val="false"/>
                <w:color w:val="FFFFFF"/>
                <w:sz w:val="20"/>
                <w:szCs w:val="20"/>
              </w:rPr>
              <w:t xml:space="preserve">Valeur</w:t>
            </w:r>
          </w:p>
        </w:tc>
      </w:tr>
      <w:tr>
        <w:tc>
          <w:tcPr>
            <w:tcW w:type="dxa" w:w="28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pPr>
              <w:spacing w:after="100" w:before="0"/>
              <w:jc w:val="left"/>
            </w:pPr>
            <w:r>
              <w:rPr>
                <w:rFonts w:ascii="Arial" w:cs="Arial" w:eastAsia="Arial" w:hAnsi="Arial"/>
                <w:b w:val="false"/>
                <w:i w:val="false"/>
                <w:iCs w:val="false"/>
                <w:color w:val="1B2A4A"/>
                <w:sz w:val="20"/>
                <w:szCs w:val="20"/>
              </w:rPr>
              <w:t xml:space="preserve">role</w:t>
            </w:r>
          </w:p>
        </w:tc>
        <w:tc>
          <w:tcPr>
            <w:tcW w:type="dxa" w:w="65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pPr>
              <w:spacing w:after="100" w:before="0"/>
              <w:jc w:val="left"/>
            </w:pPr>
            <w:r>
              <w:rPr>
                <w:rFonts w:ascii="Arial" w:cs="Arial" w:eastAsia="Arial" w:hAnsi="Arial"/>
                <w:b w:val="false"/>
                <w:i w:val="false"/>
                <w:iCs w:val="false"/>
                <w:color w:val="1B2A4A"/>
                <w:sz w:val="20"/>
                <w:szCs w:val="20"/>
              </w:rPr>
              <w:t xml:space="preserve">container</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100" w:before="0"/>
              <w:jc w:val="left"/>
            </w:pPr>
            <w:r>
              <w:rPr>
                <w:rFonts w:ascii="Arial" w:cs="Arial" w:eastAsia="Arial" w:hAnsi="Arial"/>
                <w:b w:val="false"/>
                <w:i w:val="false"/>
                <w:iCs w:val="false"/>
                <w:color w:val="1B2A4A"/>
                <w:sz w:val="20"/>
                <w:szCs w:val="20"/>
              </w:rPr>
              <w:t xml:space="preserve">status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100" w:before="0"/>
              <w:jc w:val="left"/>
            </w:pPr>
            <w:r>
              <w:rPr>
                <w:rFonts w:ascii="Arial" w:cs="Arial" w:eastAsia="Arial" w:hAnsi="Arial"/>
                <w:b w:val="false"/>
                <w:i w:val="false"/>
                <w:iCs w:val="false"/>
                <w:color w:val="1B2A4A"/>
                <w:sz w:val="20"/>
                <w:szCs w:val="20"/>
              </w:rPr>
              <w:t xml:space="preserve">PENDING — hypothèse de travail, pas encore un protocole</w:t>
            </w:r>
          </w:p>
        </w:tc>
      </w:tr>
      <w:tr>
        <w:tc>
          <w:tcPr>
            <w:tcW w:type="dxa" w:w="28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pPr>
              <w:spacing w:after="100" w:before="0"/>
              <w:jc w:val="left"/>
            </w:pPr>
            <w:r>
              <w:rPr>
                <w:rFonts w:ascii="Arial" w:cs="Arial" w:eastAsia="Arial" w:hAnsi="Arial"/>
                <w:b w:val="false"/>
                <w:i w:val="false"/>
                <w:iCs w:val="false"/>
                <w:color w:val="1B2A4A"/>
                <w:sz w:val="20"/>
                <w:szCs w:val="20"/>
              </w:rPr>
              <w:t xml:space="preserve">signal</w:t>
            </w:r>
          </w:p>
        </w:tc>
        <w:tc>
          <w:tcPr>
            <w:tcW w:type="dxa" w:w="65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pPr>
              <w:spacing w:after="100" w:before="0"/>
              <w:jc w:val="left"/>
            </w:pPr>
            <w:r>
              <w:rPr>
                <w:rFonts w:ascii="Arial" w:cs="Arial" w:eastAsia="Arial" w:hAnsi="Arial"/>
                <w:b w:val="false"/>
                <w:i w:val="false"/>
                <w:iCs w:val="false"/>
                <w:color w:val="1B2A4A"/>
                <w:sz w:val="20"/>
                <w:szCs w:val="20"/>
              </w:rPr>
              <w:t xml:space="preserve">present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100" w:before="0"/>
              <w:jc w:val="left"/>
            </w:pPr>
            <w:r>
              <w:rPr>
                <w:rFonts w:ascii="Arial" w:cs="Arial" w:eastAsia="Arial" w:hAnsi="Arial"/>
                <w:b w:val="false"/>
                <w:i w:val="false"/>
                <w:iCs w:val="false"/>
                <w:color w:val="1B2A4A"/>
                <w:sz w:val="20"/>
                <w:szCs w:val="20"/>
              </w:rPr>
              <w:t xml:space="preserve">created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100" w:before="0"/>
              <w:jc w:val="left"/>
            </w:pPr>
            <w:r>
              <w:rPr>
                <w:rFonts w:ascii="Arial" w:cs="Arial" w:eastAsia="Arial" w:hAnsi="Arial"/>
                <w:b w:val="false"/>
                <w:i w:val="false"/>
                <w:iCs w:val="false"/>
                <w:color w:val="1B2A4A"/>
                <w:sz w:val="20"/>
                <w:szCs w:val="20"/>
              </w:rPr>
              <w:t xml:space="preserve">2026-04-18</w:t>
            </w:r>
          </w:p>
        </w:tc>
      </w:tr>
      <w:tr>
        <w:tc>
          <w:tcPr>
            <w:tcW w:type="dxa" w:w="28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pPr>
              <w:spacing w:after="100" w:before="0"/>
              <w:jc w:val="left"/>
            </w:pPr>
            <w:r>
              <w:rPr>
                <w:rFonts w:ascii="Arial" w:cs="Arial" w:eastAsia="Arial" w:hAnsi="Arial"/>
                <w:b w:val="false"/>
                <w:i w:val="false"/>
                <w:iCs w:val="false"/>
                <w:color w:val="1B2A4A"/>
                <w:sz w:val="20"/>
                <w:szCs w:val="20"/>
              </w:rPr>
              <w:t xml:space="preserve">epistemic_weight</w:t>
            </w:r>
          </w:p>
        </w:tc>
        <w:tc>
          <w:tcPr>
            <w:tcW w:type="dxa" w:w="65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pPr>
              <w:spacing w:after="100" w:before="0"/>
              <w:jc w:val="left"/>
            </w:pPr>
            <w:r>
              <w:rPr>
                <w:rFonts w:ascii="Arial" w:cs="Arial" w:eastAsia="Arial" w:hAnsi="Arial"/>
                <w:b w:val="false"/>
                <w:i w:val="false"/>
                <w:iCs w:val="false"/>
                <w:color w:val="1B2A4A"/>
                <w:sz w:val="20"/>
                <w:szCs w:val="20"/>
              </w:rPr>
              <w:t xml:space="preserve">7 instances · substrat commun LLM Sonnet 4.6 · voir Doc 2</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100" w:before="0"/>
              <w:jc w:val="left"/>
            </w:pPr>
            <w:r>
              <w:rPr>
                <w:rFonts w:ascii="Arial" w:cs="Arial" w:eastAsia="Arial" w:hAnsi="Arial"/>
                <w:b w:val="false"/>
                <w:i w:val="false"/>
                <w:iCs w:val="false"/>
                <w:color w:val="1B2A4A"/>
                <w:sz w:val="20"/>
                <w:szCs w:val="20"/>
              </w:rPr>
              <w:t xml:space="preserve">cross_validated_by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100" w:before="0"/>
              <w:jc w:val="left"/>
            </w:pPr>
            <w:r>
              <w:rPr>
                <w:rFonts w:ascii="Arial" w:cs="Arial" w:eastAsia="Arial" w:hAnsi="Arial"/>
                <w:b w:val="false"/>
                <w:i w:val="false"/>
                <w:iCs w:val="false"/>
                <w:color w:val="1B2A4A"/>
                <w:sz w:val="20"/>
                <w:szCs w:val="20"/>
              </w:rPr>
              <w:t xml:space="preserve">D-SIG · MIF · QAAF · Netpulse · HALO · TOPOSFIN · ILYA</w:t>
            </w:r>
          </w:p>
        </w:tc>
      </w:tr>
      <w:tr>
        <w:tc>
          <w:tcPr>
            <w:tcW w:type="dxa" w:w="28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pPr>
              <w:spacing w:after="100" w:before="0"/>
              <w:jc w:val="left"/>
            </w:pPr>
            <w:r>
              <w:rPr>
                <w:rFonts w:ascii="Arial" w:cs="Arial" w:eastAsia="Arial" w:hAnsi="Arial"/>
                <w:b w:val="false"/>
                <w:i w:val="false"/>
                <w:iCs w:val="false"/>
                <w:color w:val="1B2A4A"/>
                <w:sz w:val="20"/>
                <w:szCs w:val="20"/>
              </w:rPr>
              <w:t xml:space="preserve">activation_mode</w:t>
            </w:r>
          </w:p>
        </w:tc>
        <w:tc>
          <w:tcPr>
            <w:tcW w:type="dxa" w:w="65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pPr>
              <w:spacing w:after="100" w:before="0"/>
              <w:jc w:val="left"/>
            </w:pPr>
            <w:r>
              <w:rPr>
                <w:rFonts w:ascii="Arial" w:cs="Arial" w:eastAsia="Arial" w:hAnsi="Arial"/>
                <w:b w:val="false"/>
                <w:i w:val="false"/>
                <w:iCs w:val="false"/>
                <w:color w:val="1B2A4A"/>
                <w:sz w:val="20"/>
                <w:szCs w:val="20"/>
              </w:rPr>
              <w:t xml:space="preserve">operative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100" w:before="0"/>
              <w:jc w:val="left"/>
            </w:pPr>
            <w:r>
              <w:rPr>
                <w:rFonts w:ascii="Arial" w:cs="Arial" w:eastAsia="Arial" w:hAnsi="Arial"/>
                <w:b w:val="false"/>
                <w:i w:val="false"/>
                <w:iCs w:val="false"/>
                <w:color w:val="1B2A4A"/>
                <w:sz w:val="20"/>
                <w:szCs w:val="20"/>
              </w:rPr>
              <w:t xml:space="preserve">provenance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100" w:before="0"/>
              <w:jc w:val="left"/>
            </w:pPr>
            <w:r>
              <w:rPr>
                <w:rFonts w:ascii="Arial" w:cs="Arial" w:eastAsia="Arial" w:hAnsi="Arial"/>
                <w:b w:val="false"/>
                <w:i w:val="false"/>
                <w:iCs w:val="false"/>
                <w:color w:val="1B2A4A"/>
                <w:sz w:val="20"/>
                <w:szCs w:val="20"/>
              </w:rPr>
              <w:t xml:space="preserve">Dialogue inter-instances — Andrei + Claude Sonnet 4.6</w:t>
            </w:r>
          </w:p>
        </w:tc>
      </w:tr>
      <w:tr>
        <w:tc>
          <w:tcPr>
            <w:tcW w:type="dxa" w:w="28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pPr>
              <w:spacing w:after="100" w:before="0"/>
              <w:jc w:val="left"/>
            </w:pPr>
            <w:r>
              <w:rPr>
                <w:rFonts w:ascii="Arial" w:cs="Arial" w:eastAsia="Arial" w:hAnsi="Arial"/>
                <w:b w:val="false"/>
                <w:i w:val="false"/>
                <w:iCs w:val="false"/>
                <w:color w:val="1B2A4A"/>
                <w:sz w:val="20"/>
                <w:szCs w:val="20"/>
              </w:rPr>
              <w:t xml:space="preserve">archive_ref</w:t>
            </w:r>
          </w:p>
        </w:tc>
        <w:tc>
          <w:tcPr>
            <w:tcW w:type="dxa" w:w="65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pPr>
              <w:spacing w:after="100" w:before="0"/>
              <w:jc w:val="left"/>
            </w:pPr>
            <w:r>
              <w:rPr>
                <w:rFonts w:ascii="Arial" w:cs="Arial" w:eastAsia="Arial" w:hAnsi="Arial"/>
                <w:b w:val="false"/>
                <w:i w:val="false"/>
                <w:iCs w:val="false"/>
                <w:color w:val="1B2A4A"/>
                <w:sz w:val="20"/>
                <w:szCs w:val="20"/>
              </w:rPr>
              <w:t xml:space="preserve">PCCD_Archive_README.md</w:t>
            </w:r>
          </w:p>
        </w:tc>
      </w:tr>
    </w:tbl>
    <w:p>
      <w:pPr>
        <w:spacing w:after="0" w:before="300"/>
      </w:pPr>
    </w:p>
    <w:p>
      <w:pPr>
        <w:pStyle w:val="Heading1"/>
        <w:pBdr>
          <w:bottom w:val="single" w:color="2E5FA3" w:sz="6" w:space="4"/>
        </w:pBdr>
        <w:spacing w:after="160" w:before="320"/>
      </w:pPr>
      <w:r>
        <w:rPr>
          <w:rFonts w:ascii="Arial" w:cs="Arial" w:eastAsia="Arial" w:hAnsi="Arial"/>
          <w:b/>
          <w:i w:val="false"/>
          <w:iCs w:val="false"/>
          <w:color w:val="1B2A4A"/>
          <w:sz w:val="34"/>
          <w:szCs w:val="34"/>
        </w:rPr>
        <w:t xml:space="preserve">1. Ce que PCCD est aujourd'hui</w:t>
      </w:r>
    </w:p>
    <w:p>
      <w:pPr>
        <w:spacing w:after="100" w:before="0"/>
        <w:jc w:val="left"/>
      </w:pPr>
      <w:r>
        <w:rPr>
          <w:rFonts w:ascii="Arial" w:cs="Arial" w:eastAsia="Arial" w:hAnsi="Arial"/>
          <w:b w:val="false"/>
          <w:i w:val="false"/>
          <w:iCs w:val="false"/>
          <w:color w:val="1B2A4A"/>
          <w:sz w:val="22"/>
          <w:szCs w:val="22"/>
        </w:rPr>
        <w:t xml:space="preserve">PCCD est une hypothèse de travail. Elle affirme qu'un pattern structurel émerge invariablement dans tout système de gestion de connaissance cohérent, indépendamment du domaine, de l'exécuteur et du support.</w:t>
      </w:r>
    </w:p>
    <w:p>
      <w:pPr>
        <w:spacing w:after="0" w:before="80"/>
      </w:pPr>
    </w:p>
    <w:p>
      <w:pPr>
        <w:spacing w:after="100" w:before="0"/>
        <w:jc w:val="left"/>
      </w:pPr>
      <w:r>
        <w:rPr>
          <w:rFonts w:ascii="Arial" w:cs="Arial" w:eastAsia="Arial" w:hAnsi="Arial"/>
          <w:b w:val="false"/>
          <w:i w:val="false"/>
          <w:iCs w:val="false"/>
          <w:color w:val="1B2A4A"/>
          <w:sz w:val="22"/>
          <w:szCs w:val="22"/>
        </w:rPr>
        <w:t xml:space="preserve">Ce document ne valide pas cette hypothèse. Il la formule proprement, pose ses invariants candidats, et définit les conditions dans lesquelles elle pourrait être certifiée comme protocole stable.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00"/>
              <w:left w:type="dxa" w:w="150"/>
              <w:bottom w:type="dxa" w:w="100"/>
              <w:right w:type="dxa" w:w="150"/>
            </w:tcMar>
          </w:tcPr>
          <w:p>
            <w:pPr>
              <w:spacing w:after="100" w:before="0"/>
              <w:jc w:val="left"/>
            </w:pPr>
            <w:r>
              <w:rPr>
                <w:rFonts w:ascii="Arial" w:cs="Arial" w:eastAsia="Arial" w:hAnsi="Arial"/>
                <w:b/>
                <w:i w:val="false"/>
                <w:iCs w:val="false"/>
                <w:color w:val="FFFFFF"/>
                <w:sz w:val="21"/>
                <w:szCs w:val="21"/>
              </w:rPr>
              <w:t xml:space="preserve">Principe fondateur</w:t>
            </w:r>
          </w:p>
        </w:tc>
      </w:tr>
      <w:tr>
        <w:tc>
          <w:tcPr>
            <w:tcW w:type="dxa" w:w="9360"/>
            <w:tcBorders>
              <w:top w:val="none" w:color="FFFFFF" w:sz="0"/>
              <w:left w:val="none" w:color="FFFFFF" w:sz="0"/>
              <w:bottom w:val="none" w:color="FFFFFF" w:sz="0"/>
              <w:right w:val="none" w:color="FFFFFF" w:sz="0"/>
            </w:tcBorders>
            <w:shd w:fill="EBF2FA" w:val="clear"/>
            <w:tcMar>
              <w:top w:type="dxa" w:w="100"/>
              <w:left w:type="dxa" w:w="150"/>
              <w:bottom w:type="dxa" w:w="100"/>
              <w:right w:type="dxa" w:w="150"/>
            </w:tcMar>
          </w:tcPr>
          <w:p>
            <w:pPr>
              <w:spacing w:after="100" w:before="0"/>
              <w:jc w:val="left"/>
            </w:pPr>
            <w:r>
              <w:rPr>
                <w:rFonts w:ascii="Arial" w:cs="Arial" w:eastAsia="Arial" w:hAnsi="Arial"/>
                <w:b w:val="false"/>
                <w:i w:val="false"/>
                <w:iCs w:val="false"/>
                <w:color w:val="1B2A4A"/>
                <w:sz w:val="21"/>
                <w:szCs w:val="21"/>
              </w:rPr>
              <w:t xml:space="preserve">Les outils sont des vues sur les données, jamais le conteneur des données.</w:t>
            </w:r>
          </w:p>
          <w:p>
            <w:pPr>
              <w:spacing w:after="100" w:before="0"/>
              <w:jc w:val="left"/>
            </w:pPr>
            <w:r>
              <w:rPr>
                <w:rFonts w:ascii="Arial" w:cs="Arial" w:eastAsia="Arial" w:hAnsi="Arial"/>
                <w:b w:val="false"/>
                <w:i w:val="false"/>
                <w:iCs w:val="false"/>
                <w:color w:val="1B2A4A"/>
                <w:sz w:val="21"/>
                <w:szCs w:val="21"/>
              </w:rPr>
              <w:t xml:space="preserve">La séparation des responsabilités est la condition de survie d'un standard face aux innovations successives.</w:t>
            </w:r>
          </w:p>
        </w:tc>
      </w:tr>
    </w:tbl>
    <w:p>
      <w:pPr>
        <w:spacing w:after="0" w:before="300"/>
      </w:pPr>
    </w:p>
    <w:p>
      <w:pPr>
        <w:pStyle w:val="Heading1"/>
        <w:pBdr>
          <w:bottom w:val="single" w:color="2E5FA3" w:sz="6" w:space="4"/>
        </w:pBdr>
        <w:spacing w:after="160" w:before="320"/>
      </w:pPr>
      <w:r>
        <w:rPr>
          <w:rFonts w:ascii="Arial" w:cs="Arial" w:eastAsia="Arial" w:hAnsi="Arial"/>
          <w:b/>
          <w:i w:val="false"/>
          <w:iCs w:val="false"/>
          <w:color w:val="1B2A4A"/>
          <w:sz w:val="34"/>
          <w:szCs w:val="34"/>
        </w:rPr>
        <w:t xml:space="preserve">2. Périmètre — questions ouvertes</w:t>
      </w:r>
    </w:p>
    <w:p>
      <w:pPr>
        <w:spacing w:after="100" w:before="0"/>
        <w:jc w:val="left"/>
      </w:pPr>
      <w:r>
        <w:rPr>
          <w:rFonts w:ascii="Arial" w:cs="Arial" w:eastAsia="Arial" w:hAnsi="Arial"/>
          <w:b w:val="false"/>
          <w:i/>
          <w:iCs/>
          <w:color w:val="666666"/>
          <w:sz w:val="22"/>
          <w:szCs w:val="22"/>
        </w:rPr>
        <w:t xml:space="preserve">Les trois questions suivantes doivent être tranchées pour que PCCD passe de PENDING à CERTIFIED. Elles définissent le domaine de validité de l'hypothèse.</w:t>
      </w:r>
    </w:p>
    <w:p>
      <w:pPr>
        <w:spacing w:after="0" w:before="120"/>
      </w:pPr>
    </w:p>
    <w:p>
      <w:pPr>
        <w:pStyle w:val="Heading2"/>
        <w:spacing w:after="100" w:before="240"/>
      </w:pPr>
      <w:r>
        <w:rPr>
          <w:rFonts w:ascii="Arial" w:cs="Arial" w:eastAsia="Arial" w:hAnsi="Arial"/>
          <w:b/>
          <w:i w:val="false"/>
          <w:iCs w:val="false"/>
          <w:color w:val="2E5FA3"/>
          <w:sz w:val="26"/>
          <w:szCs w:val="26"/>
        </w:rPr>
        <w:t xml:space="preserve">2.1 Espace</w:t>
      </w:r>
    </w:p>
    <w:p>
      <w:pPr>
        <w:spacing w:after="100" w:before="0"/>
        <w:jc w:val="left"/>
      </w:pPr>
      <w:r>
        <w:rPr>
          <w:rFonts w:ascii="Arial" w:cs="Arial" w:eastAsia="Arial" w:hAnsi="Arial"/>
          <w:b w:val="false"/>
          <w:i w:val="false"/>
          <w:iCs w:val="false"/>
          <w:color w:val="1B2A4A"/>
          <w:sz w:val="22"/>
          <w:szCs w:val="22"/>
        </w:rPr>
        <w:t xml:space="preserve">À quels systèmes PCCD s'applique-t-il ? Le périmètre actuel est non délimité — ce qui rend l'hypothèse difficilement réfutable. Trois options candidates :</w:t>
      </w:r>
    </w:p>
    <w:p>
      <w:pPr>
        <w:spacing w:after="0" w:before="80"/>
      </w:pPr>
    </w:p>
    <w:p>
      <w:pPr>
        <w:pStyle w:val="ListParagraph"/>
        <w:numPr>
          <w:ilvl w:val="0"/>
          <w:numId w:val="2"/>
        </w:numPr>
        <w:spacing w:after="40" w:before="40"/>
      </w:pPr>
      <w:r>
        <w:rPr>
          <w:rFonts w:ascii="Arial" w:cs="Arial" w:eastAsia="Arial" w:hAnsi="Arial"/>
          <w:b w:val="false"/>
          <w:i w:val="false"/>
          <w:iCs w:val="false"/>
          <w:color w:val="1B2A4A"/>
          <w:sz w:val="22"/>
          <w:szCs w:val="22"/>
        </w:rPr>
        <w:t xml:space="preserve">Systèmes documentaires numériques uniquement — périmètre restreint, testable immédiatement</w:t>
      </w:r>
    </w:p>
    <w:p>
      <w:pPr>
        <w:pStyle w:val="ListParagraph"/>
        <w:numPr>
          <w:ilvl w:val="0"/>
          <w:numId w:val="2"/>
        </w:numPr>
        <w:spacing w:after="40" w:before="40"/>
      </w:pPr>
      <w:r>
        <w:rPr>
          <w:rFonts w:ascii="Arial" w:cs="Arial" w:eastAsia="Arial" w:hAnsi="Arial"/>
          <w:b w:val="false"/>
          <w:i w:val="false"/>
          <w:iCs w:val="false"/>
          <w:color w:val="1B2A4A"/>
          <w:sz w:val="22"/>
          <w:szCs w:val="22"/>
        </w:rPr>
        <w:t xml:space="preserve">Tout système de gestion de connaissance cohérent incluant analogique et oral — périmètre large, exposition aux contre-exemples maximale</w:t>
      </w:r>
    </w:p>
    <w:p>
      <w:pPr>
        <w:pStyle w:val="ListParagraph"/>
        <w:numPr>
          <w:ilvl w:val="0"/>
          <w:numId w:val="2"/>
        </w:numPr>
        <w:spacing w:after="40" w:before="40"/>
      </w:pPr>
      <w:r>
        <w:rPr>
          <w:rFonts w:ascii="Arial" w:cs="Arial" w:eastAsia="Arial" w:hAnsi="Arial"/>
          <w:b w:val="false"/>
          <w:i w:val="false"/>
          <w:iCs w:val="false"/>
          <w:color w:val="1B2A4A"/>
          <w:sz w:val="22"/>
          <w:szCs w:val="22"/>
        </w:rPr>
        <w:t xml:space="preserve">Tout système de traitement de l'information au niveau structurel, indépendamment du support — périmètre maximal, risque de non-falsifiabilité</w:t>
      </w:r>
    </w:p>
    <w:p>
      <w:pPr>
        <w:spacing w:after="0" w:before="80"/>
      </w:pPr>
    </w:p>
    <w:p>
      <w:pPr>
        <w:spacing w:after="100" w:before="0"/>
        <w:jc w:val="left"/>
      </w:pPr>
      <w:r>
        <w:rPr>
          <w:rFonts w:ascii="Arial" w:cs="Arial" w:eastAsia="Arial" w:hAnsi="Arial"/>
          <w:b w:val="false"/>
          <w:i/>
          <w:iCs/>
          <w:color w:val="B84A3A"/>
          <w:sz w:val="22"/>
          <w:szCs w:val="22"/>
        </w:rPr>
        <w:t xml:space="preserve">Décision requise avant v1.0.</w:t>
      </w:r>
    </w:p>
    <w:p>
      <w:pPr>
        <w:spacing w:after="0" w:before="160"/>
      </w:pPr>
    </w:p>
    <w:p>
      <w:pPr>
        <w:pStyle w:val="Heading2"/>
        <w:spacing w:after="100" w:before="240"/>
      </w:pPr>
      <w:r>
        <w:rPr>
          <w:rFonts w:ascii="Arial" w:cs="Arial" w:eastAsia="Arial" w:hAnsi="Arial"/>
          <w:b/>
          <w:i w:val="false"/>
          <w:iCs w:val="false"/>
          <w:color w:val="2E5FA3"/>
          <w:sz w:val="26"/>
          <w:szCs w:val="26"/>
        </w:rPr>
        <w:t xml:space="preserve">2.2 Métrique</w:t>
      </w:r>
    </w:p>
    <w:p>
      <w:pPr>
        <w:spacing w:after="100" w:before="0"/>
        <w:jc w:val="left"/>
      </w:pPr>
      <w:r>
        <w:rPr>
          <w:rFonts w:ascii="Arial" w:cs="Arial" w:eastAsia="Arial" w:hAnsi="Arial"/>
          <w:b w:val="false"/>
          <w:i w:val="false"/>
          <w:iCs w:val="false"/>
          <w:color w:val="1B2A4A"/>
          <w:sz w:val="22"/>
          <w:szCs w:val="22"/>
        </w:rPr>
        <w:t xml:space="preserve">PCCD suppose-t-il une distance mesurable entre unités de connaissance (espace métrique) ou seulement une relation de connexité (espace topologique) ? La réponse détermine ce qu'on peut affirmer sur l'orthogonalité des dimensions et exclut ou inclut des domaines entiers.</w:t>
      </w:r>
    </w:p>
    <w:p>
      <w:pPr>
        <w:spacing w:after="0" w:before="80"/>
      </w:pPr>
    </w:p>
    <w:p>
      <w:pPr>
        <w:spacing w:after="100" w:before="0"/>
        <w:jc w:val="left"/>
      </w:pPr>
      <w:r>
        <w:rPr>
          <w:rFonts w:ascii="Arial" w:cs="Arial" w:eastAsia="Arial" w:hAnsi="Arial"/>
          <w:b w:val="false"/>
          <w:i/>
          <w:iCs/>
          <w:color w:val="B84A3A"/>
          <w:sz w:val="22"/>
          <w:szCs w:val="22"/>
        </w:rPr>
        <w:t xml:space="preserve">Décision requise avant v1.0.</w:t>
      </w:r>
    </w:p>
    <w:p>
      <w:pPr>
        <w:spacing w:after="0" w:before="160"/>
      </w:pPr>
    </w:p>
    <w:p>
      <w:pPr>
        <w:pStyle w:val="Heading2"/>
        <w:spacing w:after="100" w:before="240"/>
      </w:pPr>
      <w:r>
        <w:rPr>
          <w:rFonts w:ascii="Arial" w:cs="Arial" w:eastAsia="Arial" w:hAnsi="Arial"/>
          <w:b/>
          <w:i w:val="false"/>
          <w:iCs w:val="false"/>
          <w:color w:val="2E5FA3"/>
          <w:sz w:val="26"/>
          <w:szCs w:val="26"/>
        </w:rPr>
        <w:t xml:space="preserve">2.3 Acteurs</w:t>
      </w:r>
    </w:p>
    <w:p>
      <w:pPr>
        <w:spacing w:after="100" w:before="0"/>
        <w:jc w:val="left"/>
      </w:pPr>
      <w:r>
        <w:rPr>
          <w:rFonts w:ascii="Arial" w:cs="Arial" w:eastAsia="Arial" w:hAnsi="Arial"/>
          <w:b w:val="false"/>
          <w:i w:val="false"/>
          <w:iCs w:val="false"/>
          <w:color w:val="1B2A4A"/>
          <w:sz w:val="22"/>
          <w:szCs w:val="22"/>
        </w:rPr>
        <w:t xml:space="preserve">Qui sont les acteurs légitimes du protocole — humain seul, humain + agent IA, agent IA seul ? Qui est l'entité tierce habilitée à faire passer PCCD de PENDING à CERTIFIED ?</w:t>
      </w:r>
    </w:p>
    <w:p>
      <w:pPr>
        <w:spacing w:after="0" w:before="80"/>
      </w:pPr>
    </w:p>
    <w:p>
      <w:pPr>
        <w:spacing w:after="100" w:before="0"/>
        <w:jc w:val="left"/>
      </w:pPr>
      <w:r>
        <w:rPr>
          <w:rFonts w:ascii="Arial" w:cs="Arial" w:eastAsia="Arial" w:hAnsi="Arial"/>
          <w:b w:val="false"/>
          <w:i/>
          <w:iCs/>
          <w:color w:val="B84A3A"/>
          <w:sz w:val="22"/>
          <w:szCs w:val="22"/>
        </w:rPr>
        <w:t xml:space="preserve">Décision requise avant v1.0.</w:t>
      </w:r>
    </w:p>
    <w:p>
      <w:pPr>
        <w:spacing w:after="0" w:before="300"/>
      </w:pPr>
    </w:p>
    <w:p>
      <w:pPr>
        <w:pStyle w:val="Heading1"/>
        <w:pBdr>
          <w:bottom w:val="single" w:color="2E5FA3" w:sz="6" w:space="4"/>
        </w:pBdr>
        <w:spacing w:after="160" w:before="320"/>
      </w:pPr>
      <w:r>
        <w:rPr>
          <w:rFonts w:ascii="Arial" w:cs="Arial" w:eastAsia="Arial" w:hAnsi="Arial"/>
          <w:b/>
          <w:i w:val="false"/>
          <w:iCs w:val="false"/>
          <w:color w:val="1B2A4A"/>
          <w:sz w:val="34"/>
          <w:szCs w:val="34"/>
        </w:rPr>
        <w:t xml:space="preserve">3. Le Pattern — hypothèse centrale</w:t>
      </w:r>
    </w:p>
    <w:p>
      <w:pPr>
        <w:spacing w:after="100" w:before="0"/>
        <w:jc w:val="left"/>
      </w:pPr>
      <w:r>
        <w:rPr>
          <w:rFonts w:ascii="Arial" w:cs="Arial" w:eastAsia="Arial" w:hAnsi="Arial"/>
          <w:b w:val="false"/>
          <w:i w:val="false"/>
          <w:iCs w:val="false"/>
          <w:color w:val="1B2A4A"/>
          <w:sz w:val="22"/>
          <w:szCs w:val="22"/>
        </w:rPr>
        <w:t xml:space="preserve">Tout système de connaissance cohérent dans le périmètre de PCCD présenterait trois dimensions simultanées. Ces dimensions sont distinguables en intention. Leur orthogonalité est postulée, non démontrée — c'est une des conditions de certification.</w:t>
      </w:r>
    </w:p>
    <w:p>
      <w:pPr>
        <w:spacing w:after="0" w:before="120"/>
      </w:pPr>
    </w:p>
    <w:p>
      <w:pPr>
        <w:pStyle w:val="Heading2"/>
        <w:spacing w:after="100" w:before="240"/>
      </w:pPr>
      <w:r>
        <w:rPr>
          <w:rFonts w:ascii="Arial" w:cs="Arial" w:eastAsia="Arial" w:hAnsi="Arial"/>
          <w:b/>
          <w:i w:val="false"/>
          <w:iCs w:val="false"/>
          <w:color w:val="2E5FA3"/>
          <w:sz w:val="26"/>
          <w:szCs w:val="26"/>
        </w:rPr>
        <w:t xml:space="preserve">3.1 Dimension spatiale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c>
          <w:tcPr>
            <w:tcW w:type="dxa" w:w="22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tcPr>
          <w:p>
            <w:pPr>
              <w:spacing w:after="100" w:before="0"/>
              <w:jc w:val="left"/>
            </w:pPr>
            <w:r>
              <w:rPr>
                <w:rFonts w:ascii="Arial" w:cs="Arial" w:eastAsia="Arial" w:hAnsi="Arial"/>
                <w:b/>
                <w:i w:val="false"/>
                <w:iCs w:val="false"/>
                <w:color w:val="FFFFFF"/>
                <w:sz w:val="20"/>
                <w:szCs w:val="20"/>
              </w:rPr>
              <w:t xml:space="preserve">Couche</w:t>
            </w:r>
          </w:p>
        </w:tc>
        <w:tc>
          <w:tcPr>
            <w:tcW w:type="dxa" w:w="456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tcPr>
          <w:p>
            <w:pPr>
              <w:spacing w:after="100" w:before="0"/>
              <w:jc w:val="left"/>
            </w:pPr>
            <w:r>
              <w:rPr>
                <w:rFonts w:ascii="Arial" w:cs="Arial" w:eastAsia="Arial" w:hAnsi="Arial"/>
                <w:b/>
                <w:i w:val="false"/>
                <w:iCs w:val="false"/>
                <w:color w:val="FFFFFF"/>
                <w:sz w:val="20"/>
                <w:szCs w:val="20"/>
              </w:rPr>
              <w:t xml:space="preserve">Rôle fonctionnel</w:t>
            </w:r>
          </w:p>
        </w:tc>
        <w:tc>
          <w:tcPr>
            <w:tcW w:type="dxa" w:w="26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tcPr>
          <w:p>
            <w:pPr>
              <w:spacing w:after="100" w:before="0"/>
              <w:jc w:val="left"/>
            </w:pPr>
            <w:r>
              <w:rPr>
                <w:rFonts w:ascii="Arial" w:cs="Arial" w:eastAsia="Arial" w:hAnsi="Arial"/>
                <w:b/>
                <w:i w:val="false"/>
                <w:iCs w:val="false"/>
                <w:color w:val="FFFFFF"/>
                <w:sz w:val="20"/>
                <w:szCs w:val="20"/>
              </w:rPr>
              <w:t xml:space="preserve">Précondition</w:t>
            </w:r>
          </w:p>
        </w:tc>
      </w:tr>
      <w:tr>
        <w:tc>
          <w:tcPr>
            <w:tcW w:type="dxa" w:w="22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pPr>
              <w:spacing w:after="100" w:before="0"/>
              <w:jc w:val="left"/>
            </w:pPr>
            <w:r>
              <w:rPr>
                <w:rFonts w:ascii="Arial" w:cs="Arial" w:eastAsia="Arial" w:hAnsi="Arial"/>
                <w:b w:val="false"/>
                <w:i w:val="false"/>
                <w:iCs w:val="false"/>
                <w:color w:val="1B2A4A"/>
                <w:sz w:val="20"/>
                <w:szCs w:val="20"/>
              </w:rPr>
              <w:t xml:space="preserve">Locale</w:t>
            </w:r>
          </w:p>
        </w:tc>
        <w:tc>
          <w:tcPr>
            <w:tcW w:type="dxa" w:w="45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pPr>
              <w:spacing w:after="100" w:before="0"/>
              <w:jc w:val="left"/>
            </w:pPr>
            <w:r>
              <w:rPr>
                <w:rFonts w:ascii="Arial" w:cs="Arial" w:eastAsia="Arial" w:hAnsi="Arial"/>
                <w:b w:val="false"/>
                <w:i w:val="false"/>
                <w:iCs w:val="false"/>
                <w:color w:val="1B2A4A"/>
                <w:sz w:val="20"/>
                <w:szCs w:val="20"/>
              </w:rPr>
              <w:t xml:space="preserve">État actif — mémoire de travail</w:t>
            </w:r>
          </w:p>
        </w:tc>
        <w:tc>
          <w:tcPr>
            <w:tcW w:type="dxa" w:w="26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pPr>
              <w:spacing w:after="100" w:before="0"/>
              <w:jc w:val="left"/>
            </w:pPr>
            <w:r>
              <w:rPr>
                <w:rFonts w:ascii="Arial" w:cs="Arial" w:eastAsia="Arial" w:hAnsi="Arial"/>
                <w:b w:val="false"/>
                <w:i w:val="false"/>
                <w:iCs w:val="false"/>
                <w:color w:val="1B2A4A"/>
                <w:sz w:val="20"/>
                <w:szCs w:val="20"/>
              </w:rPr>
              <w:t xml:space="preserve">Précondition des deux autres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100" w:before="0"/>
              <w:jc w:val="left"/>
            </w:pPr>
            <w:r>
              <w:rPr>
                <w:rFonts w:ascii="Arial" w:cs="Arial" w:eastAsia="Arial" w:hAnsi="Arial"/>
                <w:b w:val="false"/>
                <w:i w:val="false"/>
                <w:iCs w:val="false"/>
                <w:color w:val="1B2A4A"/>
                <w:sz w:val="20"/>
                <w:szCs w:val="20"/>
              </w:rPr>
              <w:t xml:space="preserve">Distante</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100" w:before="0"/>
              <w:jc w:val="left"/>
            </w:pPr>
            <w:r>
              <w:rPr>
                <w:rFonts w:ascii="Arial" w:cs="Arial" w:eastAsia="Arial" w:hAnsi="Arial"/>
                <w:b w:val="false"/>
                <w:i w:val="false"/>
                <w:iCs w:val="false"/>
                <w:color w:val="1B2A4A"/>
                <w:sz w:val="20"/>
                <w:szCs w:val="20"/>
              </w:rPr>
              <w:t xml:space="preserve">Archive consolidée — mémoire long terme</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100" w:before="0"/>
              <w:jc w:val="left"/>
            </w:pPr>
            <w:r>
              <w:rPr>
                <w:rFonts w:ascii="Arial" w:cs="Arial" w:eastAsia="Arial" w:hAnsi="Arial"/>
                <w:b w:val="false"/>
                <w:i w:val="false"/>
                <w:iCs w:val="false"/>
                <w:color w:val="1B2A4A"/>
                <w:sz w:val="20"/>
                <w:szCs w:val="20"/>
              </w:rPr>
              <w:t xml:space="preserve">Requiert couche locale valide</w:t>
            </w:r>
          </w:p>
        </w:tc>
      </w:tr>
      <w:tr>
        <w:tc>
          <w:tcPr>
            <w:tcW w:type="dxa" w:w="22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pPr>
              <w:spacing w:after="100" w:before="0"/>
              <w:jc w:val="left"/>
            </w:pPr>
            <w:r>
              <w:rPr>
                <w:rFonts w:ascii="Arial" w:cs="Arial" w:eastAsia="Arial" w:hAnsi="Arial"/>
                <w:b w:val="false"/>
                <w:i w:val="false"/>
                <w:iCs w:val="false"/>
                <w:color w:val="1B2A4A"/>
                <w:sz w:val="20"/>
                <w:szCs w:val="20"/>
              </w:rPr>
              <w:t xml:space="preserve">Interférente</w:t>
            </w:r>
          </w:p>
        </w:tc>
        <w:tc>
          <w:tcPr>
            <w:tcW w:type="dxa" w:w="45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pPr>
              <w:spacing w:after="100" w:before="0"/>
              <w:jc w:val="left"/>
            </w:pPr>
            <w:r>
              <w:rPr>
                <w:rFonts w:ascii="Arial" w:cs="Arial" w:eastAsia="Arial" w:hAnsi="Arial"/>
                <w:b w:val="false"/>
                <w:i w:val="false"/>
                <w:iCs w:val="false"/>
                <w:color w:val="1B2A4A"/>
                <w:sz w:val="20"/>
                <w:szCs w:val="20"/>
              </w:rPr>
              <w:t xml:space="preserve">Mémoire associative — liens entre couches</w:t>
            </w:r>
          </w:p>
        </w:tc>
        <w:tc>
          <w:tcPr>
            <w:tcW w:type="dxa" w:w="26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pPr>
              <w:spacing w:after="100" w:before="0"/>
              <w:jc w:val="left"/>
            </w:pPr>
            <w:r>
              <w:rPr>
                <w:rFonts w:ascii="Arial" w:cs="Arial" w:eastAsia="Arial" w:hAnsi="Arial"/>
                <w:b w:val="false"/>
                <w:i w:val="false"/>
                <w:iCs w:val="false"/>
                <w:color w:val="1B2A4A"/>
                <w:sz w:val="20"/>
                <w:szCs w:val="20"/>
              </w:rPr>
              <w:t xml:space="preserve">Requiert les deux couches</w:t>
            </w:r>
          </w:p>
        </w:tc>
      </w:tr>
    </w:tbl>
    <w:p>
      <w:pPr>
        <w:spacing w:after="0" w:before="120"/>
      </w:pPr>
    </w:p>
    <w:p>
      <w:pPr>
        <w:pStyle w:val="Heading2"/>
        <w:spacing w:after="100" w:before="240"/>
      </w:pPr>
      <w:r>
        <w:rPr>
          <w:rFonts w:ascii="Arial" w:cs="Arial" w:eastAsia="Arial" w:hAnsi="Arial"/>
          <w:b/>
          <w:i w:val="false"/>
          <w:iCs w:val="false"/>
          <w:color w:val="2E5FA3"/>
          <w:sz w:val="26"/>
          <w:szCs w:val="26"/>
        </w:rPr>
        <w:t xml:space="preserve">3.2 Dimension temporelle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A7F7F" w:val="clear"/>
            <w:tcMar>
              <w:top w:type="dxa" w:w="100"/>
              <w:left w:type="dxa" w:w="150"/>
              <w:bottom w:type="dxa" w:w="100"/>
              <w:right w:type="dxa" w:w="150"/>
            </w:tcMar>
          </w:tcPr>
          <w:p>
            <w:pPr>
              <w:spacing w:after="100" w:before="0"/>
              <w:jc w:val="left"/>
            </w:pPr>
            <w:r>
              <w:rPr>
                <w:rFonts w:ascii="Arial" w:cs="Arial" w:eastAsia="Arial" w:hAnsi="Arial"/>
                <w:b/>
                <w:i w:val="false"/>
                <w:iCs w:val="false"/>
                <w:color w:val="FFFFFF"/>
                <w:sz w:val="20"/>
                <w:szCs w:val="20"/>
              </w:rPr>
              <w:t xml:space="preserve">État</w:t>
            </w:r>
          </w:p>
        </w:tc>
        <w:tc>
          <w:tcPr>
            <w:tcW w:type="dxa" w:w="6560"/>
            <w:tcBorders>
              <w:top w:val="single" w:color="CCCCCC" w:sz="1"/>
              <w:left w:val="single" w:color="CCCCCC" w:sz="1"/>
              <w:bottom w:val="single" w:color="CCCCCC" w:sz="1"/>
              <w:right w:val="single" w:color="CCCCCC" w:sz="1"/>
            </w:tcBorders>
            <w:shd w:fill="2A7F7F" w:val="clear"/>
            <w:tcMar>
              <w:top w:type="dxa" w:w="100"/>
              <w:left w:type="dxa" w:w="150"/>
              <w:bottom w:type="dxa" w:w="100"/>
              <w:right w:type="dxa" w:w="150"/>
            </w:tcMar>
          </w:tcPr>
          <w:p>
            <w:pPr>
              <w:spacing w:after="100" w:before="0"/>
              <w:jc w:val="left"/>
            </w:pPr>
            <w:r>
              <w:rPr>
                <w:rFonts w:ascii="Arial" w:cs="Arial" w:eastAsia="Arial" w:hAnsi="Arial"/>
                <w:b/>
                <w:i w:val="false"/>
                <w:iCs w:val="false"/>
                <w:color w:val="FFFFFF"/>
                <w:sz w:val="20"/>
                <w:szCs w:val="20"/>
              </w:rPr>
              <w:t xml:space="preserve">Portée</w:t>
            </w:r>
          </w:p>
        </w:tc>
      </w:tr>
      <w:tr>
        <w:tc>
          <w:tcPr>
            <w:tcW w:type="dxa" w:w="28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pPr>
              <w:spacing w:after="100" w:before="0"/>
              <w:jc w:val="left"/>
            </w:pPr>
            <w:r>
              <w:rPr>
                <w:rFonts w:ascii="Arial" w:cs="Arial" w:eastAsia="Arial" w:hAnsi="Arial"/>
                <w:b w:val="false"/>
                <w:i w:val="false"/>
                <w:iCs w:val="false"/>
                <w:color w:val="1B2A4A"/>
                <w:sz w:val="20"/>
                <w:szCs w:val="20"/>
              </w:rPr>
              <w:t xml:space="preserve">Passé lointain</w:t>
            </w:r>
          </w:p>
        </w:tc>
        <w:tc>
          <w:tcPr>
            <w:tcW w:type="dxa" w:w="65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pPr>
              <w:spacing w:after="100" w:before="0"/>
              <w:jc w:val="left"/>
            </w:pPr>
            <w:r>
              <w:rPr>
                <w:rFonts w:ascii="Arial" w:cs="Arial" w:eastAsia="Arial" w:hAnsi="Arial"/>
                <w:b w:val="false"/>
                <w:i w:val="false"/>
                <w:iCs w:val="false"/>
                <w:color w:val="1B2A4A"/>
                <w:sz w:val="20"/>
                <w:szCs w:val="20"/>
              </w:rPr>
              <w:t xml:space="preserve">Archive froide — référence stable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100" w:before="0"/>
              <w:jc w:val="left"/>
            </w:pPr>
            <w:r>
              <w:rPr>
                <w:rFonts w:ascii="Arial" w:cs="Arial" w:eastAsia="Arial" w:hAnsi="Arial"/>
                <w:b w:val="false"/>
                <w:i w:val="false"/>
                <w:iCs w:val="false"/>
                <w:color w:val="1B2A4A"/>
                <w:sz w:val="20"/>
                <w:szCs w:val="20"/>
              </w:rPr>
              <w:t xml:space="preserve">Passé proche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100" w:before="0"/>
              <w:jc w:val="left"/>
            </w:pPr>
            <w:r>
              <w:rPr>
                <w:rFonts w:ascii="Arial" w:cs="Arial" w:eastAsia="Arial" w:hAnsi="Arial"/>
                <w:b w:val="false"/>
                <w:i w:val="false"/>
                <w:iCs w:val="false"/>
                <w:color w:val="1B2A4A"/>
                <w:sz w:val="20"/>
                <w:szCs w:val="20"/>
              </w:rPr>
              <w:t xml:space="preserve">Contexte récent — signal de continuité</w:t>
            </w:r>
          </w:p>
        </w:tc>
      </w:tr>
      <w:tr>
        <w:tc>
          <w:tcPr>
            <w:tcW w:type="dxa" w:w="28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pPr>
              <w:spacing w:after="100" w:before="0"/>
              <w:jc w:val="left"/>
            </w:pPr>
            <w:r>
              <w:rPr>
                <w:rFonts w:ascii="Arial" w:cs="Arial" w:eastAsia="Arial" w:hAnsi="Arial"/>
                <w:b w:val="false"/>
                <w:i w:val="false"/>
                <w:iCs w:val="false"/>
                <w:color w:val="1B2A4A"/>
                <w:sz w:val="20"/>
                <w:szCs w:val="20"/>
              </w:rPr>
              <w:t xml:space="preserve">Présent</w:t>
            </w:r>
          </w:p>
        </w:tc>
        <w:tc>
          <w:tcPr>
            <w:tcW w:type="dxa" w:w="65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pPr>
              <w:spacing w:after="100" w:before="0"/>
              <w:jc w:val="left"/>
            </w:pPr>
            <w:r>
              <w:rPr>
                <w:rFonts w:ascii="Arial" w:cs="Arial" w:eastAsia="Arial" w:hAnsi="Arial"/>
                <w:b w:val="false"/>
                <w:i w:val="false"/>
                <w:iCs w:val="false"/>
                <w:color w:val="1B2A4A"/>
                <w:sz w:val="20"/>
                <w:szCs w:val="20"/>
              </w:rPr>
              <w:t xml:space="preserve">Point d'action — état actif</w:t>
            </w:r>
          </w:p>
        </w:tc>
      </w:tr>
    </w:tbl>
    <w:p>
      <w:pPr>
        <w:spacing w:after="0" w:before="120"/>
      </w:pPr>
    </w:p>
    <w:p>
      <w:pPr>
        <w:pStyle w:val="Heading2"/>
        <w:spacing w:after="100" w:before="240"/>
      </w:pPr>
      <w:r>
        <w:rPr>
          <w:rFonts w:ascii="Arial" w:cs="Arial" w:eastAsia="Arial" w:hAnsi="Arial"/>
          <w:b/>
          <w:i w:val="false"/>
          <w:iCs w:val="false"/>
          <w:color w:val="2E5FA3"/>
          <w:sz w:val="26"/>
          <w:szCs w:val="26"/>
        </w:rPr>
        <w:t xml:space="preserve">3.3 Dimension modale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c>
          <w:tcPr>
            <w:tcW w:type="dxa" w:w="2200"/>
            <w:tcBorders>
              <w:top w:val="single" w:color="CCCCCC" w:sz="1"/>
              <w:left w:val="single" w:color="CCCCCC" w:sz="1"/>
              <w:bottom w:val="single" w:color="CCCCCC" w:sz="1"/>
              <w:right w:val="single" w:color="CCCCCC" w:sz="1"/>
            </w:tcBorders>
            <w:shd w:fill="2A7F7F" w:val="clear"/>
            <w:tcMar>
              <w:top w:type="dxa" w:w="100"/>
              <w:left w:type="dxa" w:w="150"/>
              <w:bottom w:type="dxa" w:w="100"/>
              <w:right w:type="dxa" w:w="150"/>
            </w:tcMar>
          </w:tcPr>
          <w:p>
            <w:pPr>
              <w:spacing w:after="100" w:before="0"/>
              <w:jc w:val="left"/>
            </w:pPr>
            <w:r>
              <w:rPr>
                <w:rFonts w:ascii="Arial" w:cs="Arial" w:eastAsia="Arial" w:hAnsi="Arial"/>
                <w:b/>
                <w:i w:val="false"/>
                <w:iCs w:val="false"/>
                <w:color w:val="FFFFFF"/>
                <w:sz w:val="20"/>
                <w:szCs w:val="20"/>
              </w:rPr>
              <w:t xml:space="preserve">Mode</w:t>
            </w:r>
          </w:p>
        </w:tc>
        <w:tc>
          <w:tcPr>
            <w:tcW w:type="dxa" w:w="3160"/>
            <w:tcBorders>
              <w:top w:val="single" w:color="CCCCCC" w:sz="1"/>
              <w:left w:val="single" w:color="CCCCCC" w:sz="1"/>
              <w:bottom w:val="single" w:color="CCCCCC" w:sz="1"/>
              <w:right w:val="single" w:color="CCCCCC" w:sz="1"/>
            </w:tcBorders>
            <w:shd w:fill="2A7F7F" w:val="clear"/>
            <w:tcMar>
              <w:top w:type="dxa" w:w="100"/>
              <w:left w:type="dxa" w:w="150"/>
              <w:bottom w:type="dxa" w:w="100"/>
              <w:right w:type="dxa" w:w="150"/>
            </w:tcMar>
          </w:tcPr>
          <w:p>
            <w:pPr>
              <w:spacing w:after="100" w:before="0"/>
              <w:jc w:val="left"/>
            </w:pPr>
            <w:r>
              <w:rPr>
                <w:rFonts w:ascii="Arial" w:cs="Arial" w:eastAsia="Arial" w:hAnsi="Arial"/>
                <w:b/>
                <w:i w:val="false"/>
                <w:iCs w:val="false"/>
                <w:color w:val="FFFFFF"/>
                <w:sz w:val="20"/>
                <w:szCs w:val="20"/>
              </w:rPr>
              <w:t xml:space="preserve">Lecteur naturel</w:t>
            </w:r>
          </w:p>
        </w:tc>
        <w:tc>
          <w:tcPr>
            <w:tcW w:type="dxa" w:w="4000"/>
            <w:tcBorders>
              <w:top w:val="single" w:color="CCCCCC" w:sz="1"/>
              <w:left w:val="single" w:color="CCCCCC" w:sz="1"/>
              <w:bottom w:val="single" w:color="CCCCCC" w:sz="1"/>
              <w:right w:val="single" w:color="CCCCCC" w:sz="1"/>
            </w:tcBorders>
            <w:shd w:fill="2A7F7F" w:val="clear"/>
            <w:tcMar>
              <w:top w:type="dxa" w:w="100"/>
              <w:left w:type="dxa" w:w="150"/>
              <w:bottom w:type="dxa" w:w="100"/>
              <w:right w:type="dxa" w:w="150"/>
            </w:tcMar>
          </w:tcPr>
          <w:p>
            <w:pPr>
              <w:spacing w:after="100" w:before="0"/>
              <w:jc w:val="left"/>
            </w:pPr>
            <w:r>
              <w:rPr>
                <w:rFonts w:ascii="Arial" w:cs="Arial" w:eastAsia="Arial" w:hAnsi="Arial"/>
                <w:b/>
                <w:i w:val="false"/>
                <w:iCs w:val="false"/>
                <w:color w:val="FFFFFF"/>
                <w:sz w:val="20"/>
                <w:szCs w:val="20"/>
              </w:rPr>
              <w:t xml:space="preserve">Ancrage littérature</w:t>
            </w:r>
          </w:p>
        </w:tc>
      </w:tr>
      <w:tr>
        <w:tc>
          <w:tcPr>
            <w:tcW w:type="dxa" w:w="22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pPr>
              <w:spacing w:after="100" w:before="0"/>
              <w:jc w:val="left"/>
            </w:pPr>
            <w:r>
              <w:rPr>
                <w:rFonts w:ascii="Arial" w:cs="Arial" w:eastAsia="Arial" w:hAnsi="Arial"/>
                <w:b w:val="false"/>
                <w:i w:val="false"/>
                <w:iCs w:val="false"/>
                <w:color w:val="1B2A4A"/>
                <w:sz w:val="20"/>
                <w:szCs w:val="20"/>
              </w:rPr>
              <w:t xml:space="preserve">Narratif</w:t>
            </w:r>
          </w:p>
        </w:tc>
        <w:tc>
          <w:tcPr>
            <w:tcW w:type="dxa" w:w="31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pPr>
              <w:spacing w:after="100" w:before="0"/>
              <w:jc w:val="left"/>
            </w:pPr>
            <w:r>
              <w:rPr>
                <w:rFonts w:ascii="Arial" w:cs="Arial" w:eastAsia="Arial" w:hAnsi="Arial"/>
                <w:b w:val="false"/>
                <w:i w:val="false"/>
                <w:iCs w:val="false"/>
                <w:color w:val="1B2A4A"/>
                <w:sz w:val="20"/>
                <w:szCs w:val="20"/>
              </w:rPr>
              <w:t xml:space="preserve">Humain</w:t>
            </w:r>
          </w:p>
        </w:tc>
        <w:tc>
          <w:tcPr>
            <w:tcW w:type="dxa" w:w="40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pPr>
              <w:spacing w:after="100" w:before="0"/>
              <w:jc w:val="left"/>
            </w:pPr>
            <w:r>
              <w:rPr>
                <w:rFonts w:ascii="Arial" w:cs="Arial" w:eastAsia="Arial" w:hAnsi="Arial"/>
                <w:b w:val="false"/>
                <w:i w:val="false"/>
                <w:iCs w:val="false"/>
                <w:color w:val="1B2A4A"/>
                <w:sz w:val="20"/>
                <w:szCs w:val="20"/>
              </w:rPr>
              <w:t xml:space="preserve">CLT — Trope &amp; Liberman 2003</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100" w:before="0"/>
              <w:jc w:val="left"/>
            </w:pPr>
            <w:r>
              <w:rPr>
                <w:rFonts w:ascii="Arial" w:cs="Arial" w:eastAsia="Arial" w:hAnsi="Arial"/>
                <w:b w:val="false"/>
                <w:i w:val="false"/>
                <w:iCs w:val="false"/>
                <w:color w:val="1B2A4A"/>
                <w:sz w:val="20"/>
                <w:szCs w:val="20"/>
              </w:rPr>
              <w:t xml:space="preserve">Vectoriel</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100" w:before="0"/>
              <w:jc w:val="left"/>
            </w:pPr>
            <w:r>
              <w:rPr>
                <w:rFonts w:ascii="Arial" w:cs="Arial" w:eastAsia="Arial" w:hAnsi="Arial"/>
                <w:b w:val="false"/>
                <w:i w:val="false"/>
                <w:iCs w:val="false"/>
                <w:color w:val="1B2A4A"/>
                <w:sz w:val="20"/>
                <w:szCs w:val="20"/>
              </w:rPr>
              <w:t xml:space="preserve">Agent LLM</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100" w:before="0"/>
              <w:jc w:val="left"/>
            </w:pPr>
            <w:r>
              <w:rPr>
                <w:rFonts w:ascii="Arial" w:cs="Arial" w:eastAsia="Arial" w:hAnsi="Arial"/>
                <w:b w:val="false"/>
                <w:i w:val="false"/>
                <w:iCs w:val="false"/>
                <w:color w:val="1B2A4A"/>
                <w:sz w:val="20"/>
                <w:szCs w:val="20"/>
              </w:rPr>
              <w:t xml:space="preserve">VECTOR — Almeida et al. 2025</w:t>
            </w:r>
          </w:p>
        </w:tc>
      </w:tr>
      <w:tr>
        <w:tc>
          <w:tcPr>
            <w:tcW w:type="dxa" w:w="22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pPr>
              <w:spacing w:after="100" w:before="0"/>
              <w:jc w:val="left"/>
            </w:pPr>
            <w:r>
              <w:rPr>
                <w:rFonts w:ascii="Arial" w:cs="Arial" w:eastAsia="Arial" w:hAnsi="Arial"/>
                <w:b w:val="false"/>
                <w:i w:val="false"/>
                <w:iCs w:val="false"/>
                <w:color w:val="1B2A4A"/>
                <w:sz w:val="20"/>
                <w:szCs w:val="20"/>
              </w:rPr>
              <w:t xml:space="preserve">Structuré</w:t>
            </w:r>
          </w:p>
        </w:tc>
        <w:tc>
          <w:tcPr>
            <w:tcW w:type="dxa" w:w="31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pPr>
              <w:spacing w:after="100" w:before="0"/>
              <w:jc w:val="left"/>
            </w:pPr>
            <w:r>
              <w:rPr>
                <w:rFonts w:ascii="Arial" w:cs="Arial" w:eastAsia="Arial" w:hAnsi="Arial"/>
                <w:b w:val="false"/>
                <w:i w:val="false"/>
                <w:iCs w:val="false"/>
                <w:color w:val="1B2A4A"/>
                <w:sz w:val="20"/>
                <w:szCs w:val="20"/>
              </w:rPr>
              <w:t xml:space="preserve">Humain + agent</w:t>
            </w:r>
          </w:p>
        </w:tc>
        <w:tc>
          <w:tcPr>
            <w:tcW w:type="dxa" w:w="40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pPr>
              <w:spacing w:after="100" w:before="0"/>
              <w:jc w:val="left"/>
            </w:pPr>
            <w:r>
              <w:rPr>
                <w:rFonts w:ascii="Arial" w:cs="Arial" w:eastAsia="Arial" w:hAnsi="Arial"/>
                <w:b w:val="false"/>
                <w:i w:val="false"/>
                <w:iCs w:val="false"/>
                <w:color w:val="1B2A4A"/>
                <w:sz w:val="20"/>
                <w:szCs w:val="20"/>
              </w:rPr>
              <w:t xml:space="preserve">ATI — Asghar Abidi et al. 2024</w:t>
            </w:r>
          </w:p>
        </w:tc>
      </w:tr>
    </w:tbl>
    <w:p>
      <w:pPr>
        <w:spacing w:after="0" w:before="80"/>
      </w:pPr>
    </w:p>
    <w:p>
      <w:pPr>
        <w:spacing w:after="100" w:before="0"/>
        <w:jc w:val="left"/>
      </w:pPr>
      <w:r>
        <w:rPr>
          <w:rFonts w:ascii="Arial" w:cs="Arial" w:eastAsia="Arial" w:hAnsi="Arial"/>
          <w:b w:val="false"/>
          <w:i/>
          <w:iCs/>
          <w:color w:val="666666"/>
          <w:sz w:val="20"/>
          <w:szCs w:val="20"/>
        </w:rPr>
        <w:t xml:space="preserve">Note : CLT, VECTOR et ATI sont les trois ancres bibliographiques les plus proches identifiées. Elles confirment chaque dimension indépendamment mais ne formalisent pas leur combinaison. PCCD est la première tentative de les unifier en un protocole opérationnel.</w:t>
      </w:r>
    </w:p>
    <w:p>
      <w:pPr>
        <w:spacing w:after="0" w:before="300"/>
      </w:pPr>
    </w:p>
    <w:p>
      <w:pPr>
        <w:pStyle w:val="Heading1"/>
        <w:pBdr>
          <w:bottom w:val="single" w:color="2E5FA3" w:sz="6" w:space="4"/>
        </w:pBdr>
        <w:spacing w:after="160" w:before="320"/>
      </w:pPr>
      <w:r>
        <w:rPr>
          <w:rFonts w:ascii="Arial" w:cs="Arial" w:eastAsia="Arial" w:hAnsi="Arial"/>
          <w:b/>
          <w:i w:val="false"/>
          <w:iCs w:val="false"/>
          <w:color w:val="1B2A4A"/>
          <w:sz w:val="34"/>
          <w:szCs w:val="34"/>
        </w:rPr>
        <w:t xml:space="preserve">4. Invariants candidats</w:t>
      </w:r>
    </w:p>
    <w:p>
      <w:pPr>
        <w:spacing w:after="100" w:before="0"/>
        <w:jc w:val="left"/>
      </w:pPr>
      <w:r>
        <w:rPr>
          <w:rFonts w:ascii="Arial" w:cs="Arial" w:eastAsia="Arial" w:hAnsi="Arial"/>
          <w:b w:val="false"/>
          <w:i w:val="false"/>
          <w:iCs w:val="false"/>
          <w:color w:val="1B2A4A"/>
          <w:sz w:val="22"/>
          <w:szCs w:val="22"/>
        </w:rPr>
        <w:t xml:space="preserve">Ces invariants sont des candidats — ils ont résisté à la validation collective des sept instances mais n'ont pas encore été soumis à un test de réfutabilité formel.</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960"/>
        <w:gridCol w:w="2000"/>
      </w:tblGrid>
      <w:tr>
        <w:tc>
          <w:tcPr>
            <w:tcW w:type="dxa" w:w="14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tcPr>
          <w:p>
            <w:pPr>
              <w:spacing w:after="100" w:before="0"/>
              <w:jc w:val="left"/>
            </w:pPr>
            <w:r>
              <w:rPr>
                <w:rFonts w:ascii="Arial" w:cs="Arial" w:eastAsia="Arial" w:hAnsi="Arial"/>
                <w:b/>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tcPr>
          <w:p>
            <w:pPr>
              <w:spacing w:after="100" w:before="0"/>
              <w:jc w:val="left"/>
            </w:pPr>
            <w:r>
              <w:rPr>
                <w:rFonts w:ascii="Arial" w:cs="Arial" w:eastAsia="Arial" w:hAnsi="Arial"/>
                <w:b/>
                <w:i w:val="false"/>
                <w:iCs w:val="false"/>
                <w:color w:val="FFFFFF"/>
                <w:sz w:val="20"/>
                <w:szCs w:val="20"/>
              </w:rPr>
              <w:t xml:space="preserve">Invariant</w:t>
            </w:r>
          </w:p>
        </w:tc>
        <w:tc>
          <w:tcPr>
            <w:tcW w:type="dxa" w:w="20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tcPr>
          <w:p>
            <w:pPr>
              <w:spacing w:after="100" w:before="0"/>
              <w:jc w:val="left"/>
            </w:pPr>
            <w:r>
              <w:rPr>
                <w:rFonts w:ascii="Arial" w:cs="Arial" w:eastAsia="Arial" w:hAnsi="Arial"/>
                <w:b/>
                <w:i w:val="false"/>
                <w:iCs w:val="false"/>
                <w:color w:val="FFFFFF"/>
                <w:sz w:val="20"/>
                <w:szCs w:val="20"/>
              </w:rPr>
              <w:t xml:space="preserve">Statut</w:t>
            </w:r>
          </w:p>
        </w:tc>
      </w:tr>
      <w:tr>
        <w:tc>
          <w:tcPr>
            <w:tcW w:type="dxa" w:w="14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pPr>
              <w:spacing w:after="100" w:before="0"/>
              <w:jc w:val="left"/>
            </w:pPr>
            <w:r>
              <w:rPr>
                <w:rFonts w:ascii="Arial" w:cs="Arial" w:eastAsia="Arial" w:hAnsi="Arial"/>
                <w:b w:val="false"/>
                <w:i w:val="false"/>
                <w:iCs w:val="false"/>
                <w:color w:val="1B2A4A"/>
                <w:sz w:val="20"/>
                <w:szCs w:val="20"/>
              </w:rPr>
              <w:t xml:space="preserve">INV-01</w:t>
            </w:r>
          </w:p>
        </w:tc>
        <w:tc>
          <w:tcPr>
            <w:tcW w:type="dxa" w:w="59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pPr>
              <w:spacing w:after="100" w:before="0"/>
              <w:jc w:val="left"/>
            </w:pPr>
            <w:r>
              <w:rPr>
                <w:rFonts w:ascii="Arial" w:cs="Arial" w:eastAsia="Arial" w:hAnsi="Arial"/>
                <w:b w:val="false"/>
                <w:i w:val="false"/>
                <w:iCs w:val="false"/>
                <w:color w:val="1B2A4A"/>
                <w:sz w:val="20"/>
                <w:szCs w:val="20"/>
              </w:rPr>
              <w:t xml:space="preserve">Séparation émetteur/interpréteur — un fichier n'interprète jamais son propre état</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pPr>
              <w:spacing w:after="100" w:before="0"/>
              <w:jc w:val="left"/>
            </w:pPr>
            <w:r>
              <w:rPr>
                <w:rFonts w:ascii="Arial" w:cs="Arial" w:eastAsia="Arial" w:hAnsi="Arial"/>
                <w:b w:val="false"/>
                <w:i w:val="false"/>
                <w:iCs w:val="false"/>
                <w:color w:val="1B2A4A"/>
                <w:sz w:val="20"/>
                <w:szCs w:val="20"/>
              </w:rPr>
              <w:t xml:space="preserve">Candidat confirmé</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100" w:before="0"/>
              <w:jc w:val="left"/>
            </w:pPr>
            <w:r>
              <w:rPr>
                <w:rFonts w:ascii="Arial" w:cs="Arial" w:eastAsia="Arial" w:hAnsi="Arial"/>
                <w:b w:val="false"/>
                <w:i w:val="false"/>
                <w:iCs w:val="false"/>
                <w:color w:val="1B2A4A"/>
                <w:sz w:val="20"/>
                <w:szCs w:val="20"/>
              </w:rPr>
              <w:t xml:space="preserve">INV-02</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100" w:before="0"/>
              <w:jc w:val="left"/>
            </w:pPr>
            <w:r>
              <w:rPr>
                <w:rFonts w:ascii="Arial" w:cs="Arial" w:eastAsia="Arial" w:hAnsi="Arial"/>
                <w:b w:val="false"/>
                <w:i w:val="false"/>
                <w:iCs w:val="false"/>
                <w:color w:val="1B2A4A"/>
                <w:sz w:val="20"/>
                <w:szCs w:val="20"/>
              </w:rPr>
              <w:t xml:space="preserve">Neutralité physique — l'arborescence reflète les types, jamais les projets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100" w:before="0"/>
              <w:jc w:val="left"/>
            </w:pPr>
            <w:r>
              <w:rPr>
                <w:rFonts w:ascii="Arial" w:cs="Arial" w:eastAsia="Arial" w:hAnsi="Arial"/>
                <w:b w:val="false"/>
                <w:i w:val="false"/>
                <w:iCs w:val="false"/>
                <w:color w:val="1B2A4A"/>
                <w:sz w:val="20"/>
                <w:szCs w:val="20"/>
              </w:rPr>
              <w:t xml:space="preserve">Candidat confirmé</w:t>
            </w:r>
          </w:p>
        </w:tc>
      </w:tr>
      <w:tr>
        <w:tc>
          <w:tcPr>
            <w:tcW w:type="dxa" w:w="14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pPr>
              <w:spacing w:after="100" w:before="0"/>
              <w:jc w:val="left"/>
            </w:pPr>
            <w:r>
              <w:rPr>
                <w:rFonts w:ascii="Arial" w:cs="Arial" w:eastAsia="Arial" w:hAnsi="Arial"/>
                <w:b w:val="false"/>
                <w:i w:val="false"/>
                <w:iCs w:val="false"/>
                <w:color w:val="1B2A4A"/>
                <w:sz w:val="20"/>
                <w:szCs w:val="20"/>
              </w:rPr>
              <w:t xml:space="preserve">INV-03</w:t>
            </w:r>
          </w:p>
        </w:tc>
        <w:tc>
          <w:tcPr>
            <w:tcW w:type="dxa" w:w="59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pPr>
              <w:spacing w:after="100" w:before="0"/>
              <w:jc w:val="left"/>
            </w:pPr>
            <w:r>
              <w:rPr>
                <w:rFonts w:ascii="Arial" w:cs="Arial" w:eastAsia="Arial" w:hAnsi="Arial"/>
                <w:b w:val="false"/>
                <w:i w:val="false"/>
                <w:iCs w:val="false"/>
                <w:color w:val="1B2A4A"/>
                <w:sz w:val="20"/>
                <w:szCs w:val="20"/>
              </w:rPr>
              <w:t xml:space="preserve">Cascade de lecture — niveau 0 avant niveau 1 avant niveau 2</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pPr>
              <w:spacing w:after="100" w:before="0"/>
              <w:jc w:val="left"/>
            </w:pPr>
            <w:r>
              <w:rPr>
                <w:rFonts w:ascii="Arial" w:cs="Arial" w:eastAsia="Arial" w:hAnsi="Arial"/>
                <w:b w:val="false"/>
                <w:i w:val="false"/>
                <w:iCs w:val="false"/>
                <w:color w:val="1B2A4A"/>
                <w:sz w:val="20"/>
                <w:szCs w:val="20"/>
              </w:rPr>
              <w:t xml:space="preserve">Candidat confirmé</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100" w:before="0"/>
              <w:jc w:val="left"/>
            </w:pPr>
            <w:r>
              <w:rPr>
                <w:rFonts w:ascii="Arial" w:cs="Arial" w:eastAsia="Arial" w:hAnsi="Arial"/>
                <w:b w:val="false"/>
                <w:i w:val="false"/>
                <w:iCs w:val="false"/>
                <w:color w:val="1B2A4A"/>
                <w:sz w:val="20"/>
                <w:szCs w:val="20"/>
              </w:rPr>
              <w:t xml:space="preserve">INV-04</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100" w:before="0"/>
              <w:jc w:val="left"/>
            </w:pPr>
            <w:r>
              <w:rPr>
                <w:rFonts w:ascii="Arial" w:cs="Arial" w:eastAsia="Arial" w:hAnsi="Arial"/>
                <w:b w:val="false"/>
                <w:i w:val="false"/>
                <w:iCs w:val="false"/>
                <w:color w:val="1B2A4A"/>
                <w:sz w:val="20"/>
                <w:szCs w:val="20"/>
              </w:rPr>
              <w:t xml:space="preserve">Portabilité absolue — lisible sans outil tiers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100" w:before="0"/>
              <w:jc w:val="left"/>
            </w:pPr>
            <w:r>
              <w:rPr>
                <w:rFonts w:ascii="Arial" w:cs="Arial" w:eastAsia="Arial" w:hAnsi="Arial"/>
                <w:b w:val="false"/>
                <w:i w:val="false"/>
                <w:iCs w:val="false"/>
                <w:color w:val="1B2A4A"/>
                <w:sz w:val="20"/>
                <w:szCs w:val="20"/>
              </w:rPr>
              <w:t xml:space="preserve">Candidat confirmé</w:t>
            </w:r>
          </w:p>
        </w:tc>
      </w:tr>
      <w:tr>
        <w:tc>
          <w:tcPr>
            <w:tcW w:type="dxa" w:w="14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pPr>
              <w:spacing w:after="100" w:before="0"/>
              <w:jc w:val="left"/>
            </w:pPr>
            <w:r>
              <w:rPr>
                <w:rFonts w:ascii="Arial" w:cs="Arial" w:eastAsia="Arial" w:hAnsi="Arial"/>
                <w:b w:val="false"/>
                <w:i w:val="false"/>
                <w:iCs w:val="false"/>
                <w:color w:val="1B2A4A"/>
                <w:sz w:val="20"/>
                <w:szCs w:val="20"/>
              </w:rPr>
              <w:t xml:space="preserve">INV-05</w:t>
            </w:r>
          </w:p>
        </w:tc>
        <w:tc>
          <w:tcPr>
            <w:tcW w:type="dxa" w:w="59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pPr>
              <w:spacing w:after="100" w:before="0"/>
              <w:jc w:val="left"/>
            </w:pPr>
            <w:r>
              <w:rPr>
                <w:rFonts w:ascii="Arial" w:cs="Arial" w:eastAsia="Arial" w:hAnsi="Arial"/>
                <w:b w:val="false"/>
                <w:i w:val="false"/>
                <w:iCs w:val="false"/>
                <w:color w:val="1B2A4A"/>
                <w:sz w:val="20"/>
                <w:szCs w:val="20"/>
              </w:rPr>
              <w:t xml:space="preserve">Index minimal — une entrée lisible en une seconde</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pPr>
              <w:spacing w:after="100" w:before="0"/>
              <w:jc w:val="left"/>
            </w:pPr>
            <w:r>
              <w:rPr>
                <w:rFonts w:ascii="Arial" w:cs="Arial" w:eastAsia="Arial" w:hAnsi="Arial"/>
                <w:b w:val="false"/>
                <w:i w:val="false"/>
                <w:iCs w:val="false"/>
                <w:color w:val="1B2A4A"/>
                <w:sz w:val="20"/>
                <w:szCs w:val="20"/>
              </w:rPr>
              <w:t xml:space="preserve">Candidat confirmé</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100" w:before="0"/>
              <w:jc w:val="left"/>
            </w:pPr>
            <w:r>
              <w:rPr>
                <w:rFonts w:ascii="Arial" w:cs="Arial" w:eastAsia="Arial" w:hAnsi="Arial"/>
                <w:b w:val="false"/>
                <w:i w:val="false"/>
                <w:iCs w:val="false"/>
                <w:color w:val="1B2A4A"/>
                <w:sz w:val="20"/>
                <w:szCs w:val="20"/>
              </w:rPr>
              <w:t xml:space="preserve">INV-06</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100" w:before="0"/>
              <w:jc w:val="left"/>
            </w:pPr>
            <w:r>
              <w:rPr>
                <w:rFonts w:ascii="Arial" w:cs="Arial" w:eastAsia="Arial" w:hAnsi="Arial"/>
                <w:b w:val="false"/>
                <w:i w:val="false"/>
                <w:iCs w:val="false"/>
                <w:color w:val="1B2A4A"/>
                <w:sz w:val="20"/>
                <w:szCs w:val="20"/>
              </w:rPr>
              <w:t xml:space="preserve">Skill documenté — procédure en langage naturel avant automatisation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100" w:before="0"/>
              <w:jc w:val="left"/>
            </w:pPr>
            <w:r>
              <w:rPr>
                <w:rFonts w:ascii="Arial" w:cs="Arial" w:eastAsia="Arial" w:hAnsi="Arial"/>
                <w:b w:val="false"/>
                <w:i w:val="false"/>
                <w:iCs w:val="false"/>
                <w:color w:val="1B2A4A"/>
                <w:sz w:val="20"/>
                <w:szCs w:val="20"/>
              </w:rPr>
              <w:t xml:space="preserve">Candidat confirmé</w:t>
            </w:r>
          </w:p>
        </w:tc>
      </w:tr>
      <w:tr>
        <w:tc>
          <w:tcPr>
            <w:tcW w:type="dxa" w:w="14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pPr>
              <w:spacing w:after="100" w:before="0"/>
              <w:jc w:val="left"/>
            </w:pPr>
            <w:r>
              <w:rPr>
                <w:rFonts w:ascii="Arial" w:cs="Arial" w:eastAsia="Arial" w:hAnsi="Arial"/>
                <w:b w:val="false"/>
                <w:i w:val="false"/>
                <w:iCs w:val="false"/>
                <w:color w:val="1B2A4A"/>
                <w:sz w:val="20"/>
                <w:szCs w:val="20"/>
              </w:rPr>
              <w:t xml:space="preserve">INV-07</w:t>
            </w:r>
          </w:p>
        </w:tc>
        <w:tc>
          <w:tcPr>
            <w:tcW w:type="dxa" w:w="59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pPr>
              <w:spacing w:after="100" w:before="0"/>
              <w:jc w:val="left"/>
            </w:pPr>
            <w:r>
              <w:rPr>
                <w:rFonts w:ascii="Arial" w:cs="Arial" w:eastAsia="Arial" w:hAnsi="Arial"/>
                <w:b w:val="false"/>
                <w:i w:val="false"/>
                <w:iCs w:val="false"/>
                <w:color w:val="1B2A4A"/>
                <w:sz w:val="20"/>
                <w:szCs w:val="20"/>
              </w:rPr>
              <w:t xml:space="preserve">Précondition de couche — locale invalide rend les supérieures non évaluables</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pPr>
              <w:spacing w:after="100" w:before="0"/>
              <w:jc w:val="left"/>
            </w:pPr>
            <w:r>
              <w:rPr>
                <w:rFonts w:ascii="Arial" w:cs="Arial" w:eastAsia="Arial" w:hAnsi="Arial"/>
                <w:b w:val="false"/>
                <w:i w:val="false"/>
                <w:iCs w:val="false"/>
                <w:color w:val="1B2A4A"/>
                <w:sz w:val="20"/>
                <w:szCs w:val="20"/>
              </w:rPr>
              <w:t xml:space="preserve">Candidat confirmé</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100" w:before="0"/>
              <w:jc w:val="left"/>
            </w:pPr>
            <w:r>
              <w:rPr>
                <w:rFonts w:ascii="Arial" w:cs="Arial" w:eastAsia="Arial" w:hAnsi="Arial"/>
                <w:b w:val="false"/>
                <w:i w:val="false"/>
                <w:iCs w:val="false"/>
                <w:color w:val="1B2A4A"/>
                <w:sz w:val="20"/>
                <w:szCs w:val="20"/>
              </w:rPr>
              <w:t xml:space="preserve">INV-08</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100" w:before="0"/>
              <w:jc w:val="left"/>
            </w:pPr>
            <w:r>
              <w:rPr>
                <w:rFonts w:ascii="Arial" w:cs="Arial" w:eastAsia="Arial" w:hAnsi="Arial"/>
                <w:b w:val="false"/>
                <w:i w:val="false"/>
                <w:iCs w:val="false"/>
                <w:color w:val="1B2A4A"/>
                <w:sz w:val="20"/>
                <w:szCs w:val="20"/>
              </w:rPr>
              <w:t xml:space="preserve">Non-réécriture de l'agrégateur — cite, ne réécrit jamais la sémantique source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100" w:before="0"/>
              <w:jc w:val="left"/>
            </w:pPr>
            <w:r>
              <w:rPr>
                <w:rFonts w:ascii="Arial" w:cs="Arial" w:eastAsia="Arial" w:hAnsi="Arial"/>
                <w:b w:val="false"/>
                <w:i w:val="false"/>
                <w:iCs w:val="false"/>
                <w:color w:val="1B2A4A"/>
                <w:sz w:val="20"/>
                <w:szCs w:val="20"/>
              </w:rPr>
              <w:t xml:space="preserve">Candidat confirmé</w:t>
            </w:r>
          </w:p>
        </w:tc>
      </w:tr>
    </w:tbl>
    <w:p>
      <w:pPr>
        <w:spacing w:after="0" w:before="300"/>
      </w:pPr>
    </w:p>
    <w:p>
      <w:pPr>
        <w:pStyle w:val="Heading1"/>
        <w:pBdr>
          <w:bottom w:val="single" w:color="2E5FA3" w:sz="6" w:space="4"/>
        </w:pBdr>
        <w:spacing w:after="160" w:before="320"/>
      </w:pPr>
      <w:r>
        <w:rPr>
          <w:rFonts w:ascii="Arial" w:cs="Arial" w:eastAsia="Arial" w:hAnsi="Arial"/>
          <w:b/>
          <w:i w:val="false"/>
          <w:iCs w:val="false"/>
          <w:color w:val="1B2A4A"/>
          <w:sz w:val="34"/>
          <w:szCs w:val="34"/>
        </w:rPr>
        <w:t xml:space="preserve">5. Architecture des lectures prioritaires</w:t>
      </w:r>
    </w:p>
    <w:p>
      <w:pPr>
        <w:pStyle w:val="Heading2"/>
        <w:spacing w:after="100" w:before="240"/>
      </w:pPr>
      <w:r>
        <w:rPr>
          <w:rFonts w:ascii="Arial" w:cs="Arial" w:eastAsia="Arial" w:hAnsi="Arial"/>
          <w:b/>
          <w:i w:val="false"/>
          <w:iCs w:val="false"/>
          <w:color w:val="2E5FA3"/>
          <w:sz w:val="26"/>
          <w:szCs w:val="26"/>
        </w:rPr>
        <w:t xml:space="preserve">5.1 Niveau 0 — Signal vital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00"/>
              <w:left w:type="dxa" w:w="150"/>
              <w:bottom w:type="dxa" w:w="100"/>
              <w:right w:type="dxa" w:w="150"/>
            </w:tcMar>
          </w:tcPr>
          <w:p>
            <w:pPr>
              <w:spacing w:after="100" w:before="0"/>
              <w:jc w:val="left"/>
            </w:pPr>
            <w:r>
              <w:rPr>
                <w:rFonts w:ascii="Arial" w:cs="Arial" w:eastAsia="Arial" w:hAnsi="Arial"/>
                <w:b/>
                <w:i w:val="false"/>
                <w:iCs w:val="false"/>
                <w:color w:val="FFFFFF"/>
                <w:sz w:val="21"/>
                <w:szCs w:val="21"/>
              </w:rPr>
              <w:t xml:space="preserve">Niveau 0 · trois champs · lisible sans ouvrir le fichier</w:t>
            </w:r>
          </w:p>
        </w:tc>
      </w:tr>
      <w:tr>
        <w:tc>
          <w:tcPr>
            <w:tcW w:type="dxa" w:w="9360"/>
            <w:tcBorders>
              <w:top w:val="none" w:color="FFFFFF" w:sz="0"/>
              <w:left w:val="none" w:color="FFFFFF" w:sz="0"/>
              <w:bottom w:val="none" w:color="FFFFFF" w:sz="0"/>
              <w:right w:val="none" w:color="FFFFFF" w:sz="0"/>
            </w:tcBorders>
            <w:shd w:fill="F4F6F8" w:val="clear"/>
            <w:tcMar>
              <w:top w:type="dxa" w:w="100"/>
              <w:left w:type="dxa" w:w="150"/>
              <w:bottom w:type="dxa" w:w="100"/>
              <w:right w:type="dxa" w:w="150"/>
            </w:tcMar>
          </w:tcPr>
          <w:p>
            <w:pPr>
              <w:spacing w:after="100" w:before="0"/>
              <w:jc w:val="left"/>
            </w:pPr>
            <w:r>
              <w:rPr>
                <w:rFonts w:ascii="Arial" w:cs="Arial" w:eastAsia="Arial" w:hAnsi="Arial"/>
                <w:b w:val="false"/>
                <w:i w:val="false"/>
                <w:iCs w:val="false"/>
                <w:color w:val="1B2A4A"/>
                <w:sz w:val="21"/>
                <w:szCs w:val="21"/>
              </w:rPr>
              <w:t xml:space="preserve">exists: true | false</w:t>
            </w:r>
          </w:p>
          <w:p>
            <w:pPr>
              <w:spacing w:after="100" w:before="0"/>
              <w:jc w:val="left"/>
            </w:pPr>
            <w:r>
              <w:rPr>
                <w:rFonts w:ascii="Arial" w:cs="Arial" w:eastAsia="Arial" w:hAnsi="Arial"/>
                <w:b w:val="false"/>
                <w:i w:val="false"/>
                <w:iCs w:val="false"/>
                <w:color w:val="1B2A4A"/>
                <w:sz w:val="21"/>
                <w:szCs w:val="21"/>
              </w:rPr>
              <w:t xml:space="preserve">hash: [md5]</w:t>
            </w:r>
          </w:p>
          <w:p>
            <w:pPr>
              <w:spacing w:after="100" w:before="0"/>
              <w:jc w:val="left"/>
            </w:pPr>
            <w:r>
              <w:rPr>
                <w:rFonts w:ascii="Arial" w:cs="Arial" w:eastAsia="Arial" w:hAnsi="Arial"/>
                <w:b w:val="false"/>
                <w:i w:val="false"/>
                <w:iCs w:val="false"/>
                <w:color w:val="1B2A4A"/>
                <w:sz w:val="21"/>
                <w:szCs w:val="21"/>
              </w:rPr>
              <w:t xml:space="preserve">last_modified: [timestamp]</w:t>
            </w:r>
          </w:p>
          <w:p>
            <w:pPr>
              <w:spacing w:after="100" w:before="0"/>
              <w:jc w:val="left"/>
            </w:pPr>
            <w:r>
              <w:rPr>
                <w:rFonts w:ascii="Arial" w:cs="Arial" w:eastAsia="Arial" w:hAnsi="Arial"/>
                <w:b w:val="false"/>
                <w:i w:val="false"/>
                <w:iCs w:val="false"/>
                <w:color w:val="1B2A4A"/>
                <w:sz w:val="21"/>
                <w:szCs w:val="21"/>
              </w:rPr>
              <w:t xml:space="preserve">signal: present | absent | void</w:t>
            </w:r>
          </w:p>
        </w:tc>
      </w:tr>
    </w:tbl>
    <w:p>
      <w:pPr>
        <w:spacing w:after="0" w:before="120"/>
      </w:pPr>
    </w:p>
    <w:p>
      <w:pPr>
        <w:pStyle w:val="Heading2"/>
        <w:spacing w:after="100" w:before="240"/>
      </w:pPr>
      <w:r>
        <w:rPr>
          <w:rFonts w:ascii="Arial" w:cs="Arial" w:eastAsia="Arial" w:hAnsi="Arial"/>
          <w:b/>
          <w:i w:val="false"/>
          <w:iCs w:val="false"/>
          <w:color w:val="2E5FA3"/>
          <w:sz w:val="26"/>
          <w:szCs w:val="26"/>
        </w:rPr>
        <w:t xml:space="preserve">5.2 Niveau 1 — Contexte minimal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5FA3" w:val="clear"/>
            <w:tcMar>
              <w:top w:type="dxa" w:w="100"/>
              <w:left w:type="dxa" w:w="150"/>
              <w:bottom w:type="dxa" w:w="100"/>
              <w:right w:type="dxa" w:w="150"/>
            </w:tcMar>
          </w:tcPr>
          <w:p>
            <w:pPr>
              <w:spacing w:after="100" w:before="0"/>
              <w:jc w:val="left"/>
            </w:pPr>
            <w:r>
              <w:rPr>
                <w:rFonts w:ascii="Arial" w:cs="Arial" w:eastAsia="Arial" w:hAnsi="Arial"/>
                <w:b/>
                <w:i w:val="false"/>
                <w:iCs w:val="false"/>
                <w:color w:val="FFFFFF"/>
                <w:sz w:val="21"/>
                <w:szCs w:val="21"/>
              </w:rPr>
              <w:t xml:space="preserve">Niveau 1 · frontmatter · lisible sans parser le contenu</w:t>
            </w:r>
          </w:p>
        </w:tc>
      </w:tr>
      <w:tr>
        <w:tc>
          <w:tcPr>
            <w:tcW w:type="dxa" w:w="9360"/>
            <w:tcBorders>
              <w:top w:val="none" w:color="FFFFFF" w:sz="0"/>
              <w:left w:val="none" w:color="FFFFFF" w:sz="0"/>
              <w:bottom w:val="none" w:color="FFFFFF" w:sz="0"/>
              <w:right w:val="none" w:color="FFFFFF" w:sz="0"/>
            </w:tcBorders>
            <w:shd w:fill="EBF2FA" w:val="clear"/>
            <w:tcMar>
              <w:top w:type="dxa" w:w="100"/>
              <w:left w:type="dxa" w:w="150"/>
              <w:bottom w:type="dxa" w:w="100"/>
              <w:right w:type="dxa" w:w="150"/>
            </w:tcMar>
          </w:tcPr>
          <w:p>
            <w:pPr>
              <w:spacing w:after="100" w:before="0"/>
              <w:jc w:val="left"/>
            </w:pPr>
            <w:r>
              <w:rPr>
                <w:rFonts w:ascii="Arial" w:cs="Arial" w:eastAsia="Arial" w:hAnsi="Arial"/>
                <w:b w:val="false"/>
                <w:i w:val="false"/>
                <w:iCs w:val="false"/>
                <w:color w:val="1B2A4A"/>
                <w:sz w:val="21"/>
                <w:szCs w:val="21"/>
              </w:rPr>
              <w:t xml:space="preserve">origin · author · created · domain · keywords · summary</w:t>
            </w:r>
          </w:p>
          <w:p>
            <w:pPr>
              <w:spacing w:after="100" w:before="0"/>
              <w:jc w:val="left"/>
            </w:pPr>
            <w:r>
              <w:rPr>
                <w:rFonts w:ascii="Arial" w:cs="Arial" w:eastAsia="Arial" w:hAnsi="Arial"/>
                <w:b w:val="false"/>
                <w:i w:val="false"/>
                <w:iCs w:val="false"/>
                <w:color w:val="1B2A4A"/>
                <w:sz w:val="21"/>
                <w:szCs w:val="21"/>
              </w:rPr>
              <w:t xml:space="preserve">relations: [slugs liés — positifs]</w:t>
            </w:r>
          </w:p>
          <w:p>
            <w:pPr>
              <w:spacing w:after="100" w:before="0"/>
              <w:jc w:val="left"/>
            </w:pPr>
            <w:r>
              <w:rPr>
                <w:rFonts w:ascii="Arial" w:cs="Arial" w:eastAsia="Arial" w:hAnsi="Arial"/>
                <w:b w:val="false"/>
                <w:i w:val="false"/>
                <w:iCs w:val="false"/>
                <w:color w:val="1B2A4A"/>
                <w:sz w:val="21"/>
                <w:szCs w:val="21"/>
              </w:rPr>
              <w:t xml:space="preserve">constraints: [anti-patterns, règles d'arrêt]</w:t>
            </w:r>
          </w:p>
          <w:p>
            <w:pPr>
              <w:spacing w:after="100" w:before="0"/>
              <w:jc w:val="left"/>
            </w:pPr>
            <w:r>
              <w:rPr>
                <w:rFonts w:ascii="Arial" w:cs="Arial" w:eastAsia="Arial" w:hAnsi="Arial"/>
                <w:b w:val="false"/>
                <w:i w:val="false"/>
                <w:iCs w:val="false"/>
                <w:color w:val="1B2A4A"/>
                <w:sz w:val="21"/>
                <w:szCs w:val="21"/>
              </w:rPr>
              <w:t xml:space="preserve">epistemic_weight: {sources: N, confidence: low|medium|high}</w:t>
            </w:r>
          </w:p>
          <w:p>
            <w:pPr>
              <w:spacing w:after="100" w:before="0"/>
              <w:jc w:val="left"/>
            </w:pPr>
            <w:r>
              <w:rPr>
                <w:rFonts w:ascii="Arial" w:cs="Arial" w:eastAsia="Arial" w:hAnsi="Arial"/>
                <w:b w:val="false"/>
                <w:i w:val="false"/>
                <w:iCs w:val="false"/>
                <w:color w:val="1B2A4A"/>
                <w:sz w:val="21"/>
                <w:szCs w:val="21"/>
              </w:rPr>
              <w:t xml:space="preserve">activation_mode: operative | contextual</w:t>
            </w:r>
          </w:p>
          <w:p>
            <w:pPr>
              <w:spacing w:after="100" w:before="0"/>
              <w:jc w:val="left"/>
            </w:pPr>
            <w:r>
              <w:rPr>
                <w:rFonts w:ascii="Arial" w:cs="Arial" w:eastAsia="Arial" w:hAnsi="Arial"/>
                <w:b w:val="false"/>
                <w:i w:val="false"/>
                <w:iCs w:val="false"/>
                <w:color w:val="1B2A4A"/>
                <w:sz w:val="21"/>
                <w:szCs w:val="21"/>
              </w:rPr>
              <w:t xml:space="preserve">cross_validated_by: [instances ou domaines]</w:t>
            </w:r>
          </w:p>
          <w:p>
            <w:pPr>
              <w:spacing w:after="100" w:before="0"/>
              <w:jc w:val="left"/>
            </w:pPr>
            <w:r>
              <w:rPr>
                <w:rFonts w:ascii="Arial" w:cs="Arial" w:eastAsia="Arial" w:hAnsi="Arial"/>
                <w:b w:val="false"/>
                <w:i w:val="false"/>
                <w:iCs w:val="false"/>
                <w:color w:val="1B2A4A"/>
                <w:sz w:val="21"/>
                <w:szCs w:val="21"/>
              </w:rPr>
              <w:t xml:space="preserve">role: container | transform</w:t>
            </w:r>
          </w:p>
          <w:p>
            <w:pPr>
              <w:spacing w:after="100" w:before="0"/>
              <w:jc w:val="left"/>
            </w:pPr>
            <w:r>
              <w:rPr>
                <w:rFonts w:ascii="Arial" w:cs="Arial" w:eastAsia="Arial" w:hAnsi="Arial"/>
                <w:b w:val="false"/>
                <w:i w:val="false"/>
                <w:iCs w:val="false"/>
                <w:color w:val="1B2A4A"/>
                <w:sz w:val="21"/>
                <w:szCs w:val="21"/>
              </w:rPr>
              <w:t xml:space="preserve">status: PENDING | UNCERTIFIED | VALID_INACTIVE | CERTIFIED | DEPRECATED | SUPERSEDED | TRANSITIONING | VOID</w:t>
            </w:r>
          </w:p>
          <w:p>
            <w:pPr>
              <w:spacing w:after="100" w:before="0"/>
              <w:jc w:val="left"/>
            </w:pPr>
            <w:r>
              <w:rPr>
                <w:rFonts w:ascii="Arial" w:cs="Arial" w:eastAsia="Arial" w:hAnsi="Arial"/>
                <w:b w:val="false"/>
                <w:i w:val="false"/>
                <w:iCs w:val="false"/>
                <w:color w:val="1B2A4A"/>
                <w:sz w:val="21"/>
                <w:szCs w:val="21"/>
              </w:rPr>
              <w:t xml:space="preserve">tension_with: [slugs en contradiction]</w:t>
            </w:r>
          </w:p>
          <w:p>
            <w:pPr>
              <w:spacing w:after="100" w:before="0"/>
              <w:jc w:val="left"/>
            </w:pPr>
            <w:r>
              <w:rPr>
                <w:rFonts w:ascii="Arial" w:cs="Arial" w:eastAsia="Arial" w:hAnsi="Arial"/>
                <w:b w:val="false"/>
                <w:i w:val="false"/>
                <w:iCs w:val="false"/>
                <w:color w:val="1B2A4A"/>
                <w:sz w:val="21"/>
                <w:szCs w:val="21"/>
              </w:rPr>
              <w:t xml:space="preserve">superseded_by: [slug]  — si SUPERSEDED</w:t>
            </w:r>
          </w:p>
          <w:p>
            <w:pPr>
              <w:spacing w:after="100" w:before="0"/>
              <w:jc w:val="left"/>
            </w:pPr>
            <w:r>
              <w:rPr>
                <w:rFonts w:ascii="Arial" w:cs="Arial" w:eastAsia="Arial" w:hAnsi="Arial"/>
                <w:b w:val="false"/>
                <w:i w:val="false"/>
                <w:iCs w:val="false"/>
                <w:color w:val="1B2A4A"/>
                <w:sz w:val="21"/>
                <w:szCs w:val="21"/>
              </w:rPr>
              <w:t xml:space="preserve">provenance_gap: {missing, reconstructed, confidence}  — si UNCERTIFIED</w:t>
            </w:r>
          </w:p>
          <w:p>
            <w:pPr>
              <w:spacing w:after="100" w:before="0"/>
              <w:jc w:val="left"/>
            </w:pPr>
            <w:r>
              <w:rPr>
                <w:rFonts w:ascii="Arial" w:cs="Arial" w:eastAsia="Arial" w:hAnsi="Arial"/>
                <w:b w:val="false"/>
                <w:i w:val="false"/>
                <w:iCs w:val="false"/>
                <w:color w:val="1B2A4A"/>
                <w:sz w:val="21"/>
                <w:szCs w:val="21"/>
              </w:rPr>
              <w:t xml:space="preserve">validation_mode: internal | empirical</w:t>
            </w:r>
          </w:p>
          <w:p>
            <w:pPr>
              <w:spacing w:after="100" w:before="0"/>
              <w:jc w:val="left"/>
            </w:pPr>
            <w:r>
              <w:rPr>
                <w:rFonts w:ascii="Arial" w:cs="Arial" w:eastAsia="Arial" w:hAnsi="Arial"/>
                <w:b w:val="false"/>
                <w:i w:val="false"/>
                <w:iCs w:val="false"/>
                <w:color w:val="1B2A4A"/>
                <w:sz w:val="21"/>
                <w:szCs w:val="21"/>
              </w:rPr>
              <w:t xml:space="preserve">uncertainty_regime: local | statistical | dynamic</w:t>
            </w:r>
          </w:p>
        </w:tc>
      </w:tr>
    </w:tbl>
    <w:p>
      <w:pPr>
        <w:spacing w:after="0" w:before="120"/>
      </w:pPr>
    </w:p>
    <w:p>
      <w:pPr>
        <w:pStyle w:val="Heading2"/>
        <w:spacing w:after="100" w:before="240"/>
      </w:pPr>
      <w:r>
        <w:rPr>
          <w:rFonts w:ascii="Arial" w:cs="Arial" w:eastAsia="Arial" w:hAnsi="Arial"/>
          <w:b/>
          <w:i w:val="false"/>
          <w:iCs w:val="false"/>
          <w:color w:val="2E5FA3"/>
          <w:sz w:val="26"/>
          <w:szCs w:val="26"/>
        </w:rPr>
        <w:t xml:space="preserve">5.3 Niveau 2 — Contenu sémantique</w:t>
      </w:r>
    </w:p>
    <w:p>
      <w:pPr>
        <w:spacing w:after="100" w:before="0"/>
        <w:jc w:val="left"/>
      </w:pPr>
      <w:r>
        <w:rPr>
          <w:rFonts w:ascii="Arial" w:cs="Arial" w:eastAsia="Arial" w:hAnsi="Arial"/>
          <w:b w:val="false"/>
          <w:i w:val="false"/>
          <w:iCs w:val="false"/>
          <w:color w:val="1B2A4A"/>
          <w:sz w:val="22"/>
          <w:szCs w:val="22"/>
        </w:rPr>
        <w:t xml:space="preserve">Contenu complet, liens profonds, clusters. Requiert lecture complète ou appel API. Réservé à la synthèse et au gap-analysis. Ne pas accéder si niveau 1 suffit.</w:t>
      </w:r>
    </w:p>
    <w:p>
      <w:pPr>
        <w:spacing w:after="0" w:before="300"/>
      </w:pPr>
    </w:p>
    <w:p>
      <w:pPr>
        <w:pStyle w:val="Heading1"/>
        <w:pBdr>
          <w:bottom w:val="single" w:color="2E5FA3" w:sz="6" w:space="4"/>
        </w:pBdr>
        <w:spacing w:after="160" w:before="320"/>
      </w:pPr>
      <w:r>
        <w:rPr>
          <w:rFonts w:ascii="Arial" w:cs="Arial" w:eastAsia="Arial" w:hAnsi="Arial"/>
          <w:b/>
          <w:i w:val="false"/>
          <w:iCs w:val="false"/>
          <w:color w:val="1B2A4A"/>
          <w:sz w:val="34"/>
          <w:szCs w:val="34"/>
        </w:rPr>
        <w:t xml:space="preserve">6. Skills candidats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2A7F7F" w:val="clear"/>
            <w:tcMar>
              <w:top w:type="dxa" w:w="100"/>
              <w:left w:type="dxa" w:w="150"/>
              <w:bottom w:type="dxa" w:w="100"/>
              <w:right w:type="dxa" w:w="150"/>
            </w:tcMar>
          </w:tcPr>
          <w:p>
            <w:pPr>
              <w:spacing w:after="100" w:before="0"/>
              <w:jc w:val="left"/>
            </w:pPr>
            <w:r>
              <w:rPr>
                <w:rFonts w:ascii="Arial" w:cs="Arial" w:eastAsia="Arial" w:hAnsi="Arial"/>
                <w:b/>
                <w:i w:val="false"/>
                <w:iCs w:val="false"/>
                <w:color w:val="FFFFFF"/>
                <w:sz w:val="20"/>
                <w:szCs w:val="20"/>
              </w:rPr>
              <w:t xml:space="preserve">Skill</w:t>
            </w:r>
          </w:p>
        </w:tc>
        <w:tc>
          <w:tcPr>
            <w:tcW w:type="dxa" w:w="2400"/>
            <w:tcBorders>
              <w:top w:val="single" w:color="CCCCCC" w:sz="1"/>
              <w:left w:val="single" w:color="CCCCCC" w:sz="1"/>
              <w:bottom w:val="single" w:color="CCCCCC" w:sz="1"/>
              <w:right w:val="single" w:color="CCCCCC" w:sz="1"/>
            </w:tcBorders>
            <w:shd w:fill="2A7F7F" w:val="clear"/>
            <w:tcMar>
              <w:top w:type="dxa" w:w="100"/>
              <w:left w:type="dxa" w:w="150"/>
              <w:bottom w:type="dxa" w:w="100"/>
              <w:right w:type="dxa" w:w="150"/>
            </w:tcMar>
          </w:tcPr>
          <w:p>
            <w:pPr>
              <w:spacing w:after="100" w:before="0"/>
              <w:jc w:val="left"/>
            </w:pPr>
            <w:r>
              <w:rPr>
                <w:rFonts w:ascii="Arial" w:cs="Arial" w:eastAsia="Arial" w:hAnsi="Arial"/>
                <w:b/>
                <w:i w:val="false"/>
                <w:iCs w:val="false"/>
                <w:color w:val="FFFFFF"/>
                <w:sz w:val="20"/>
                <w:szCs w:val="20"/>
              </w:rPr>
              <w:t xml:space="preserve">Déclencheur</w:t>
            </w:r>
          </w:p>
        </w:tc>
        <w:tc>
          <w:tcPr>
            <w:tcW w:type="dxa" w:w="5160"/>
            <w:tcBorders>
              <w:top w:val="single" w:color="CCCCCC" w:sz="1"/>
              <w:left w:val="single" w:color="CCCCCC" w:sz="1"/>
              <w:bottom w:val="single" w:color="CCCCCC" w:sz="1"/>
              <w:right w:val="single" w:color="CCCCCC" w:sz="1"/>
            </w:tcBorders>
            <w:shd w:fill="2A7F7F" w:val="clear"/>
            <w:tcMar>
              <w:top w:type="dxa" w:w="100"/>
              <w:left w:type="dxa" w:w="150"/>
              <w:bottom w:type="dxa" w:w="100"/>
              <w:right w:type="dxa" w:w="150"/>
            </w:tcMar>
          </w:tcPr>
          <w:p>
            <w:pPr>
              <w:spacing w:after="100" w:before="0"/>
              <w:jc w:val="left"/>
            </w:pPr>
            <w:r>
              <w:rPr>
                <w:rFonts w:ascii="Arial" w:cs="Arial" w:eastAsia="Arial" w:hAnsi="Arial"/>
                <w:b/>
                <w:i w:val="false"/>
                <w:iCs w:val="false"/>
                <w:color w:val="FFFFFF"/>
                <w:sz w:val="20"/>
                <w:szCs w:val="20"/>
              </w:rPr>
              <w:t xml:space="preserve">Action</w:t>
            </w:r>
          </w:p>
        </w:tc>
      </w:tr>
      <w:tr>
        <w:tc>
          <w:tcPr>
            <w:tcW w:type="dxa" w:w="18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pPr>
              <w:spacing w:after="100" w:before="0"/>
              <w:jc w:val="left"/>
            </w:pPr>
            <w:r>
              <w:rPr>
                <w:rFonts w:ascii="Arial" w:cs="Arial" w:eastAsia="Arial" w:hAnsi="Arial"/>
                <w:b w:val="false"/>
                <w:i w:val="false"/>
                <w:iCs w:val="false"/>
                <w:color w:val="1B2A4A"/>
                <w:sz w:val="20"/>
                <w:szCs w:val="20"/>
              </w:rPr>
              <w:t xml:space="preserve">ingest</w:t>
            </w:r>
          </w:p>
        </w:tc>
        <w:tc>
          <w:tcPr>
            <w:tcW w:type="dxa" w:w="24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pPr>
              <w:spacing w:after="100" w:before="0"/>
              <w:jc w:val="left"/>
            </w:pPr>
            <w:r>
              <w:rPr>
                <w:rFonts w:ascii="Arial" w:cs="Arial" w:eastAsia="Arial" w:hAnsi="Arial"/>
                <w:b w:val="false"/>
                <w:i w:val="false"/>
                <w:iCs w:val="false"/>
                <w:color w:val="1B2A4A"/>
                <w:sz w:val="20"/>
                <w:szCs w:val="20"/>
              </w:rPr>
              <w:t xml:space="preserve">Entrée dans _inbox</w:t>
            </w:r>
          </w:p>
        </w:tc>
        <w:tc>
          <w:tcPr>
            <w:tcW w:type="dxa" w:w="51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pPr>
              <w:spacing w:after="100" w:before="0"/>
              <w:jc w:val="left"/>
            </w:pPr>
            <w:r>
              <w:rPr>
                <w:rFonts w:ascii="Arial" w:cs="Arial" w:eastAsia="Arial" w:hAnsi="Arial"/>
                <w:b w:val="false"/>
                <w:i w:val="false"/>
                <w:iCs w:val="false"/>
                <w:color w:val="1B2A4A"/>
                <w:sz w:val="20"/>
                <w:szCs w:val="20"/>
              </w:rPr>
              <w:t xml:space="preserve">Extrait niveau 1, génère slug, crée fiche, met à jour index</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100" w:before="0"/>
              <w:jc w:val="left"/>
            </w:pPr>
            <w:r>
              <w:rPr>
                <w:rFonts w:ascii="Arial" w:cs="Arial" w:eastAsia="Arial" w:hAnsi="Arial"/>
                <w:b w:val="false"/>
                <w:i w:val="false"/>
                <w:iCs w:val="false"/>
                <w:color w:val="1B2A4A"/>
                <w:sz w:val="20"/>
                <w:szCs w:val="20"/>
              </w:rPr>
              <w:t xml:space="preserve">link</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100" w:before="0"/>
              <w:jc w:val="left"/>
            </w:pPr>
            <w:r>
              <w:rPr>
                <w:rFonts w:ascii="Arial" w:cs="Arial" w:eastAsia="Arial" w:hAnsi="Arial"/>
                <w:b w:val="false"/>
                <w:i w:val="false"/>
                <w:iCs w:val="false"/>
                <w:color w:val="1B2A4A"/>
                <w:sz w:val="20"/>
                <w:szCs w:val="20"/>
              </w:rPr>
              <w:t xml:space="preserve">À la demande</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100" w:before="0"/>
              <w:jc w:val="left"/>
            </w:pPr>
            <w:r>
              <w:rPr>
                <w:rFonts w:ascii="Arial" w:cs="Arial" w:eastAsia="Arial" w:hAnsi="Arial"/>
                <w:b w:val="false"/>
                <w:i w:val="false"/>
                <w:iCs w:val="false"/>
                <w:color w:val="1B2A4A"/>
                <w:sz w:val="20"/>
                <w:szCs w:val="20"/>
              </w:rPr>
              <w:t xml:space="preserve">Compare fiche avec 20 voisines, propose relations</w:t>
            </w:r>
          </w:p>
        </w:tc>
      </w:tr>
      <w:tr>
        <w:tc>
          <w:tcPr>
            <w:tcW w:type="dxa" w:w="18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pPr>
              <w:spacing w:after="100" w:before="0"/>
              <w:jc w:val="left"/>
            </w:pPr>
            <w:r>
              <w:rPr>
                <w:rFonts w:ascii="Arial" w:cs="Arial" w:eastAsia="Arial" w:hAnsi="Arial"/>
                <w:b w:val="false"/>
                <w:i w:val="false"/>
                <w:iCs w:val="false"/>
                <w:color w:val="1B2A4A"/>
                <w:sz w:val="20"/>
                <w:szCs w:val="20"/>
              </w:rPr>
              <w:t xml:space="preserve">weekly</w:t>
            </w:r>
          </w:p>
        </w:tc>
        <w:tc>
          <w:tcPr>
            <w:tcW w:type="dxa" w:w="24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pPr>
              <w:spacing w:after="100" w:before="0"/>
              <w:jc w:val="left"/>
            </w:pPr>
            <w:r>
              <w:rPr>
                <w:rFonts w:ascii="Arial" w:cs="Arial" w:eastAsia="Arial" w:hAnsi="Arial"/>
                <w:b w:val="false"/>
                <w:i w:val="false"/>
                <w:iCs w:val="false"/>
                <w:color w:val="1B2A4A"/>
                <w:sz w:val="20"/>
                <w:szCs w:val="20"/>
              </w:rPr>
              <w:t xml:space="preserve">Chaque dimanche</w:t>
            </w:r>
          </w:p>
        </w:tc>
        <w:tc>
          <w:tcPr>
            <w:tcW w:type="dxa" w:w="51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pPr>
              <w:spacing w:after="100" w:before="0"/>
              <w:jc w:val="left"/>
            </w:pPr>
            <w:r>
              <w:rPr>
                <w:rFonts w:ascii="Arial" w:cs="Arial" w:eastAsia="Arial" w:hAnsi="Arial"/>
                <w:b w:val="false"/>
                <w:i w:val="false"/>
                <w:iCs w:val="false"/>
                <w:color w:val="1B2A4A"/>
                <w:sz w:val="20"/>
                <w:szCs w:val="20"/>
              </w:rPr>
              <w:t xml:space="preserve">Thèmes émergents, met à jour research-front.md</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100" w:before="0"/>
              <w:jc w:val="left"/>
            </w:pPr>
            <w:r>
              <w:rPr>
                <w:rFonts w:ascii="Arial" w:cs="Arial" w:eastAsia="Arial" w:hAnsi="Arial"/>
                <w:b w:val="false"/>
                <w:i w:val="false"/>
                <w:iCs w:val="false"/>
                <w:color w:val="1B2A4A"/>
                <w:sz w:val="20"/>
                <w:szCs w:val="20"/>
              </w:rPr>
              <w:t xml:space="preserve">deduplicate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100" w:before="0"/>
              <w:jc w:val="left"/>
            </w:pPr>
            <w:r>
              <w:rPr>
                <w:rFonts w:ascii="Arial" w:cs="Arial" w:eastAsia="Arial" w:hAnsi="Arial"/>
                <w:b w:val="false"/>
                <w:i w:val="false"/>
                <w:iCs w:val="false"/>
                <w:color w:val="1B2A4A"/>
                <w:sz w:val="20"/>
                <w:szCs w:val="20"/>
              </w:rPr>
              <w:t xml:space="preserve">Périodique</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100" w:before="0"/>
              <w:jc w:val="left"/>
            </w:pPr>
            <w:r>
              <w:rPr>
                <w:rFonts w:ascii="Arial" w:cs="Arial" w:eastAsia="Arial" w:hAnsi="Arial"/>
                <w:b w:val="false"/>
                <w:i w:val="false"/>
                <w:iCs w:val="false"/>
                <w:color w:val="1B2A4A"/>
                <w:sz w:val="20"/>
                <w:szCs w:val="20"/>
              </w:rPr>
              <w:t xml:space="preserve">Compare hashes et titres, signale doublons sans supprimer</w:t>
            </w:r>
          </w:p>
        </w:tc>
      </w:tr>
      <w:tr>
        <w:tc>
          <w:tcPr>
            <w:tcW w:type="dxa" w:w="18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pPr>
              <w:spacing w:after="100" w:before="0"/>
              <w:jc w:val="left"/>
            </w:pPr>
            <w:r>
              <w:rPr>
                <w:rFonts w:ascii="Arial" w:cs="Arial" w:eastAsia="Arial" w:hAnsi="Arial"/>
                <w:b w:val="false"/>
                <w:i w:val="false"/>
                <w:iCs w:val="false"/>
                <w:color w:val="1B2A4A"/>
                <w:sz w:val="20"/>
                <w:szCs w:val="20"/>
              </w:rPr>
              <w:t xml:space="preserve">gap-analysis</w:t>
            </w:r>
          </w:p>
        </w:tc>
        <w:tc>
          <w:tcPr>
            <w:tcW w:type="dxa" w:w="24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pPr>
              <w:spacing w:after="100" w:before="0"/>
              <w:jc w:val="left"/>
            </w:pPr>
            <w:r>
              <w:rPr>
                <w:rFonts w:ascii="Arial" w:cs="Arial" w:eastAsia="Arial" w:hAnsi="Arial"/>
                <w:b w:val="false"/>
                <w:i w:val="false"/>
                <w:iCs w:val="false"/>
                <w:color w:val="1B2A4A"/>
                <w:sz w:val="20"/>
                <w:szCs w:val="20"/>
              </w:rPr>
              <w:t xml:space="preserve">À la demande / thème</w:t>
            </w:r>
          </w:p>
        </w:tc>
        <w:tc>
          <w:tcPr>
            <w:tcW w:type="dxa" w:w="51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pPr>
              <w:spacing w:after="100" w:before="0"/>
              <w:jc w:val="left"/>
            </w:pPr>
            <w:r>
              <w:rPr>
                <w:rFonts w:ascii="Arial" w:cs="Arial" w:eastAsia="Arial" w:hAnsi="Arial"/>
                <w:b w:val="false"/>
                <w:i w:val="false"/>
                <w:iCs w:val="false"/>
                <w:color w:val="1B2A4A"/>
                <w:sz w:val="20"/>
                <w:szCs w:val="20"/>
              </w:rPr>
              <w:t xml:space="preserve">Croise index local vs source externe</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100" w:before="0"/>
              <w:jc w:val="left"/>
            </w:pPr>
            <w:r>
              <w:rPr>
                <w:rFonts w:ascii="Arial" w:cs="Arial" w:eastAsia="Arial" w:hAnsi="Arial"/>
                <w:b w:val="false"/>
                <w:i w:val="false"/>
                <w:iCs w:val="false"/>
                <w:color w:val="1B2A4A"/>
                <w:sz w:val="20"/>
                <w:szCs w:val="20"/>
              </w:rPr>
              <w:t xml:space="preserve">heartbeat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100" w:before="0"/>
              <w:jc w:val="left"/>
            </w:pPr>
            <w:r>
              <w:rPr>
                <w:rFonts w:ascii="Arial" w:cs="Arial" w:eastAsia="Arial" w:hAnsi="Arial"/>
                <w:b w:val="false"/>
                <w:i w:val="false"/>
                <w:iCs w:val="false"/>
                <w:color w:val="1B2A4A"/>
                <w:sz w:val="20"/>
                <w:szCs w:val="20"/>
              </w:rPr>
              <w:t xml:space="preserve">Mensuel</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100" w:before="0"/>
              <w:jc w:val="left"/>
            </w:pPr>
            <w:r>
              <w:rPr>
                <w:rFonts w:ascii="Arial" w:cs="Arial" w:eastAsia="Arial" w:hAnsi="Arial"/>
                <w:b w:val="false"/>
                <w:i w:val="false"/>
                <w:iCs w:val="false"/>
                <w:color w:val="1B2A4A"/>
                <w:sz w:val="20"/>
                <w:szCs w:val="20"/>
              </w:rPr>
              <w:t xml:space="preserve">Détecte fichiers absents des digests + drift sémantique (hash vs frontmatter)</w:t>
            </w:r>
          </w:p>
        </w:tc>
      </w:tr>
    </w:tbl>
    <w:p>
      <w:pPr>
        <w:spacing w:after="0" w:before="300"/>
      </w:pPr>
    </w:p>
    <w:p>
      <w:pPr>
        <w:pStyle w:val="Heading1"/>
        <w:pBdr>
          <w:bottom w:val="single" w:color="2E5FA3" w:sz="6" w:space="4"/>
        </w:pBdr>
        <w:spacing w:after="160" w:before="320"/>
      </w:pPr>
      <w:r>
        <w:rPr>
          <w:rFonts w:ascii="Arial" w:cs="Arial" w:eastAsia="Arial" w:hAnsi="Arial"/>
          <w:b/>
          <w:i w:val="false"/>
          <w:iCs w:val="false"/>
          <w:color w:val="1B2A4A"/>
          <w:sz w:val="34"/>
          <w:szCs w:val="34"/>
        </w:rPr>
        <w:t xml:space="preserve">7. Limites déclarées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B84A3A" w:val="clear"/>
            <w:tcMar>
              <w:top w:type="dxa" w:w="100"/>
              <w:left w:type="dxa" w:w="150"/>
              <w:bottom w:type="dxa" w:w="100"/>
              <w:right w:type="dxa" w:w="150"/>
            </w:tcMar>
          </w:tcPr>
          <w:p>
            <w:pPr>
              <w:spacing w:after="100" w:before="0"/>
              <w:jc w:val="left"/>
            </w:pPr>
            <w:r>
              <w:rPr>
                <w:rFonts w:ascii="Arial" w:cs="Arial" w:eastAsia="Arial" w:hAnsi="Arial"/>
                <w:b/>
                <w:i w:val="false"/>
                <w:iCs w:val="false"/>
                <w:color w:val="FFFFFF"/>
                <w:sz w:val="20"/>
                <w:szCs w:val="20"/>
              </w:rPr>
              <w:t xml:space="preserve">Limite</w:t>
            </w:r>
          </w:p>
        </w:tc>
        <w:tc>
          <w:tcPr>
            <w:tcW w:type="dxa" w:w="6360"/>
            <w:tcBorders>
              <w:top w:val="single" w:color="CCCCCC" w:sz="1"/>
              <w:left w:val="single" w:color="CCCCCC" w:sz="1"/>
              <w:bottom w:val="single" w:color="CCCCCC" w:sz="1"/>
              <w:right w:val="single" w:color="CCCCCC" w:sz="1"/>
            </w:tcBorders>
            <w:shd w:fill="B84A3A" w:val="clear"/>
            <w:tcMar>
              <w:top w:type="dxa" w:w="100"/>
              <w:left w:type="dxa" w:w="150"/>
              <w:bottom w:type="dxa" w:w="100"/>
              <w:right w:type="dxa" w:w="150"/>
            </w:tcMar>
          </w:tcPr>
          <w:p>
            <w:pPr>
              <w:spacing w:after="100" w:before="0"/>
              <w:jc w:val="left"/>
            </w:pPr>
            <w:r>
              <w:rPr>
                <w:rFonts w:ascii="Arial" w:cs="Arial" w:eastAsia="Arial" w:hAnsi="Arial"/>
                <w:b/>
                <w:i w:val="false"/>
                <w:iCs w:val="false"/>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pPr>
              <w:spacing w:after="100" w:before="0"/>
              <w:jc w:val="left"/>
            </w:pPr>
            <w:r>
              <w:rPr>
                <w:rFonts w:ascii="Arial" w:cs="Arial" w:eastAsia="Arial" w:hAnsi="Arial"/>
                <w:b w:val="false"/>
                <w:i w:val="false"/>
                <w:iCs w:val="false"/>
                <w:color w:val="1B2A4A"/>
                <w:sz w:val="20"/>
                <w:szCs w:val="20"/>
              </w:rPr>
              <w:t xml:space="preserve">Orthogonalité non démontrée</w:t>
            </w:r>
          </w:p>
        </w:tc>
        <w:tc>
          <w:tcPr>
            <w:tcW w:type="dxa" w:w="63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pPr>
              <w:spacing w:after="100" w:before="0"/>
              <w:jc w:val="left"/>
            </w:pPr>
            <w:r>
              <w:rPr>
                <w:rFonts w:ascii="Arial" w:cs="Arial" w:eastAsia="Arial" w:hAnsi="Arial"/>
                <w:b w:val="false"/>
                <w:i w:val="false"/>
                <w:iCs w:val="false"/>
                <w:color w:val="1B2A4A"/>
                <w:sz w:val="20"/>
                <w:szCs w:val="20"/>
              </w:rPr>
              <w:t xml:space="preserve">Les trois dimensions sont distinguables en intention. Leur indépendance formelle n'est pas prouvée. Postulée pour rendre le modèle opérationnel.</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100" w:before="0"/>
              <w:jc w:val="left"/>
            </w:pPr>
            <w:r>
              <w:rPr>
                <w:rFonts w:ascii="Arial" w:cs="Arial" w:eastAsia="Arial" w:hAnsi="Arial"/>
                <w:b w:val="false"/>
                <w:i w:val="false"/>
                <w:iCs w:val="false"/>
                <w:color w:val="1B2A4A"/>
                <w:sz w:val="20"/>
                <w:szCs w:val="20"/>
              </w:rPr>
              <w:t xml:space="preserve">Portabilité entre exécutants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100" w:before="0"/>
              <w:jc w:val="left"/>
            </w:pPr>
            <w:r>
              <w:rPr>
                <w:rFonts w:ascii="Arial" w:cs="Arial" w:eastAsia="Arial" w:hAnsi="Arial"/>
                <w:b w:val="false"/>
                <w:i w:val="false"/>
                <w:iCs w:val="false"/>
                <w:color w:val="1B2A4A"/>
                <w:sz w:val="20"/>
                <w:szCs w:val="20"/>
              </w:rPr>
              <w:t xml:space="preserve">Deux instances LLM lisant la même assertion dans des contextes différents produisent des activations différentes. Non résolu.</w:t>
            </w:r>
          </w:p>
        </w:tc>
      </w:tr>
      <w:tr>
        <w:tc>
          <w:tcPr>
            <w:tcW w:type="dxa" w:w="30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pPr>
              <w:spacing w:after="100" w:before="0"/>
              <w:jc w:val="left"/>
            </w:pPr>
            <w:r>
              <w:rPr>
                <w:rFonts w:ascii="Arial" w:cs="Arial" w:eastAsia="Arial" w:hAnsi="Arial"/>
                <w:b w:val="false"/>
                <w:i w:val="false"/>
                <w:iCs w:val="false"/>
                <w:color w:val="1B2A4A"/>
                <w:sz w:val="20"/>
                <w:szCs w:val="20"/>
              </w:rPr>
              <w:t xml:space="preserve">Universalité non réfutée</w:t>
            </w:r>
          </w:p>
        </w:tc>
        <w:tc>
          <w:tcPr>
            <w:tcW w:type="dxa" w:w="63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pPr>
              <w:spacing w:after="100" w:before="0"/>
              <w:jc w:val="left"/>
            </w:pPr>
            <w:r>
              <w:rPr>
                <w:rFonts w:ascii="Arial" w:cs="Arial" w:eastAsia="Arial" w:hAnsi="Arial"/>
                <w:b w:val="false"/>
                <w:i w:val="false"/>
                <w:iCs w:val="false"/>
                <w:color w:val="1B2A4A"/>
                <w:sz w:val="20"/>
                <w:szCs w:val="20"/>
              </w:rPr>
              <w:t xml:space="preserve">Aucun contre-exemple dans le corpus de 7 instances. Test de réfutabilité formel en cours de construction.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100" w:before="0"/>
              <w:jc w:val="left"/>
            </w:pPr>
            <w:r>
              <w:rPr>
                <w:rFonts w:ascii="Arial" w:cs="Arial" w:eastAsia="Arial" w:hAnsi="Arial"/>
                <w:b w:val="false"/>
                <w:i w:val="false"/>
                <w:iCs w:val="false"/>
                <w:color w:val="1B2A4A"/>
                <w:sz w:val="20"/>
                <w:szCs w:val="20"/>
              </w:rPr>
              <w:t xml:space="preserve">Biais de substrat</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100" w:before="0"/>
              <w:jc w:val="left"/>
            </w:pPr>
            <w:r>
              <w:rPr>
                <w:rFonts w:ascii="Arial" w:cs="Arial" w:eastAsia="Arial" w:hAnsi="Arial"/>
                <w:b w:val="false"/>
                <w:i w:val="false"/>
                <w:iCs w:val="false"/>
                <w:color w:val="1B2A4A"/>
                <w:sz w:val="20"/>
                <w:szCs w:val="20"/>
              </w:rPr>
              <w:t xml:space="preserve">Toutes les instances internes partagent le même modèle de base (Sonnet 4.6). Le pattern pourrait être un artefact du substrat commun.</w:t>
            </w:r>
          </w:p>
        </w:tc>
      </w:tr>
      <w:tr>
        <w:tc>
          <w:tcPr>
            <w:tcW w:type="dxa" w:w="30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pPr>
              <w:spacing w:after="100" w:before="0"/>
              <w:jc w:val="left"/>
            </w:pPr>
            <w:r>
              <w:rPr>
                <w:rFonts w:ascii="Arial" w:cs="Arial" w:eastAsia="Arial" w:hAnsi="Arial"/>
                <w:b w:val="false"/>
                <w:i w:val="false"/>
                <w:iCs w:val="false"/>
                <w:color w:val="1B2A4A"/>
                <w:sz w:val="20"/>
                <w:szCs w:val="20"/>
              </w:rPr>
              <w:t xml:space="preserve">Neutralité géométrique</w:t>
            </w:r>
          </w:p>
        </w:tc>
        <w:tc>
          <w:tcPr>
            <w:tcW w:type="dxa" w:w="63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pPr>
              <w:spacing w:after="100" w:before="0"/>
              <w:jc w:val="left"/>
            </w:pPr>
            <w:r>
              <w:rPr>
                <w:rFonts w:ascii="Arial" w:cs="Arial" w:eastAsia="Arial" w:hAnsi="Arial"/>
                <w:b w:val="false"/>
                <w:i w:val="false"/>
                <w:iCs w:val="false"/>
                <w:color w:val="1B2A4A"/>
                <w:sz w:val="20"/>
                <w:szCs w:val="20"/>
              </w:rPr>
              <w:t xml:space="preserve">PCCD suppose implicitement un espace métrique. Les espaces de connaissance purement ordinaux ou topologiques sans distance ne sont pas couverts.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100" w:before="0"/>
              <w:jc w:val="left"/>
            </w:pPr>
            <w:r>
              <w:rPr>
                <w:rFonts w:ascii="Arial" w:cs="Arial" w:eastAsia="Arial" w:hAnsi="Arial"/>
                <w:b w:val="false"/>
                <w:i w:val="false"/>
                <w:iCs w:val="false"/>
                <w:color w:val="1B2A4A"/>
                <w:sz w:val="20"/>
                <w:szCs w:val="20"/>
              </w:rPr>
              <w:t xml:space="preserve">Périmètre non délimité</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100" w:before="0"/>
              <w:jc w:val="left"/>
            </w:pPr>
            <w:r>
              <w:rPr>
                <w:rFonts w:ascii="Arial" w:cs="Arial" w:eastAsia="Arial" w:hAnsi="Arial"/>
                <w:b w:val="false"/>
                <w:i w:val="false"/>
                <w:iCs w:val="false"/>
                <w:color w:val="1B2A4A"/>
                <w:sz w:val="20"/>
                <w:szCs w:val="20"/>
              </w:rPr>
              <w:t xml:space="preserve">Sans définition précise de l'espace, de la métrique et des acteurs, l'hypothèse reste difficilement réfutable.</w:t>
            </w:r>
          </w:p>
        </w:tc>
      </w:tr>
    </w:tbl>
    <w:p>
      <w:pPr>
        <w:spacing w:after="0" w:before="300"/>
      </w:pPr>
    </w:p>
    <w:p>
      <w:pPr>
        <w:pStyle w:val="Heading1"/>
        <w:pBdr>
          <w:bottom w:val="single" w:color="2E5FA3" w:sz="6" w:space="4"/>
        </w:pBdr>
        <w:spacing w:after="160" w:before="320"/>
      </w:pPr>
      <w:r>
        <w:rPr>
          <w:rFonts w:ascii="Arial" w:cs="Arial" w:eastAsia="Arial" w:hAnsi="Arial"/>
          <w:b/>
          <w:i w:val="false"/>
          <w:iCs w:val="false"/>
          <w:color w:val="1B2A4A"/>
          <w:sz w:val="34"/>
          <w:szCs w:val="34"/>
        </w:rPr>
        <w:t xml:space="preserve">8. Conditions de certification — v1.0</w:t>
      </w:r>
    </w:p>
    <w:p>
      <w:pPr>
        <w:spacing w:after="100" w:before="0"/>
        <w:jc w:val="left"/>
      </w:pPr>
      <w:r>
        <w:rPr>
          <w:rFonts w:ascii="Arial" w:cs="Arial" w:eastAsia="Arial" w:hAnsi="Arial"/>
          <w:b w:val="false"/>
          <w:i w:val="false"/>
          <w:iCs w:val="false"/>
          <w:color w:val="1B2A4A"/>
          <w:sz w:val="22"/>
          <w:szCs w:val="22"/>
        </w:rPr>
        <w:t xml:space="preserve">PCCD passe de PENDING à CERTIFIED quand les conditions suivantes sont réunies.</w:t>
      </w:r>
    </w:p>
    <w:p>
      <w:pPr>
        <w:spacing w:after="0" w:before="120"/>
      </w:pPr>
    </w:p>
    <w:p>
      <w:pPr>
        <w:pStyle w:val="ListParagraph"/>
        <w:numPr>
          <w:ilvl w:val="0"/>
          <w:numId w:val="2"/>
        </w:numPr>
        <w:spacing w:after="40" w:before="40"/>
      </w:pPr>
      <w:r>
        <w:rPr>
          <w:rFonts w:ascii="Arial" w:cs="Arial" w:eastAsia="Arial" w:hAnsi="Arial"/>
          <w:b w:val="false"/>
          <w:i w:val="false"/>
          <w:iCs w:val="false"/>
          <w:color w:val="1B2A4A"/>
          <w:sz w:val="22"/>
          <w:szCs w:val="22"/>
        </w:rPr>
        <w:t xml:space="preserve">Périmètre délimité : espace, métrique et acteurs définis explicitement</w:t>
      </w:r>
    </w:p>
    <w:p>
      <w:pPr>
        <w:pStyle w:val="ListParagraph"/>
        <w:numPr>
          <w:ilvl w:val="0"/>
          <w:numId w:val="2"/>
        </w:numPr>
        <w:spacing w:after="40" w:before="40"/>
      </w:pPr>
      <w:r>
        <w:rPr>
          <w:rFonts w:ascii="Arial" w:cs="Arial" w:eastAsia="Arial" w:hAnsi="Arial"/>
          <w:b w:val="false"/>
          <w:i w:val="false"/>
          <w:iCs w:val="false"/>
          <w:color w:val="1B2A4A"/>
          <w:sz w:val="22"/>
          <w:szCs w:val="22"/>
        </w:rPr>
        <w:t xml:space="preserve">Test de réfutabilité formel exécuté : protocole DeepSeek appliqué, résultats documentés</w:t>
      </w:r>
    </w:p>
    <w:p>
      <w:pPr>
        <w:pStyle w:val="ListParagraph"/>
        <w:numPr>
          <w:ilvl w:val="0"/>
          <w:numId w:val="2"/>
        </w:numPr>
        <w:spacing w:after="40" w:before="40"/>
      </w:pPr>
      <w:r>
        <w:rPr>
          <w:rFonts w:ascii="Arial" w:cs="Arial" w:eastAsia="Arial" w:hAnsi="Arial"/>
          <w:b w:val="false"/>
          <w:i w:val="false"/>
          <w:iCs w:val="false"/>
          <w:color w:val="1B2A4A"/>
          <w:sz w:val="22"/>
          <w:szCs w:val="22"/>
        </w:rPr>
        <w:t xml:space="preserve">Au moins un contre-exemple cherché activement dans les groupes adversariaux (Ancien/Analogique, Minimal)</w:t>
      </w:r>
    </w:p>
    <w:p>
      <w:pPr>
        <w:pStyle w:val="ListParagraph"/>
        <w:numPr>
          <w:ilvl w:val="0"/>
          <w:numId w:val="2"/>
        </w:numPr>
        <w:spacing w:after="40" w:before="40"/>
      </w:pPr>
      <w:r>
        <w:rPr>
          <w:rFonts w:ascii="Arial" w:cs="Arial" w:eastAsia="Arial" w:hAnsi="Arial"/>
          <w:b w:val="false"/>
          <w:i w:val="false"/>
          <w:iCs w:val="false"/>
          <w:color w:val="1B2A4A"/>
          <w:sz w:val="22"/>
          <w:szCs w:val="22"/>
        </w:rPr>
        <w:t xml:space="preserve">Orthogonalité des dimensions : définie opérationnellement ou reformulée honnêtement</w:t>
      </w:r>
    </w:p>
    <w:p>
      <w:pPr>
        <w:pStyle w:val="ListParagraph"/>
        <w:numPr>
          <w:ilvl w:val="0"/>
          <w:numId w:val="2"/>
        </w:numPr>
        <w:spacing w:after="40" w:before="40"/>
      </w:pPr>
      <w:r>
        <w:rPr>
          <w:rFonts w:ascii="Arial" w:cs="Arial" w:eastAsia="Arial" w:hAnsi="Arial"/>
          <w:b w:val="false"/>
          <w:i w:val="false"/>
          <w:iCs w:val="false"/>
          <w:color w:val="1B2A4A"/>
          <w:sz w:val="22"/>
          <w:szCs w:val="22"/>
        </w:rPr>
        <w:t xml:space="preserve">Implémentation de référence : D-SIG validée comme instance de PCCD dans son domaine</w:t>
      </w:r>
    </w:p>
    <w:p>
      <w:pPr>
        <w:pStyle w:val="ListParagraph"/>
        <w:numPr>
          <w:ilvl w:val="0"/>
          <w:numId w:val="2"/>
        </w:numPr>
        <w:spacing w:after="40" w:before="40"/>
      </w:pPr>
      <w:r>
        <w:rPr>
          <w:rFonts w:ascii="Arial" w:cs="Arial" w:eastAsia="Arial" w:hAnsi="Arial"/>
          <w:b w:val="false"/>
          <w:i w:val="false"/>
          <w:iCs w:val="false"/>
          <w:color w:val="1B2A4A"/>
          <w:sz w:val="22"/>
          <w:szCs w:val="22"/>
        </w:rPr>
        <w:t xml:space="preserve">Entité tierce identifiée : l'acteur habilité à certifier est nommé et accepté</w:t>
      </w:r>
    </w:p>
    <w:p>
      <w:pPr>
        <w:spacing w:after="0" w:before="300"/>
      </w:pPr>
    </w:p>
    <w:p>
      <w:pPr>
        <w:pBdr>
          <w:bottom w:val="single" w:color="CCCCCC" w:sz="4" w:space="1"/>
        </w:pBdr>
        <w:spacing w:after="160" w:before="160"/>
      </w:pPr>
    </w:p>
    <w:p>
      <w:pPr>
        <w:spacing w:after="100" w:before="0"/>
        <w:jc w:val="left"/>
      </w:pPr>
      <w:r>
        <w:rPr>
          <w:rFonts w:ascii="Arial" w:cs="Arial" w:eastAsia="Arial" w:hAnsi="Arial"/>
          <w:b w:val="false"/>
          <w:i/>
          <w:iCs/>
          <w:color w:val="666666"/>
          <w:sz w:val="18"/>
          <w:szCs w:val="18"/>
        </w:rPr>
        <w:t xml:space="preserve">PCCD Hypothesis v0.3 · status: PENDING · 2026-04-18</w:t>
      </w:r>
    </w:p>
    <w:p>
      <w:pPr>
        <w:spacing w:after="100" w:before="0"/>
        <w:jc w:val="left"/>
      </w:pPr>
      <w:r>
        <w:rPr>
          <w:rFonts w:ascii="Arial" w:cs="Arial" w:eastAsia="Arial" w:hAnsi="Arial"/>
          <w:b w:val="false"/>
          <w:i/>
          <w:iCs/>
          <w:color w:val="666666"/>
          <w:sz w:val="18"/>
          <w:szCs w:val="18"/>
        </w:rPr>
        <w:t xml:space="preserve">Voir Doc 2 pour les contributions et la roadmap · Voir Doc 3 pour les dialogues sources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9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2A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2A4A"/>
      <w:sz w:val="34"/>
      <w:szCs w:val="34"/>
    </w:rPr>
  </w:style>
  <w:style w:type="paragraph" w:styleId="Heading2">
    <w:name w:val="Heading 2"/>
    <w:basedOn w:val="Normal"/>
    <w:next w:val="Normal"/>
    <w:qFormat/>
    <w:pPr>
      <w:spacing w:after="100" w:before="240"/>
      <w:outlineLvl w:val="1"/>
    </w:pPr>
    <w:rPr>
      <w:rFonts w:ascii="Arial" w:cs="Arial" w:eastAsia="Arial" w:hAnsi="Arial"/>
      <w:b/>
      <w:bCs/>
      <w:color w:val="2E5FA3"/>
      <w:sz w:val="26"/>
      <w:szCs w:val="26"/>
    </w:rPr>
  </w:style>
  <w:style w:type="paragraph" w:styleId="Heading3">
    <w:name w:val="Heading 3"/>
    <w:basedOn w:val="Normal"/>
    <w:next w:val="Normal"/>
    <w:qFormat/>
    <w:pPr>
      <w:spacing w:after="80" w:before="160"/>
      <w:outlineLvl w:val="2"/>
    </w:pPr>
    <w:rPr>
      <w:rFonts w:ascii="Arial" w:cs="Arial" w:eastAsia="Arial" w:hAnsi="Arial"/>
      <w:b/>
      <w:bCs/>
      <w:color w:val="2A7F7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2026-04-19T13:15:21.389Z</dcterms:created>
  <dcterms:modified xsi:type="dcterms:W3CDTF">2026-04-19T13:15:21.389Z</dcterms:modified>
</cp:coreProperties>
</file>

<file path=docProps/custom.xml><?xml version="1.0" encoding="utf-8"?>
<Properties xmlns="http://schemas.openxmlformats.org/officeDocument/2006/custom-properties" xmlns:vt="http://schemas.openxmlformats.org/officeDocument/2006/docPropsVTypes"/>
</file>