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52"/>
                <w:szCs w:val="52"/>
              </w:rPr>
              <w:t xml:space="preserve">PCCD — Document 2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FFFFFF"/>
                <w:sz w:val="24"/>
                <w:szCs w:val="24"/>
              </w:rPr>
              <w:t xml:space="preserve">D'où on vient · Ce qu'on a appris · Où on va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FFFFFF"/>
                <w:sz w:val="20"/>
                <w:szCs w:val="20"/>
              </w:rPr>
              <w:t xml:space="preserve">Synthèse des contributions · Roadmap vers v1.0 · Avril 2026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transform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CERTIFIED — compte-rendu factuel de ce qui s'est passé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present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activation_mode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contextual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provenance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Dialogue inter-instances Andrei + Claude Sonnet 4.6 · 2026-04-18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archive_ref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PCCD_Archive_README.md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1. D'où on vient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1.1 Genèse — trois projets, un pattern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PCCD n'a pas été conçu. Il a émergé de la convergence non planifiée de trois projets modulaires distincts menés en parallèle : persistance de la mémoire via fichiers YAML de contexte, architecture cognitive pour lier des projets entre eux, détection et réutilisation de patterns. Le pattern commun — trois couches, toujours — s'est imposé sans avoir été cherché.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1.2 Le corpus de validation — sept instances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Le questionnaire PCCD a été soumis à sept instances Claude indépendantes engagées sur des projets réels distincts. Chaque instance a répondu depuis son domaine propre sans coordination préalable.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Domaine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Apport principal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Qualification de l'état vital des systèmes observables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Semantic Silence · epistemic_weight · frontière signal/interprétation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MIF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Certification qualité données financières OHLCV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Triplet atomique · precondition_gate · UNCERTIFIED comme 4e statut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QAAF Studio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Backtesting algorithmique crypto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Règles d'arrêt comme citoyens structurels · convergence inter-instances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Netpulse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Supervision réseau distribuée terrain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Dépréciation vs expiration · niveau 4 anticipation · silence qualifié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HALO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Mémoire relationnelle inter-sessions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Accord comme atome · dégradation silencieuse · activation_mode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TOPOSFIN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Formalisation mathématique financière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Neutralité géométrique · rétroaction temporelle · valide vs vrai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ILYA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Modélisation espaces financiers dynamiques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Échec documenté · drift sémantique · régimes d'incertitude · états transitoires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1.3 Le corpus externe — quatre IA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Le même questionnaire de réfutabilité a été soumis à quatre IA externes avec des prompts spécialisés par type d'expertise.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Instance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Prompt spécialisé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Apport retenu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Gemini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Recherche bibliographique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Trois ancres théoriques : CLT · VECTOR · ATI. Tableau comparatif de proximité.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Grok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Contre-exemples adversariaux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Architectures dataflow comme candidat contre-exemple sérieux. Reste léger.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Claude (nouvelle session)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Critique épistémologique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Orthogonalité comme pétition de principe · trichotomie comme artefact cognitif · quatre types de réfutation formels.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DeepSeek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Protocole de test formel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Opérationnalisation en variables binaires · RSO · plan d'échantillonnage adversarial · tableau de conclusion à trois lignes.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ChatGPT (prompt Grok)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Contre-exemples additionnels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Index inversé comme candidat Groupe B minimal. Niveau d'abstraction hétérogène.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2. Ce qu'on a appris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2.1 Invariants confirmés — ce qui a résisté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Intégration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L'atome n'est pas le fichier — c'est le triplet (assertion, contexte, provenance)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MIF · QAAF · Netpulse · HALO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INV restructuré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L'asymétrie émetteur/interpréteur tient avec un point de rupture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Toutes les instances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INV-01 + INV-08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La cascade de lecture est une précondition, pas une convention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MIF · DeepSeek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INV-03 + INV-07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Le pattern a émergé empiriquement, pas théoriquement, dans 7 domaines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Toutes les instances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Hypothèse renforcée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2.2 Lacunes comblées — amendements intégrés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Lacune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Amendement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Absence de distinction signal absent vs signal void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 · Netpulse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signal: present | absent | void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Absence de statut pour connaissance non certifiable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MIF (M7)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status: UNCERTIFIED + provenance_gap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Absence de confiance explicite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epistemic_weight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Règles d'arrêt invisibles dans la structure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QAAF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constraints dans niveau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Connaissance pour agir vs comprendre indistinguable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HALO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activation_mode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Convergence inter-instances non capturée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QAAF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cross_validated_by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Connaissance remplacée mais valide dans son contexte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Netpulse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status: DEPRECATED + SUPERSEDED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Rétroaction temporelle sans mécanisme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TOPOSFIN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status: SUPERSEDED + superseded_by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Fichier en révision active sans statut dédié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ILYA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status: TRANSITIONING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Drift sémantique non détectable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ILYA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hash niveau 0 + skill heartbeat étendu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Connaissance valide mais inutilisable indistinguable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status: VALID_INACTIVE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Fichier container vs transform indistinguable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ILYA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role: container | transform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Contradiction entre unités sans représentation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TOPOSFIN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tension_with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Valide vs vrai non distingués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TOPOSFIN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validation_mode: internal | empirical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Régimes d'incertitude confondus avec les niveaux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ILYA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uncertainty_regime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2.3 Limites déclarées — ce qui n'est pas résolu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4A3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1"/>
                <w:szCs w:val="21"/>
              </w:rPr>
              <w:t xml:space="preserve">Limite critique — Biais de substrat commun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Toutes les instances internes partagent le même modèle de base : Claude Sonnet 4.6.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Le pattern tripartite pourrait être un artefact du substrat cognitif commun plutôt qu'une propriété universelle.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La convergence sans concertation explicite n'exclut pas la convergence par contamination paradigmatique implicite.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Protection partielle : les domaines sont suffisamment contraignants pour que les instances ne puissent pas inventer librement.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Protection nécessaire : confrontation avec des systèmes où le substrat cognitif de l'observateur n'est pas en jeu.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D0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1"/>
                <w:szCs w:val="21"/>
              </w:rPr>
              <w:t xml:space="preserve">Limite structurelle — Orthogonalité postulée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Affirmer que trois dimensions sont orthogonales est une claim géométrique qui exige une métrique.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Aucune métrique n'est fournie dans l'état actuel. L'orthogonalité est postulée pour rendre le modèle élégant.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Cas de collapse documentés : tradition orale où le passé lointain est local · narration qui produit le présent.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Reformulation honnête adoptée : distinguables en intention, couplées en cascade en pratique.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D0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1"/>
                <w:szCs w:val="21"/>
              </w:rPr>
              <w:t xml:space="preserve">Limite de domaine — Neutralité géométrique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PCCD suppose implicitement un espace métrique — les unités sont comparables, la distance est mesurable.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Les espaces de connaissance purement ordinaux ou topologiques sans distance ne sont pas couverts.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Identifié par TOPOSFIN (TF-Q6) — la question la plus déstabilisante du corpus.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7D0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1"/>
                <w:szCs w:val="21"/>
              </w:rPr>
              <w:t xml:space="preserve">Limite opérationnelle — Portabilité entre exécutants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3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Deux instances LLM lisant la même assertion dans des contextes différents produisent des activations différentes.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Confirmé par Netpulse (NP-Q4) et QAAF (QR1).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1"/>
                <w:szCs w:val="21"/>
              </w:rPr>
              <w:t xml:space="preserve">Non résolu. Rendu visible par l'exigence de déclaration du contexte de production.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2E5FA3" w:sz="6" w:space="4"/>
        </w:pBdr>
        <w:spacing w:after="160" w:before="320"/>
      </w:pPr>
      <w:r>
        <w:rPr>
          <w:rFonts w:ascii="Arial" w:cs="Arial" w:eastAsia="Arial" w:hAnsi="Arial"/>
          <w:b/>
          <w:i w:val="false"/>
          <w:iCs w:val="false"/>
          <w:color w:val="1B2A4A"/>
          <w:sz w:val="34"/>
          <w:szCs w:val="34"/>
        </w:rPr>
        <w:t xml:space="preserve">3. Où on va — Roadmap vers PCCD v1.0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3.1 Prochaine session — questions de périmètre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Trois décisions à prendre avant toute autre action. Sans elles, le test de réfutabilité ne peut pas être construit correctement.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Décision 1 — Espace : quel type de systèmes PCCD couvre-t-il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Décision 2 — Métrique : espace métrique ou topologique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Décision 3 — Acteurs : qui certifie PCCD v1.0 ?</w:t>
      </w:r>
    </w:p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3.2 Court terme — test de réfutabilité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 w:val="false"/>
          <w:iCs w:val="false"/>
          <w:color w:val="1B2A4A"/>
          <w:sz w:val="22"/>
          <w:szCs w:val="22"/>
        </w:rPr>
        <w:t xml:space="preserve">Le protocole DeepSeek est la base. Il doit être amendé avec les quatre types de réfutation identifiés par Claude (critique épistémologique) et la RSO comme critère discriminant.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Amendment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Opérationnaliser les neuf variables en indicateurs binaires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DeepSeek Composante 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Resserrer la définition SGCC au périmètre PCCD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Définir les critères de réfutation formels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Claude §3 — quatre types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Adapter au périmètre décidé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Plan d'échantillonnage adversarial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DeepSeek Composante 3 — quatre groupes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Prioriser Groupe A (Ancien) et Groupe B (Minimal) — RSO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Critère de seuil universalité vs biais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DeepSeek Composante 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Ajouter critère substrat : tester avec observateurs non-LLM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Contraindre le niveau d'abstraction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Diagnostic post-corpus externe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Ajouter phrase explicite dans chaque prompt futur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3.3 Moyen terme — implémentation de référence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F7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 comme instance de PCCD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Valider que D-SIG satisfait les 8 invariants candidats de PCCD dans son domaine. PCCD comme spécification parente, D-SIG comme première implémentation de référence.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Formaliser le niveau 4 — anticipation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Connaissance prédictive par densité historique. Accessible seulement après stabilisation des niveaux 1-3. Non universel — dépend de la densité temporelle du corpus.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Protocole cross_validated_by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Formaliser les conditions et le poids épistémique d'une convergence inter-instances. Ce corpus en est le proof of concept.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Politique de gouvernance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Le protocole définit le mécanisme de transition d'état. La politique (fréquence, seuil) est laissée à l'implémentation. Documenter la distinction explicitement.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i w:val="false"/>
          <w:iCs w:val="false"/>
          <w:color w:val="2E5FA3"/>
          <w:sz w:val="26"/>
          <w:szCs w:val="26"/>
        </w:rPr>
        <w:t xml:space="preserve">3.4 Long terme — v1.0 et au-delà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Périmètre délimité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Espace + métrique + acteurs définis et acceptés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Réfutabilité établie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Test formel exécuté · résultats documentés · contre-exemples cherchés activement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Implémentation de référence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D-SIG validée comme instance dans son domaine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Tiers indépendant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Au moins un domaine externe (non Andrei) ayant adopté le protocole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Familles de protocoles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i w:val="false"/>
                <w:iCs w:val="false"/>
                <w:color w:val="1B2A4A"/>
                <w:sz w:val="20"/>
                <w:szCs w:val="20"/>
              </w:rPr>
              <w:t xml:space="preserve">PCCD parente · D-SIG · MIF · autres comme instances de domaine · règles d'héritage des invariants documentées</w:t>
            </w:r>
          </w:p>
        </w:tc>
      </w:tr>
    </w:tbl>
    <w:p>
      <w:pPr>
        <w:spacing w:after="0" w:before="300"/>
      </w:pPr>
    </w:p>
    <w:p>
      <w:pPr>
        <w:pBdr>
          <w:bottom w:val="single" w:color="CCCCCC" w:sz="4" w:space="1"/>
        </w:pBdr>
        <w:spacing w:after="160" w:before="160"/>
      </w:pP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/>
          <w:iCs/>
          <w:color w:val="666666"/>
          <w:sz w:val="18"/>
          <w:szCs w:val="18"/>
        </w:rPr>
        <w:t xml:space="preserve">PCCD Doc 2 · status: CERTIFIED · role: transform · 2026-04-18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i/>
          <w:iCs/>
          <w:color w:val="666666"/>
          <w:sz w:val="18"/>
          <w:szCs w:val="18"/>
        </w:rPr>
        <w:t xml:space="preserve">Voir Doc 1 pour le protocole · Voir Doc 3 pour les dialogues sources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A7F7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A7F7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2026-04-19T13:15:21.818Z</dcterms:created>
  <dcterms:modified xsi:type="dcterms:W3CDTF">2026-04-19T13:15:21.819Z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