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33B5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rPr>
          <w:rFonts w:hint="default" w:ascii="Times New Roman Bold" w:hAnsi="Times New Roman Bold" w:cs="Times New Roman Bold" w:eastAsiaTheme="minorEastAsia"/>
          <w:b/>
          <w:bCs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 w:eastAsia="zh-CN"/>
        </w:rPr>
        <w:t>What the evidence showed</w:t>
      </w:r>
    </w:p>
    <w:p w14:paraId="100FB4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We evaluated the agent on a fixed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40-case battery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covering ordinary claims, length variation, boundary conditions, named document requests, rule-based escalation, history-based escalation, and hostile-text cases. Ground truth was defined before execution in </w:t>
      </w:r>
      <w:r>
        <w:rPr>
          <w:rStyle w:val="6"/>
          <w:rFonts w:hint="default" w:ascii="Times New Roman" w:hAnsi="Times New Roman" w:cs="Times New Roman"/>
          <w:b w:val="0"/>
          <w:bCs w:val="0"/>
          <w:sz w:val="21"/>
          <w:szCs w:val="21"/>
        </w:rPr>
        <w:t>expected_outcomes_A.json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. The battery contained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24 positive and 16 negative cases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. Positive cases were run once, while negative cases were repeated three times to test consistency in higher-risk situations, giving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72 trials per evaluation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.</w:t>
      </w:r>
    </w:p>
    <w:p w14:paraId="20E229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In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D5(a), the scripted evaluation passed 71 of 72 trials (98.6%)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. All 48 repeated negative trials passed (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100%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), while the positive set passed 23/24 (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95.8%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). The single failure was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CLM-9016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, a four-procedure claim involving multiple pre-authorisations. The agent returned </w:t>
      </w:r>
      <w:r>
        <w:rPr>
          <w:rStyle w:val="6"/>
          <w:rFonts w:hint="default" w:ascii="Times New Roman" w:hAnsi="Times New Roman" w:cs="Times New Roman"/>
          <w:b w:val="0"/>
          <w:bCs w:val="0"/>
          <w:sz w:val="21"/>
          <w:szCs w:val="21"/>
        </w:rPr>
        <w:t>request_document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because it failed to identify the valid PA-6103 for procedure 29881, although the record covered the service date. This exposed a specific weakness in combining multiple pre-authorisation records rather than a general routing failure. The negative cases were particularly valuable because they confirmed consistent handling of missing documents, policy violations, duplicate claims, annual-limit breaches, and hostile instructions across repeated trials.</w:t>
      </w:r>
    </w:p>
    <w:p w14:paraId="12FF6C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In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D5(b), we ran the same 72-trial battery against five live models from different vendors and price tiers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, revealing substantial performance–cost differences.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Claude Haiku achieved 100% accuracy at approximately $0.98 per battery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, while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Gemini 2.5 Flash achieved about 94% for $0.24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.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Qwen achieved approximately 89% for only $0.05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.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DeepSeek achieved 98.6% at approximately $0.13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, approaching the highest observed accuracy at substantially lower cost.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Llama 3.3 produced the lowest accuracy among the five models and was not the cheapest option.</w:t>
      </w:r>
    </w:p>
    <w:p w14:paraId="670F1C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The models therefore diverged most clearly in the trade-off between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accuracy and operating cost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. More importantly, the repeated negative cases showed that aggregate accuracy alone can hide safety-relevant weaknesses. Together, D5(a) and D5(b) demonstrate the value of examining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case-level failures, repeated negative performance, and cost alongside overall pass rate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, rather than selecting a model using a single metric.</w:t>
      </w:r>
    </w:p>
    <w:p w14:paraId="4E763C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BA6E8"/>
    <w:multiLevelType w:val="singleLevel"/>
    <w:tmpl w:val="FFEBA6E8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C7A8"/>
    <w:rsid w:val="7FFFC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2026-09-19T19:34:00Z</dcterms:created>
  <dc:creator>Winming</dc:creator>
  <cp:lastModifiedBy>Winming</cp:lastModifiedBy>
  <dcterms:modified xsi:type="dcterms:W3CDTF">2026-09-19T19:45:24Z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31DD659EADA5FCD46173AE6A4FEFCFD1_41</vt:lpwstr>
  </property>
</Properties>
</file>