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CulinaCompass SG: Report</w:t>
      </w:r>
    </w:p>
    <w:p>
      <w:pPr>
        <w:pStyle w:val="Heading1"/>
      </w:pPr>
      <w:r>
        <w:t xml:space="preserve">1. The problem and what changes</w:t>
      </w:r>
    </w:p>
    <w:p>
      <w:pPr>
        <w:spacing w:after="140" w:line="276"/>
      </w:pPr>
      <w:r>
        <w:t xml:space="preserve">Someone from Hyderabad who moves to Singapore and wants to cook gongura pachadi today asks a forum, a WhatsApp group, or a general chatbot. A chatbot will happily suggest a "close substitute" for ingredients it has never checked against a Singapore shelf, and will not say that fresh gongura leaves are not sold at any of the seven sources I searched. The newcomer finds out at the till.</w:t>
      </w:r>
    </w:p>
    <w:p>
      <w:pPr>
        <w:spacing w:after="140" w:line="276"/>
      </w:pPr>
      <w:r>
        <w:t xml:space="preserve">CulinaCompass SG changes one thing: every claim about </w:t>
      </w:r>
      <w:r>
        <w:rPr>
          <w:i/>
          <w:iCs/>
        </w:rPr>
        <w:t xml:space="preserve">what you can buy</w:t>
      </w:r>
      <w:r>
        <w:t xml:space="preserve"> is backed by a dated retailer listing and a URL, graded Confirmed, Likely, Difficult or Unknown by deterministic code. The language model never writes an ingredient list, a price or a stock claim. It makes the judgement calls that need language understanding (what "plant-based", "palli" or "naivedyam" imply, which substitute keeps the dish recognisable) and must either adapt the dish the user </w:t>
      </w:r>
      <w:r>
        <w:rPr>
          <w:i/>
          <w:iCs/>
        </w:rPr>
        <w:t xml:space="preserve">named</w:t>
      </w:r>
      <w:r>
        <w:t xml:space="preserve"> or abstain honestly. The result is a plan the user can act on, with the cost in Singapore dollars.</w:t>
      </w:r>
    </w:p>
    <w:p>
      <w:pPr>
        <w:spacing w:after="140" w:line="276"/>
      </w:pPr>
      <w:r>
        <w:t xml:space="preserve">This is a prototype for one cuisine (South Indian vegetarian), one city and 15 dishes. I did not run a user study, so I cannot claim it helps real users, only that the mechanism does what it is designed to do.</w:t>
      </w:r>
    </w:p>
    <w:p>
      <w:pPr>
        <w:pStyle w:val="Heading1"/>
      </w:pPr>
      <w:r>
        <w:t xml:space="preserve">2. Design reasoning</w:t>
      </w:r>
    </w:p>
    <w:p>
      <w:pPr>
        <w:spacing w:after="140" w:line="276"/>
      </w:pPr>
      <w:r>
        <w:t xml:space="preserve">The central decision was </w:t>
      </w:r>
      <w:r>
        <w:rPr>
          <w:b/>
          <w:bCs/>
        </w:rPr>
        <w:t xml:space="preserve">who owns which fact</w:t>
      </w:r>
      <w:r>
        <w:t xml:space="preserve">. LLMs are good at intent and poor at inventory, so I split the work: the model chooses (dish, adapt or abstain, substitutions, flags, explanation), and code derives everything factual (</w:t>
      </w:r>
      <w:r>
        <w:rPr>
          <w:rFonts w:ascii="Consolas" w:cs="Consolas" w:eastAsia="Consolas" w:hAnsi="Consolas"/>
          <w:sz w:val="20"/>
          <w:szCs w:val="20"/>
        </w:rPr>
        <w:t xml:space="preserve">plan.py</w:t>
      </w:r>
      <w:r>
        <w:t xml:space="preserve">: ingredient list, pricing, evidence). A validator then rejects plans that use a forbidden ingredient, drop or badly replace a signature ingredient, use a substitute labelled unacceptable, or fail to flag a hard-to-find item. The model re-plans, up to three times, and unresolved errors are shown rather than hidden.</w:t>
      </w:r>
    </w:p>
    <w:p>
      <w:pPr>
        <w:spacing w:after="140" w:line="276"/>
      </w:pPr>
      <w:r>
        <w:t xml:space="preserve">The second decision was a </w:t>
      </w:r>
      <w:r>
        <w:rPr>
          <w:b/>
          <w:bCs/>
        </w:rPr>
        <w:t xml:space="preserve">no-LLM baseline</w:t>
      </w:r>
      <w:r>
        <w:t xml:space="preserve"> using the same data and policies. Without it, "the agent works" has nothing to be compared against.</w:t>
      </w:r>
    </w:p>
    <w:p>
      <w:pPr>
        <w:spacing w:after="140" w:line="276"/>
      </w:pPr>
      <w:r>
        <w:t xml:space="preserve">The third was to </w:t>
      </w:r>
      <w:r>
        <w:rPr>
          <w:b/>
          <w:bCs/>
        </w:rPr>
        <w:t xml:space="preserve">report metrics separately</w:t>
      </w:r>
      <w:r>
        <w:t xml:space="preserve">. A planner that always returns plain dosa scores 1.00 on constraint adherence and 0.06 on task success, because abstaining or switching dish satisfies every constraint trivially. That "lazy winner" hole is why adherence is only meaningful beside dish fidelity, and why task success requires both.</w:t>
      </w:r>
    </w:p>
    <w:p>
      <w:pPr>
        <w:pStyle w:val="Heading1"/>
      </w:pPr>
      <w:r>
        <w:t xml:space="preserve">3. Results</w:t>
      </w:r>
    </w:p>
    <w:p>
      <w:pPr>
        <w:spacing w:after="140" w:line="276"/>
      </w:pPr>
      <w:r>
        <w:t xml:space="preserve">Evaluation uses 32 scenarios, text input only (the planner must infer diets, equipment and budget), reworded in code-mixed English. Ground truth is generated deterministically from the dataset, my policy, and 46 human-labelled substitutions.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0"/>
        <w:gridCol w:w="1489"/>
        <w:gridCol w:w="1489"/>
        <w:gridCol w:w="1489"/>
        <w:gridCol w:w="1489"/>
      </w:tblGrid>
      <w:tr>
        <w:trPr>
          <w:tblHeader/>
        </w:trPr>
        <w:tc>
          <w:tcPr>
            <w:tcW w:type="dxa" w:w="3070"/>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b/>
                <w:bCs/>
                <w:sz w:val="20"/>
                <w:szCs w:val="20"/>
              </w:rPr>
              <w:t xml:space="preserve">Planner</w:t>
            </w:r>
          </w:p>
        </w:tc>
        <w:tc>
          <w:tcPr>
            <w:tcW w:type="dxa" w:w="1489"/>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b/>
                <w:bCs/>
                <w:sz w:val="20"/>
                <w:szCs w:val="20"/>
              </w:rPr>
              <w:t xml:space="preserve">Adherence</w:t>
            </w:r>
          </w:p>
        </w:tc>
        <w:tc>
          <w:tcPr>
            <w:tcW w:type="dxa" w:w="1489"/>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b/>
                <w:bCs/>
                <w:sz w:val="20"/>
                <w:szCs w:val="20"/>
              </w:rPr>
              <w:t xml:space="preserve">Fidelity</w:t>
            </w:r>
          </w:p>
        </w:tc>
        <w:tc>
          <w:tcPr>
            <w:tcW w:type="dxa" w:w="1489"/>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b/>
                <w:bCs/>
                <w:sz w:val="20"/>
                <w:szCs w:val="20"/>
              </w:rPr>
              <w:t xml:space="preserve">Task success</w:t>
            </w:r>
          </w:p>
        </w:tc>
        <w:tc>
          <w:tcPr>
            <w:tcW w:type="dxa" w:w="1489"/>
            <w:tcBorders>
              <w:top w:val="single" w:color="BBBBBB" w:sz="4"/>
              <w:left w:val="single" w:color="BBBBBB" w:sz="4"/>
              <w:bottom w:val="single" w:color="BBBBBB" w:sz="4"/>
              <w:right w:val="single" w:color="BBBBBB" w:sz="4"/>
            </w:tcBorders>
            <w:shd w:fill="E8EEF4" w:val="clear"/>
            <w:tcMar>
              <w:top w:type="dxa" w:w="60"/>
              <w:left w:type="dxa" w:w="100"/>
              <w:bottom w:type="dxa" w:w="60"/>
              <w:right w:type="dxa" w:w="100"/>
            </w:tcMar>
          </w:tcPr>
          <w:p>
            <w:r>
              <w:rPr>
                <w:b/>
                <w:bCs/>
                <w:sz w:val="20"/>
                <w:szCs w:val="20"/>
              </w:rPr>
              <w:t xml:space="preserve">Cost/query</w:t>
            </w:r>
          </w:p>
        </w:tc>
      </w:tr>
      <w:tr>
        <w:tc>
          <w:tcPr>
            <w:tcW w:type="dxa" w:w="30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Always plain dosa</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1.00</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0.06</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0.06</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none</w:t>
            </w:r>
          </w:p>
        </w:tc>
      </w:tr>
      <w:tr>
        <w:tc>
          <w:tcPr>
            <w:tcW w:type="dxa" w:w="30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Ignores constraints</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0.44</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0.84</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0.44</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none</w:t>
            </w:r>
          </w:p>
        </w:tc>
      </w:tr>
      <w:tr>
        <w:tc>
          <w:tcPr>
            <w:tcW w:type="dxa" w:w="30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Rules baseline</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0.75</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0.88</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0.69</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none</w:t>
            </w:r>
          </w:p>
        </w:tc>
      </w:tr>
      <w:tr>
        <w:tc>
          <w:tcPr>
            <w:tcW w:type="dxa" w:w="30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gpt-5-mini (1 run)</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1.00</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0.97</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0.97</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~US$0.012</w:t>
            </w:r>
          </w:p>
        </w:tc>
      </w:tr>
      <w:tr>
        <w:tc>
          <w:tcPr>
            <w:tcW w:type="dxa" w:w="30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qwen3.7-flash, original prompt (1 run)</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1.00</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0.91</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0.91</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~US$0.001</w:t>
            </w:r>
          </w:p>
        </w:tc>
      </w:tr>
      <w:tr>
        <w:tc>
          <w:tcPr>
            <w:tcW w:type="dxa" w:w="307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qwen3.7-flash, tuned prompt (3 runs)</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0.98</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0.98</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0.96</w:t>
            </w:r>
          </w:p>
        </w:tc>
        <w:tc>
          <w:tcPr>
            <w:tcW w:type="dxa" w:w="1489"/>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20"/>
                <w:szCs w:val="20"/>
              </w:rPr>
              <w:t xml:space="preserve">~US$0.001</w:t>
            </w:r>
          </w:p>
        </w:tc>
      </w:tr>
    </w:tbl>
    <w:p>
      <w:pPr>
        <w:spacing w:after="120"/>
      </w:pPr>
    </w:p>
    <w:p>
      <w:pPr>
        <w:spacing w:after="140" w:line="276"/>
      </w:pPr>
      <w:r>
        <w:t xml:space="preserve">All agent runs had zero availability overclaims. Costs are OpenRouter list prices applied to the logged token counts; exact figures are in </w:t>
      </w:r>
      <w:r>
        <w:rPr>
          <w:rFonts w:ascii="Consolas" w:cs="Consolas" w:eastAsia="Consolas" w:hAnsi="Consolas"/>
          <w:sz w:val="20"/>
          <w:szCs w:val="20"/>
        </w:rPr>
        <w:t xml:space="preserve">docs/EVAL_CARD.md</w:t>
      </w:r>
      <w:r>
        <w:t xml:space="preserve">. The tuned qwen runs scored 0.875, 1.00 and 1.00 on task success.</w:t>
      </w:r>
    </w:p>
    <w:p>
      <w:pPr>
        <w:pStyle w:val="Heading1"/>
      </w:pPr>
      <w:r>
        <w:t xml:space="preserve">4. Performance tuning</w:t>
      </w:r>
    </w:p>
    <w:p>
      <w:pPr>
        <w:spacing w:after="140" w:line="276"/>
      </w:pPr>
      <w:r>
        <w:rPr>
          <w:b/>
          <w:bCs/>
        </w:rPr>
        <w:t xml:space="preserve">Model choice by cost.</w:t>
      </w:r>
      <w:r>
        <w:t xml:space="preserve"> One query on Haiku 4.5 cost about US$0.043 (35k tokens over six tool-calling steps). A full 32-scenario run would be about US$1.40. I measured three cheaper models on one query, then evaluated the two most promising on the full set. qwen3.7-flash is roughly 12 times cheaper than gpt-5-mini for about six points of task success, so it is the default. I did not run a full Haiku eval; its figure is a one-query cost measurement only.</w:t>
      </w:r>
    </w:p>
    <w:p>
      <w:pPr>
        <w:spacing w:after="140" w:line="276"/>
      </w:pPr>
      <w:r>
        <w:rPr>
          <w:b/>
          <w:bCs/>
        </w:rPr>
        <w:t xml:space="preserve">Prompt fix from error analysis.</w:t>
      </w:r>
      <w:r>
        <w:t xml:space="preserve"> Qwen failed three scenarios (S13P, S26P, S28P). Reading its outputs showed the decision was </w:t>
      </w:r>
      <w:r>
        <w:rPr>
          <w:i/>
          <w:iCs/>
        </w:rPr>
        <w:t xml:space="preserve">right</w:t>
      </w:r>
      <w:r>
        <w:t xml:space="preserve"> in all three: each correctly abstained, with a good explanation. But it submitted </w:t>
      </w:r>
      <w:r>
        <w:rPr>
          <w:rFonts w:ascii="Consolas" w:cs="Consolas" w:eastAsia="Consolas" w:hAnsi="Consolas"/>
          <w:sz w:val="20"/>
          <w:szCs w:val="20"/>
        </w:rPr>
        <w:t xml:space="preserve">dish_id: null</w:t>
      </w:r>
      <w:r>
        <w:t xml:space="preserve">, because the prompt reserved null for "no dish matches" without saying to keep the named dish when abstaining over a blocked ingredient. The scorer then read "addressed no dish". One sentence in the system prompt and tool description fixed all three. This was a specification bug, not a model weakness.</w:t>
      </w:r>
    </w:p>
    <w:p>
      <w:pPr>
        <w:pStyle w:val="Heading1"/>
      </w:pPr>
      <w:r>
        <w:t xml:space="preserve">5. Difficulties overcome</w:t>
      </w:r>
    </w:p>
    <w:p>
      <w:pPr>
        <w:pStyle w:val="ListParagraph"/>
        <w:numPr>
          <w:ilvl w:val="0"/>
          <w:numId w:val="2"/>
        </w:numPr>
        <w:spacing w:after="80"/>
      </w:pPr>
      <w:r>
        <w:rPr>
          <w:b/>
          <w:bCs/>
        </w:rPr>
        <w:t xml:space="preserve">Nondeterminism at temperature 0.</w:t>
      </w:r>
      <w:r>
        <w:t xml:space="preserve"> My first full rerun after the fix scored </w:t>
      </w:r>
      <w:r>
        <w:rPr>
          <w:i/>
          <w:iCs/>
        </w:rPr>
        <w:t xml:space="preserve">lower</w:t>
      </w:r>
      <w:r>
        <w:t xml:space="preserve"> (0.875), with four different scenarios failing. Two were plain adapt cases with identical step counts in both runs. With no seed and provider-side routing, three scenarios of swing is normal. I ran two more full runs before concluding anything.</w:t>
      </w:r>
    </w:p>
    <w:p>
      <w:pPr>
        <w:pStyle w:val="ListParagraph"/>
        <w:numPr>
          <w:ilvl w:val="0"/>
          <w:numId w:val="2"/>
        </w:numPr>
        <w:spacing w:after="80"/>
      </w:pPr>
      <w:r>
        <w:rPr>
          <w:b/>
          <w:bCs/>
        </w:rPr>
        <w:t xml:space="preserve">Test isolation.</w:t>
      </w:r>
      <w:r>
        <w:t xml:space="preserve"> After I added my API key to the config file, the "missing key gives a clean error" test silently started making paid API calls. It now runs from a temporary copy of the project with an empty home directory.</w:t>
      </w:r>
    </w:p>
    <w:p>
      <w:pPr>
        <w:pStyle w:val="ListParagraph"/>
        <w:numPr>
          <w:ilvl w:val="0"/>
          <w:numId w:val="2"/>
        </w:numPr>
        <w:spacing w:after="80"/>
      </w:pPr>
      <w:r>
        <w:rPr>
          <w:b/>
          <w:bCs/>
        </w:rPr>
        <w:t xml:space="preserve">Scoring honesty.</w:t>
      </w:r>
      <w:r>
        <w:t xml:space="preserve"> Substitutions with no human label are reported as unjudged and never counted as passes.</w:t>
      </w:r>
    </w:p>
    <w:p>
      <w:pPr>
        <w:pStyle w:val="Heading1"/>
      </w:pPr>
      <w:r>
        <w:t xml:space="preserve">6. Critique of my own evaluation</w:t>
      </w:r>
    </w:p>
    <w:p>
      <w:pPr>
        <w:spacing w:after="140" w:line="276"/>
      </w:pPr>
      <w:r>
        <w:t xml:space="preserve">I want to be direct about where these numbers are weak.</w:t>
      </w:r>
    </w:p>
    <w:p>
      <w:pPr>
        <w:pStyle w:val="ListParagraph"/>
        <w:numPr>
          <w:ilvl w:val="0"/>
          <w:numId w:val="3"/>
        </w:numPr>
        <w:spacing w:after="80"/>
      </w:pPr>
      <w:r>
        <w:rPr>
          <w:b/>
          <w:bCs/>
        </w:rPr>
        <w:t xml:space="preserve">The test set was used for tuning.</w:t>
      </w:r>
      <w:r>
        <w:t xml:space="preserve"> The paraphrased set is genuinely held-out for the </w:t>
      </w:r>
      <w:r>
        <w:rPr>
          <w:i/>
          <w:iCs/>
        </w:rPr>
        <w:t xml:space="preserve">rule baseline</w:t>
      </w:r>
      <w:r>
        <w:t xml:space="preserve"> (its parser was frozen by hash before the paraphrases were written). It is </w:t>
      </w:r>
      <w:r>
        <w:rPr>
          <w:b/>
          <w:bCs/>
        </w:rPr>
        <w:t xml:space="preserve">not</w:t>
      </w:r>
      <w:r>
        <w:t xml:space="preserve"> held-out for the LLM agent. I found the null-dish bug in that set's failures and re-scored on the same set. The 0.96 is therefore optimistic. A fresh set of scenarios, written after the final prompt, is the real test.</w:t>
      </w:r>
    </w:p>
    <w:p>
      <w:pPr>
        <w:pStyle w:val="ListParagraph"/>
        <w:numPr>
          <w:ilvl w:val="0"/>
          <w:numId w:val="3"/>
        </w:numPr>
        <w:spacing w:after="80"/>
      </w:pPr>
      <w:r>
        <w:rPr>
          <w:b/>
          <w:bCs/>
        </w:rPr>
        <w:t xml:space="preserve">Small and noisy.</w:t>
      </w:r>
      <w:r>
        <w:t xml:space="preserve"> 32 scenarios means one scenario is about 3 points. Qwen's runs differed by 12.5 points. gpt-5-mini was run once on the original prompt, so qwen-tuned versus gpt-5-mini is not like-for-like.</w:t>
      </w:r>
    </w:p>
    <w:p>
      <w:pPr>
        <w:pStyle w:val="ListParagraph"/>
        <w:numPr>
          <w:ilvl w:val="0"/>
          <w:numId w:val="3"/>
        </w:numPr>
        <w:spacing w:after="80"/>
      </w:pPr>
      <w:r>
        <w:rPr>
          <w:b/>
          <w:bCs/>
        </w:rPr>
        <w:t xml:space="preserve">Ground truth is my policy.</w:t>
      </w:r>
      <w:r>
        <w:t xml:space="preserve"> Outcomes derive from rules I wrote and labels from one reviewer. The eval measures agreement with my judgement, not with ground-truth culinary or dietary correctness.</w:t>
      </w:r>
    </w:p>
    <w:p>
      <w:pPr>
        <w:pStyle w:val="ListParagraph"/>
        <w:numPr>
          <w:ilvl w:val="0"/>
          <w:numId w:val="3"/>
        </w:numPr>
        <w:spacing w:after="80"/>
      </w:pPr>
      <w:r>
        <w:rPr>
          <w:b/>
          <w:bCs/>
        </w:rPr>
        <w:t xml:space="preserve">The validator's contribution is unmeasured.</w:t>
      </w:r>
      <w:r>
        <w:t xml:space="preserve"> The no-validator ablation is in the harness but I have not run it, so I cannot say how much the validation loop helps.</w:t>
      </w:r>
    </w:p>
    <w:p>
      <w:pPr>
        <w:pStyle w:val="ListParagraph"/>
        <w:numPr>
          <w:ilvl w:val="0"/>
          <w:numId w:val="3"/>
        </w:numPr>
        <w:spacing w:after="80"/>
      </w:pPr>
      <w:r>
        <w:rPr>
          <w:b/>
          <w:bCs/>
        </w:rPr>
        <w:t xml:space="preserve">False alarms rose</w:t>
      </w:r>
      <w:r>
        <w:t xml:space="preserve"> (3 to 5 or 6 per run) after tuning. They do not count against task success, but over-flagging costs user trust.</w:t>
      </w:r>
    </w:p>
    <w:p>
      <w:pPr>
        <w:pStyle w:val="ListParagraph"/>
        <w:numPr>
          <w:ilvl w:val="0"/>
          <w:numId w:val="3"/>
        </w:numPr>
        <w:spacing w:after="80"/>
      </w:pPr>
      <w:r>
        <w:rPr>
          <w:b/>
          <w:bCs/>
        </w:rPr>
        <w:t xml:space="preserve">Availability is a snapshot.</w:t>
      </w:r>
      <w:r>
        <w:t xml:space="preserve"> Evidence dates from 2026-09-28 and online catalogues only. Little India shops and seasonal stock are invisible, which is why items absent from three sources are graded Difficult and never "unavailable".</w:t>
      </w:r>
    </w:p>
    <w:p>
      <w:pPr>
        <w:pStyle w:val="Heading1"/>
      </w:pPr>
      <w:r>
        <w:t xml:space="preserve">7. Rough edges</w:t>
      </w:r>
    </w:p>
    <w:p>
      <w:pPr>
        <w:spacing w:after="140" w:line="276"/>
      </w:pPr>
      <w:r>
        <w:t xml:space="preserve">Substitution acceptability can be dragged down by a plan that abstains yet still lists an "omit" line (seen in S26P). The CLI does not print token usage. The default fallback model in </w:t>
      </w:r>
      <w:r>
        <w:rPr>
          <w:rFonts w:ascii="Consolas" w:cs="Consolas" w:eastAsia="Consolas" w:hAnsi="Consolas"/>
          <w:sz w:val="20"/>
          <w:szCs w:val="20"/>
        </w:rPr>
        <w:t xml:space="preserve">llm.py</w:t>
      </w:r>
      <w:r>
        <w:t xml:space="preserve"> still names a more expensive model than the configured default.</w:t>
      </w:r>
    </w:p>
    <w:p>
      <w:pPr>
        <w:pStyle w:val="Heading1"/>
      </w:pPr>
      <w:r>
        <w:t xml:space="preserve">8. Future path</w:t>
      </w:r>
    </w:p>
    <w:p>
      <w:pPr>
        <w:pStyle w:val="ListParagraph"/>
        <w:numPr>
          <w:ilvl w:val="0"/>
          <w:numId w:val="4"/>
        </w:numPr>
        <w:spacing w:after="80"/>
      </w:pPr>
      <w:r>
        <w:t xml:space="preserve">Write a fresh, unseen scenario set and report mean and spread over at least five runs per model.</w:t>
      </w:r>
    </w:p>
    <w:p>
      <w:pPr>
        <w:pStyle w:val="ListParagraph"/>
        <w:numPr>
          <w:ilvl w:val="0"/>
          <w:numId w:val="4"/>
        </w:numPr>
        <w:spacing w:after="80"/>
      </w:pPr>
      <w:r>
        <w:t xml:space="preserve">Run the validator ablation and a Haiku baseline.</w:t>
      </w:r>
    </w:p>
    <w:p>
      <w:pPr>
        <w:pStyle w:val="ListParagraph"/>
        <w:numPr>
          <w:ilvl w:val="0"/>
          <w:numId w:val="4"/>
        </w:numPr>
        <w:spacing w:after="80"/>
      </w:pPr>
      <w:r>
        <w:t xml:space="preserve">Add physical-shop evidence and scheduled listing refresh (</w:t>
      </w:r>
      <w:r>
        <w:rPr>
          <w:rFonts w:ascii="Consolas" w:cs="Consolas" w:eastAsia="Consolas" w:hAnsi="Consolas"/>
          <w:sz w:val="20"/>
          <w:szCs w:val="20"/>
        </w:rPr>
        <w:t xml:space="preserve">scripts/refresh_listings.py</w:t>
      </w:r>
      <w:r>
        <w:t xml:space="preserve"> exists but is manual).</w:t>
      </w:r>
    </w:p>
    <w:p>
      <w:pPr>
        <w:pStyle w:val="ListParagraph"/>
        <w:numPr>
          <w:ilvl w:val="0"/>
          <w:numId w:val="4"/>
        </w:numPr>
        <w:spacing w:after="80"/>
      </w:pPr>
      <w:r>
        <w:t xml:space="preserve">Pilot with real newcomers, measuring whether the plan's Confirmed items were actually in stock when they shopped.</w:t>
      </w:r>
    </w:p>
    <w:p>
      <w:pPr>
        <w:pStyle w:val="ListParagraph"/>
        <w:numPr>
          <w:ilvl w:val="0"/>
          <w:numId w:val="4"/>
        </w:numPr>
        <w:spacing w:after="80"/>
      </w:pPr>
      <w:r>
        <w:t xml:space="preserve">Extend beyond South Indian cuisine only after the evidence pipeline is shown to scale.</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pPr>
    <w:rPr>
      <w:rFonts w:ascii="Calibri" w:cs="Calibri" w:eastAsia="Calibri" w:hAnsi="Calibri"/>
      <w:b/>
      <w:bCs/>
      <w:color w:val="1F3A5F"/>
      <w:sz w:val="40"/>
      <w:szCs w:val="40"/>
    </w:rPr>
  </w:style>
  <w:style w:type="paragraph" w:styleId="Heading1">
    <w:name w:val="Heading 1"/>
    <w:basedOn w:val="Normal"/>
    <w:next w:val="Normal"/>
    <w:qFormat/>
    <w:pPr>
      <w:spacing w:after="120" w:before="280"/>
      <w:outlineLvl w:val="0"/>
    </w:pPr>
    <w:rPr>
      <w:rFonts w:ascii="Calibri" w:cs="Calibri" w:eastAsia="Calibri" w:hAnsi="Calibri"/>
      <w:b/>
      <w:bCs/>
      <w:color w:val="1F3A5F"/>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CulinaCompass SG: Report</dc:title>
  <dc:creator>CulinaCompass SG</dc:creator>
  <cp:lastModifiedBy>Un-named</cp:lastModifiedBy>
  <cp:revision>1</cp:revision>
  <dcterms:created xsi:type="dcterms:W3CDTF">2026-10-02T04:19:12.258Z</dcterms:created>
  <dcterms:modified xsi:type="dcterms:W3CDTF">2026-10-02T04:19:12.259Z</dcterms:modified>
</cp:coreProperties>
</file>

<file path=docProps/custom.xml><?xml version="1.0" encoding="utf-8"?>
<Properties xmlns="http://schemas.openxmlformats.org/officeDocument/2006/custom-properties" xmlns:vt="http://schemas.openxmlformats.org/officeDocument/2006/docPropsVTypes"/>
</file>