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Modell (siehe Abbildung</w:t>
      </w:r>
      <w:r>
        <w:t xml:space="preserve"> </w:t>
      </w:r>
      <w:r>
        <w:t xml:space="preserve">) aus dem Modell, dass dem Versionskontrollsystem GIT zugrunde liegt. Dieses Modell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eine verteilte Versionsverwaltung, welches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(S. Chacon 2009, Kapitel 9.2)</w:t>
      </w:r>
      <w:r>
        <w:t xml:space="preserve">. Das Listing</w:t>
      </w:r>
      <w:r>
        <w:t xml:space="preserve"> </w:t>
      </w:r>
      <w:r>
        <w:t xml:space="preserve"> </w:t>
      </w:r>
      <w:r>
        <w:t xml:space="preserve">zeigt, wie ein SHA in einem Terminal berechnet werden kann</w:t>
      </w:r>
      <w:r>
        <w:t xml:space="preserve"> </w:t>
      </w:r>
      <w:r>
        <w:t xml:space="preserve">(Keepers 2012)</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 2012)</w:t>
      </w:r>
      <w:r>
        <w:t xml:space="preserve">.</w:t>
      </w:r>
    </w:p>
    <w:p>
      <w:pPr>
        <w:pStyle w:val="Heading4"/>
      </w:pPr>
      <w:bookmarkStart w:id="89" w:name="objekt-typen"/>
      <w:bookmarkEnd w:id="89"/>
      <w:r>
        <w:t xml:space="preserve">Objekt Typen</w:t>
      </w:r>
    </w:p>
    <w:p>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(S. Chacon 2009, Kapitel 9.2)</w:t>
      </w:r>
      <w:r>
        <w:t xml:space="preserve">.</w:t>
      </w:r>
    </w:p>
    <w:p>
      <w:pPr>
        <w:pStyle w:val="DefinitionTerm"/>
      </w:pPr>
      <w:r>
        <w:t xml:space="preserve">TREE</w:t>
      </w:r>
    </w:p>
    <w:p>
      <w:pPr>
        <w:pStyle w:val="Definition"/>
      </w:pPr>
      <w:r>
        <w:t xml:space="preserve">Der TREE beschreibt ein Ordner im Repository. Ein TREE enthält andere TREE bzw. BLOB Objekte und definiert damit eine Ordnerstruktur. In einem TREE werden auch die Namen zu BLOB und TREE Objekten festgelegt</w:t>
      </w:r>
      <w:r>
        <w:t xml:space="preserve"> </w:t>
      </w:r>
      <w:r>
        <w:t xml:space="preserve">(S. Chacon 2009, Kapitel 9.2)</w:t>
      </w:r>
      <w:r>
        <w:t xml:space="preserve">.</w:t>
      </w:r>
    </w:p>
    <w:p>
      <w:pPr>
        <w:pStyle w:val="DefinitionTerm"/>
      </w:pPr>
      <w:r>
        <w:t xml:space="preserve">COMMIT</w:t>
      </w:r>
    </w:p>
    <w:p>
      <w:pPr>
        <w:pStyle w:val="Definition"/>
      </w:pPr>
      <w:r>
        <w:t xml:space="preserve">Der COMMIT 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(S. Chacon 2009,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r>
        <w:t xml:space="preserve"> </w:t>
      </w:r>
      <w:r>
        <w:t xml:space="preserve">(S. Chacon 2009, Kapitel 9.2)</w:t>
      </w:r>
    </w:p>
    <w:tbl>
      <w:tblPr>
        <w:tblStyle w:val="TableNormal"/>
        <w:tblW w:type="pct" w:w="0.0"/>
        <w:tblCaption w:val="GIT commit Eigenschaften , Kapitel 9.2(S. Chacon 2009, Kapitel 9.2)"/>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für das Branching-Modell von GIT</w:t>
      </w:r>
      <w:r>
        <w:t xml:space="preserve"> </w:t>
      </w:r>
      <w:r>
        <w:t xml:space="preserve">(Scott Chacon 2015)</w:t>
      </w:r>
      <w:r>
        <w:t xml:space="preserve">.</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(Scott 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modelliert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Dateiverwaltungssystem. Es ist auch in seiner ursprünglichen Form für die Verteilung ausgelegt</w:t>
      </w:r>
      <w:r>
        <w:t xml:space="preserve"> </w:t>
      </w:r>
      <w:r>
        <w:t xml:space="preserve">(S. Chacon 2009,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r>
        <w:t xml:space="preserve">Die Datenbank ist eine einfache "Hash-Value" Datenbank, die mithilfe des "Replicators"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"Lazy" beim ersten Zugriff jedes Servers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
        </w:rPr>
        <w:footnoteReference w:id="107"/>
      </w:r>
      <w:r>
        <w:t xml:space="preserve"> </w:t>
      </w:r>
      <w:r>
        <w:t xml:space="preserve">der Vorarlberger Firma MASSIVE ART WebServices GmbH</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jede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"Policy"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beginnt alle bekannten Servern anzufragen, ob sie dieses Objekt kennen. Dies gilt für die Replikationstypen "Permission" und "Full". Über einen ähnlichen Mechanismus kann der Replikationstyp "stub" realisiert werden. Der einzige unterschied ist, dass die backup erver den primary 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Modells anhand seiner Klasse aus dem "MetadataManager" geladen und anhand dieser Informationen das Objekt serialisiert. Diese Daten werden mithilfe des "EventDispatcher", aus dem Symfony2 Framework, in einem Event zugänglich gemacht. Die Eventhandler haben, die Möglichkeit die Daten zu bearbeiten und "Policies" zu dem Model zu erstellen. Abschließend werden die Daten zuerst mithilfe des "StorageAdapter" persistiert und dann mithilfe des "SearchAdapter" in den Suchmaschinenindex aufgenommen. Um die Daten voneinander zu trennen geben die Metadaten der Klasse einen eindeutigen Kontext zurück. Dieser Kontext wird den Adaptern übergeben um Kollisionen zwischen den Objekten zu verhindern.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des Kontextes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r>
        <w:t xml:space="preserve">Wie schon im Kapitel</w:t>
      </w:r>
      <w:r>
        <w:t xml:space="preserve"> </w:t>
      </w:r>
      <w:r>
        <w:t xml:space="preserve"> </w:t>
      </w:r>
      <w:r>
        <w:t xml:space="preserve">erwähnt, gibt es verschiedene Arten die backup Server für ein Objekt zu ermitteln. Implementiert wurde neben dem Typ "Full" auch ein automatisches "Lazy"-Nachladen für fehlende Objekte. Dieses Nachladen ist ein wesentlicher Bestandteil der beiden anderen Typen ("Permission" und "Stub").</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 Server per Zufall aus der Liste der vorhandenen Server ausgewählt und der aktuelle Server als primäry Server markiert. Anhand der Backupserver Liste werden die Daten an die Server verteilt. Dazu wird, der Reihe nach, die Daten an die Server versendet und auf eine Bestätigung gewartet. Damit wird der konsistente Zustand der Datenbank verifiziert. Abschließend wird die erstellte "Policy" zu den Daten hinzugefügt, damit sie mit dem Daten persistiert wird und später wiederverwendet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 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sind,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interagieren.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eine einfache und effiziente Implementierung des, in Kapitel</w:t>
      </w:r>
      <w:r>
        <w:t xml:space="preserve"> </w:t>
      </w:r>
      <w:r>
        <w:t xml:space="preserve">, beschriebenen Konzeptes. Es baut auf eine erweiterbare Hash-Orientierte Datenbank auf. Diese Datenbank wird mittels eines Eventhandlers (Replikator) zu einer verteilten Datenbank. Dabei hat die Datenbank keine Ahnung von dem verwendeten Transportlayers. Dieser kann neben HTTP, jeden beliebigen anderen Transportlayer verwenden, wie zum Beispiel UDP.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r>
        <w:t xml:space="preserve">Die Plattform bzw. die Anwendung in die Bibliothek eingebettet wird, stellt der Bibliothek die Rest-API und die Authentifizierung zur Verfügung. Zusätzlich beinhaltet sie die Oberfläche um mit den Daten in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Requests dem richtigen Benutzer zuzuordnen. Dies wurde allerdings in der ersten Implementierungsphase nicht umgesetzt, wäre aber für eine produktiven Einsatz unerlässlich.</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Rest-AIP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r>
        <w:t xml:space="preserve">.</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r>
        <w:t xml:space="preserve">.</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 DerRefresh-Token, besitzt eine längere Lebensdauer und berechtigt nicht den Zugang zu den anderen API-Schnittstellen</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Aber auch eine verteilte Infrastruktur wäre mäglich. Dabei würden die beiden auf verschiedenen Servern betrieben werden. Der Autorisierungsserver könnte dabei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kann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 "CommandQueue" (siehe Abbildung</w:t>
      </w:r>
      <w:r>
        <w:t xml:space="preserve"> </w:t>
      </w:r>
      <w:r>
        <w:t xml:space="preserve">). Sie sammelt alle nötigen Kommandos ein und führt sie dann nacheinander aus. Diese "Queue" ist nach dem "Command-Pattern"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eine bestimmte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abläufe"/>
      <w:bookmarkEnd w:id="14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rPr>
          <w:b/>
        </w:rPr>
        <w:t xml:space="preserve">TODOs ende</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Das auflösen solcher Konflikte ist nicht der Arbeit, er wird allerdings im Kapitel</w:t>
      </w:r>
      <w:r>
        <w:t xml:space="preserve"> </w:t>
      </w:r>
      <w:r>
        <w:t xml:space="preserve"> </w:t>
      </w:r>
      <w:r>
        <w:t xml:space="preserve">kurz behandelt.</w:t>
      </w:r>
    </w:p>
    <w:p>
      <w:pPr>
        <w:pStyle w:val="Heading3"/>
      </w:pPr>
      <w:bookmarkStart w:id="148" w:name="zusammenfassung-8"/>
      <w:bookmarkEnd w:id="148"/>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9"/>
      <w:bookmarkEnd w:id="149"/>
      <w:r>
        <w:t xml:space="preserve">Zusammenfassung</w:t>
      </w:r>
    </w:p>
    <w:p>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5">
        <w:r>
          <w:rPr>
            <w:rStyle w:val="Link"/>
          </w:rPr>
          <w:t xml:space="preserve">http://docs.mongodb.org/manual/core/replica-set-oplog/</w:t>
        </w:r>
      </w:hyperlink>
    </w:p>
    <w:p>
      <w:pPr>
        <w:pStyle w:val="Heading2"/>
      </w:pPr>
      <w:bookmarkStart w:id="156" w:name="datei-chunking"/>
      <w:bookmarkEnd w:id="156"/>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5">
        <w:r>
          <w:rPr>
            <w:rStyle w:val="Link"/>
          </w:rPr>
          <w:t xml:space="preserve">https://birrell.org/andrew/papers/UniversalFileServer.pdf</w:t>
        </w:r>
      </w:hyperlink>
      <w:r>
        <w:t xml:space="preserve">.</w:t>
      </w:r>
    </w:p>
    <w:p>
      <w:pPr>
        <w:pStyle w:val="Bibliography"/>
      </w:pPr>
      <w:r>
        <w:t xml:space="preserve">Chacon, S. 2009.</w:t>
      </w:r>
      <w:r>
        <w:t xml:space="preserve"> </w:t>
      </w:r>
      <w:r>
        <w:rPr>
          <w:i/>
        </w:rPr>
        <w:t xml:space="preserve">Pro Git</w:t>
      </w:r>
      <w:r>
        <w:t xml:space="preserve">. Expert’s Voice in Computer software Development. Apress.</w:t>
      </w:r>
      <w:r>
        <w:t xml:space="preserve"> </w:t>
      </w:r>
      <w:hyperlink r:id="rId166">
        <w:r>
          <w:rPr>
            <w:rStyle w:val="Link"/>
          </w:rPr>
          <w:t xml:space="preserve">https://books.google.at/books?id=HrTOa8-HPRYC</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67">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68">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69">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0">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Keepers, Brandon. 2012. “Git: The NoSQL Database.”</w:t>
      </w:r>
      <w:r>
        <w:t xml:space="preserve"> </w:t>
      </w:r>
      <w:hyperlink r:id="rId171">
        <w:r>
          <w:rPr>
            <w:rStyle w:val="Link"/>
          </w:rPr>
          <w:t xml:space="preserve">http://devslovebacon.com/conferences/bacon-2012/talks/git-the-nosql-database</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72">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3">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4">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5">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6">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7">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78">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79">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931a73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3331f9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cd43c000"/>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3554eea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