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100.png" ContentType="image/png"/>
  <Override PartName="/word/media/rId112.png" ContentType="image/png"/>
  <Override PartName="/word/media/rId61.png" ContentType="image/png"/>
  <Override PartName="/word/media/rId40.png" ContentType="image/png"/>
  <Override PartName="/word/media/rId106.png" ContentType="image/png"/>
  <Override PartName="/word/media/rId96.png" ContentType="image/png"/>
  <Override PartName="/word/media/rId104.png" ContentType="image/png"/>
  <Override PartName="/word/media/rId42.png" ContentType="image/png"/>
  <Override PartName="/word/media/rId4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und der Notification Service.</w:t>
      </w:r>
    </w:p>
    <w:p>
      <w:r>
        <w:t xml:space="preserve">TODO Beschreibung zu processing block</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 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 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(Wikipedia 2015a)</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4"/>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1"/>
          <w:ilvl w:val="0"/>
        </w:numPr>
      </w:pPr>
      <w:r>
        <w:t xml:space="preserve">Transparenz</w:t>
      </w:r>
    </w:p>
    <w:p>
      <w:pPr>
        <w:pStyle w:val="Compact"/>
        <w:numPr>
          <w:numId w:val="1001"/>
          <w:ilvl w:val="0"/>
        </w:numPr>
      </w:pPr>
      <w:r>
        <w:t xml:space="preserve">Nebenläufigkeit</w:t>
      </w:r>
    </w:p>
    <w:p>
      <w:pPr>
        <w:pStyle w:val="Compact"/>
        <w:numPr>
          <w:numId w:val="1001"/>
          <w:ilvl w:val="0"/>
        </w:numPr>
      </w:pPr>
      <w:r>
        <w:t xml:space="preserve">Replikation</w:t>
      </w:r>
    </w:p>
    <w:p>
      <w:pPr>
        <w:pStyle w:val="Compact"/>
        <w:numPr>
          <w:numId w:val="1001"/>
          <w:ilvl w:val="0"/>
        </w:numPr>
      </w:pPr>
      <w:r>
        <w:t xml:space="preserve">Fehlertoleranz</w:t>
      </w:r>
    </w:p>
    <w:p>
      <w:pPr>
        <w:pStyle w:val="Compact"/>
        <w:numPr>
          <w:numId w:val="1001"/>
          <w:ilvl w:val="0"/>
        </w:numPr>
      </w:pPr>
      <w:r>
        <w:t xml:space="preserve">Konsistenz</w:t>
      </w:r>
    </w:p>
    <w:p>
      <w:pPr>
        <w:pStyle w:val="Compact"/>
        <w:numPr>
          <w:numId w:val="1001"/>
          <w:ilvl w:val="0"/>
        </w:numPr>
      </w:pPr>
      <w:r>
        <w:t xml:space="preserve">Sicherheit</w:t>
      </w:r>
    </w:p>
    <w:p>
      <w:pPr>
        <w:pStyle w:val="Compact"/>
        <w:numPr>
          <w:numId w:val="1001"/>
          <w:ilvl w:val="0"/>
        </w:numPr>
      </w:pPr>
      <w:r>
        <w:t xml:space="preserve">Effizienz</w:t>
      </w:r>
    </w:p>
    <w:p>
      <w:pPr>
        <w:pStyle w:val="Heading4"/>
      </w:pPr>
      <w:bookmarkStart w:id="69" w:name="nfs"/>
      <w:bookmarkEnd w:id="69"/>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5"/>
      </w:pPr>
      <w:bookmarkStart w:id="70" w:name="architektur"/>
      <w:bookmarkEnd w:id="70"/>
      <w:r>
        <w:t xml:space="preserve">Architektur</w:t>
      </w:r>
    </w:p>
    <w:p>
      <w:pPr>
        <w:pStyle w:val="Heading5"/>
      </w:pPr>
      <w:bookmarkStart w:id="71" w:name="kommunikation"/>
      <w:bookmarkEnd w:id="71"/>
      <w:r>
        <w:t xml:space="preserve">Kommunikation</w:t>
      </w:r>
    </w:p>
    <w:p>
      <w:pPr>
        <w:pStyle w:val="Heading5"/>
      </w:pPr>
      <w:bookmarkStart w:id="72" w:name="synchronisierung"/>
      <w:bookmarkEnd w:id="72"/>
      <w:r>
        <w:t xml:space="preserve">Synchronisierung</w:t>
      </w:r>
    </w:p>
    <w:p>
      <w:pPr>
        <w:pStyle w:val="Heading5"/>
      </w:pPr>
      <w:bookmarkStart w:id="73" w:name="replikation"/>
      <w:bookmarkEnd w:id="73"/>
      <w:r>
        <w:t xml:space="preserve">Replikation</w:t>
      </w:r>
    </w:p>
    <w:p>
      <w:pPr>
        <w:pStyle w:val="Heading5"/>
      </w:pPr>
      <w:bookmarkStart w:id="74" w:name="fehlertoleranz"/>
      <w:bookmarkEnd w:id="74"/>
      <w:r>
        <w:t xml:space="preserve">Fehlertoleranz</w:t>
      </w:r>
    </w:p>
    <w:p>
      <w:pPr>
        <w:pStyle w:val="Heading5"/>
      </w:pPr>
      <w:bookmarkStart w:id="75" w:name="sicherheit"/>
      <w:bookmarkEnd w:id="75"/>
      <w:r>
        <w:t xml:space="preserve">Sicherheit</w:t>
      </w:r>
    </w:p>
    <w:p>
      <w:pPr>
        <w:pStyle w:val="Heading4"/>
      </w:pPr>
      <w:bookmarkStart w:id="76" w:name="xtreemfs"/>
      <w:bookmarkEnd w:id="76"/>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5"/>
      </w:pPr>
      <w:bookmarkStart w:id="77" w:name="architektur-1"/>
      <w:bookmarkEnd w:id="77"/>
      <w:r>
        <w:t xml:space="preserve">Architektur</w:t>
      </w:r>
    </w:p>
    <w:p>
      <w:pPr>
        <w:pStyle w:val="Heading5"/>
      </w:pPr>
      <w:bookmarkStart w:id="78" w:name="kommunikation-1"/>
      <w:bookmarkEnd w:id="78"/>
      <w:r>
        <w:t xml:space="preserve">Kommunikation</w:t>
      </w:r>
    </w:p>
    <w:p>
      <w:pPr>
        <w:pStyle w:val="Heading5"/>
      </w:pPr>
      <w:bookmarkStart w:id="79" w:name="replikation-1"/>
      <w:bookmarkEnd w:id="79"/>
      <w:r>
        <w:t xml:space="preserve">Replikation</w:t>
      </w:r>
    </w:p>
    <w:p>
      <w:pPr>
        <w:pStyle w:val="Heading5"/>
      </w:pPr>
      <w:bookmarkStart w:id="80" w:name="sicherheit-1"/>
      <w:bookmarkEnd w:id="80"/>
      <w:r>
        <w:t xml:space="preserve">Sicherheit</w:t>
      </w:r>
    </w:p>
    <w:p>
      <w:pPr>
        <w:pStyle w:val="Heading4"/>
      </w:pPr>
      <w:bookmarkStart w:id="81" w:name="speichergeschwindigkeit"/>
      <w:bookmarkEnd w:id="81"/>
      <w:r>
        <w:t xml:space="preserve">Speichergeschwindigkeit</w:t>
      </w:r>
    </w:p>
    <w:p>
      <w:r>
        <w:rPr>
          <w:b/>
        </w:rPr>
        <w:t xml:space="preserve">TODO überhaupt notwendig?</w:t>
      </w:r>
      <w:r>
        <w:t xml:space="preserve"> </w:t>
      </w:r>
      <w:r>
        <w:t xml:space="preserve">*</w:t>
      </w:r>
      <w:r>
        <w:t xml:space="preserve"> </w:t>
      </w:r>
      <w:hyperlink r:id="rId82">
        <w:r>
          <w:rPr>
            <w:rStyle w:val="Link"/>
          </w:rPr>
          <w:t xml:space="preserve">http://member.wide.ad.jp/~shima/publications/20120924-dfs-performance.pdf</w:t>
        </w:r>
      </w:hyperlink>
    </w:p>
    <w:p>
      <w:pPr>
        <w:pStyle w:val="Heading3"/>
      </w:pPr>
      <w:bookmarkStart w:id="83" w:name="datenbank-gestützte-dateiverwaltungen"/>
      <w:bookmarkEnd w:id="83"/>
      <w:r>
        <w:t xml:space="preserve">Datenbank gestützte Dateiverwaltungen</w:t>
      </w:r>
    </w:p>
    <w:p>
      <w:r>
        <w:t xml:space="preserve">Einige Datenbanksysteme, wie zum Beispiel MongoDB</w:t>
      </w:r>
      <w:r>
        <w:rPr>
          <w:rStyle w:val="FootnoteRef"/>
        </w:rPr>
        <w:footnoteReference w:id="84"/>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5" w:name="mongodb-gridfs"/>
      <w:bookmarkEnd w:id="85"/>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3"/>
      </w:pPr>
      <w:bookmarkStart w:id="86" w:name="performance-1"/>
      <w:bookmarkEnd w:id="86"/>
      <w:r>
        <w:t xml:space="preserve">Performance</w:t>
      </w:r>
    </w:p>
    <w:p>
      <w:r>
        <w:rPr>
          <w:b/>
        </w:rPr>
        <w:t xml:space="preserve">TODO überhaupt notwendig?</w:t>
      </w:r>
    </w:p>
    <w:p>
      <w:pPr>
        <w:pStyle w:val="Heading3"/>
      </w:pPr>
      <w:bookmarkStart w:id="87" w:name="evaluation-1"/>
      <w:bookmarkEnd w:id="87"/>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8" w:name="konzept-für-symcloud"/>
      <w:bookmarkEnd w:id="88"/>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9" w:name="überblick"/>
      <w:bookmarkEnd w:id="89"/>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0"/>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1" w:name="php-stream-rest-api"/>
      <w:bookmarkEnd w:id="91"/>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2" w:name="storagecontroller"/>
      <w:bookmarkEnd w:id="92"/>
      <w:r>
        <w:t xml:space="preserve">StorageController</w:t>
      </w:r>
    </w:p>
    <w:p>
      <w:r>
        <w:rPr>
          <w:b/>
        </w:rPr>
        <w:t xml:space="preserve">TODO nur Notizen</w:t>
      </w:r>
      <w:r>
        <w:t xml:space="preserve"> </w:t>
      </w:r>
      <w:r>
        <w:t xml:space="preserve">Zentrale Zugriffsschnittstelle</w:t>
      </w:r>
    </w:p>
    <w:p>
      <w:pPr>
        <w:pStyle w:val="Heading3"/>
      </w:pPr>
      <w:bookmarkStart w:id="93" w:name="securitycontroller"/>
      <w:bookmarkEnd w:id="93"/>
      <w:r>
        <w:t xml:space="preserve">SecurityController</w:t>
      </w:r>
    </w:p>
    <w:p>
      <w:r>
        <w:rPr>
          <w:b/>
        </w:rPr>
        <w:t xml:space="preserve">TODO nur Notizen</w:t>
      </w:r>
      <w:r>
        <w:t xml:space="preserve"> </w:t>
      </w:r>
      <w:r>
        <w:t xml:space="preserve">Bearbeitet und überprüft Datei Berechtigungen.</w:t>
      </w:r>
    </w:p>
    <w:p>
      <w:pPr>
        <w:pStyle w:val="Heading3"/>
      </w:pPr>
      <w:bookmarkStart w:id="94" w:name="metadaten-storage"/>
      <w:bookmarkEnd w:id="94"/>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5" w:name="filestorage"/>
      <w:bookmarkEnd w:id="95"/>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6"/>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7">
        <w:r>
          <w:rPr>
            <w:rStyle w:val="Link"/>
          </w:rPr>
          <w:t xml:space="preserve">http://git-scm.com/book/it/v2/Git-Internals-Git-References</w:t>
        </w:r>
      </w:hyperlink>
      <w:r>
        <w:t xml:space="preserve">]</w:t>
      </w:r>
    </w:p>
    <w:p>
      <w:pPr>
        <w:pStyle w:val="Heading2"/>
      </w:pPr>
      <w:bookmarkStart w:id="98" w:name="zusammenfassung-1"/>
      <w:bookmarkEnd w:id="98"/>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9" w:name="datenmodel"/>
      <w:bookmarkEnd w:id="99"/>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0"/>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1" w:name="exkurs-git"/>
      <w:bookmarkEnd w:id="101"/>
      <w:r>
        <w:t xml:space="preserve">Exkurs: GIT</w:t>
      </w:r>
    </w:p>
    <w:p>
      <w:r>
        <w:t xml:space="preserve">GIT</w:t>
      </w:r>
      <w:r>
        <w:rPr>
          <w:rStyle w:val="FootnoteRef"/>
        </w:rPr>
        <w:footnoteReference w:id="102"/>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4"/>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5" w:name="objekt-typen"/>
      <w:bookmarkEnd w:id="105"/>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6"/>
          <w:ilvl w:val="0"/>
        </w:numPr>
      </w:pPr>
      <w:r>
        <w:t xml:space="preserve">Ein COMMIT kann mehrere Vorgänger haben wen sie zusammengeführt werden. Zum Beispiel würde dies bei einem MERGE verwendet werden.</w:t>
      </w:r>
    </w:p>
    <w:p>
      <w:pPr>
        <w:pStyle w:val="Compact"/>
        <w:numPr>
          <w:numId w:val="1006"/>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6"/>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7" w:name="anforderungen-2"/>
      <w:bookmarkEnd w:id="107"/>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Symlinks</w:t>
      </w:r>
    </w:p>
    <w:p>
      <w:pPr>
        <w:pStyle w:val="Definition"/>
      </w:pPr>
      <w:r>
        <w:t xml:space="preserve">??? (referencen)</w:t>
      </w:r>
    </w:p>
    <w:p>
      <w:pPr>
        <w:pStyle w:val="Heading1"/>
      </w:pPr>
      <w:bookmarkStart w:id="108" w:name="implementierung"/>
      <w:bookmarkEnd w:id="108"/>
      <w:r>
        <w:t xml:space="preserve">Implementierung</w:t>
      </w:r>
    </w:p>
    <w:p>
      <w:r>
        <w:t xml:space="preserve">In diesem Kapitel werden die einzelnen Komponenten, die für Symcloud entwickelt wurden, genauer betrachtet.</w:t>
      </w:r>
    </w:p>
    <w:p>
      <w:pPr>
        <w:pStyle w:val="Heading2"/>
      </w:pPr>
      <w:bookmarkStart w:id="109" w:name="oauth2"/>
      <w:bookmarkEnd w:id="109"/>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0" w:name="begriffe"/>
      <w:bookmarkEnd w:id="110"/>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1" w:name="protokoll-ablauf"/>
      <w:bookmarkEnd w:id="111"/>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2"/>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07"/>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07"/>
          <w:ilvl w:val="0"/>
        </w:numPr>
      </w:pPr>
      <w:r>
        <w:t xml:space="preserve">Der Client erhält einen "authorization grant". Er repräsentiert die Genehmigung des "Resource owner" die geschützten Ressourcen zu verwenden.</w:t>
      </w:r>
    </w:p>
    <w:p>
      <w:pPr>
        <w:pStyle w:val="Compact"/>
        <w:numPr>
          <w:numId w:val="1007"/>
          <w:ilvl w:val="0"/>
        </w:numPr>
      </w:pPr>
      <w:r>
        <w:t xml:space="preserve">Der Client fordert einen Token beim "Autorization server" mit dem "authorization grant" an.</w:t>
      </w:r>
    </w:p>
    <w:p>
      <w:pPr>
        <w:pStyle w:val="Compact"/>
        <w:numPr>
          <w:numId w:val="1007"/>
          <w:ilvl w:val="0"/>
        </w:numPr>
      </w:pPr>
      <w:r>
        <w:t xml:space="preserve">Der "Autorization server" authentifiziert den Client, validiert den "authorization grant" und gibt einen Token zurück.</w:t>
      </w:r>
    </w:p>
    <w:p>
      <w:pPr>
        <w:pStyle w:val="Compact"/>
        <w:numPr>
          <w:numId w:val="1007"/>
          <w:ilvl w:val="0"/>
        </w:numPr>
      </w:pPr>
      <w:r>
        <w:t xml:space="preserve">Der Client fordert eine geschützte Ressource und autorisiert die Anfrage mit dem Token.</w:t>
      </w:r>
    </w:p>
    <w:p>
      <w:pPr>
        <w:pStyle w:val="Compact"/>
        <w:numPr>
          <w:numId w:val="1007"/>
          <w:ilvl w:val="0"/>
        </w:numPr>
      </w:pPr>
      <w:r>
        <w:t xml:space="preserve">Der "Resource server" validiert den Token, validiert ihn und gibt die Ressource zurück.</w:t>
      </w:r>
    </w:p>
    <w:p>
      <w:pPr>
        <w:pStyle w:val="Heading3"/>
      </w:pPr>
      <w:bookmarkStart w:id="113" w:name="anwendung"/>
      <w:bookmarkEnd w:id="113"/>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4" w:name="ergebnisse"/>
      <w:bookmarkEnd w:id="114"/>
      <w:r>
        <w:t xml:space="preserve">Ergebnisse</w:t>
      </w:r>
    </w:p>
    <w:p>
      <w:pPr>
        <w:pStyle w:val="Heading1"/>
      </w:pPr>
      <w:bookmarkStart w:id="115" w:name="ausblick"/>
      <w:bookmarkEnd w:id="115"/>
      <w:r>
        <w:t xml:space="preserve">Ausblick</w:t>
      </w:r>
    </w:p>
    <w:p>
      <w:r>
        <w:t xml:space="preserve">Welche Teile des Konzeptes konnten umgesetzt werden und wie gut funktionieren diese?</w:t>
      </w:r>
    </w:p>
    <w:p>
      <w:pPr>
        <w:pStyle w:val="Heading1"/>
      </w:pPr>
      <w:bookmarkStart w:id="116" w:name="anhang"/>
      <w:bookmarkEnd w:id="116"/>
      <w:r>
        <w:t xml:space="preserve">Anhang</w:t>
      </w:r>
    </w:p>
    <w:p>
      <w:pPr>
        <w:pStyle w:val="Heading2"/>
      </w:pPr>
      <w:bookmarkStart w:id="117" w:name="installation"/>
      <w:bookmarkEnd w:id="117"/>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18" w:name="lokal"/>
      <w:bookmarkEnd w:id="118"/>
      <w:r>
        <w:t xml:space="preserve">Lokal</w:t>
      </w:r>
    </w:p>
    <w:p>
      <w:pPr>
        <w:pStyle w:val="Heading3"/>
      </w:pPr>
      <w:bookmarkStart w:id="119" w:name="verteilt"/>
      <w:bookmarkEnd w:id="119"/>
      <w:r>
        <w:t xml:space="preserve">Verteilt</w:t>
      </w:r>
    </w:p>
    <w:p>
      <w:pPr>
        <w:pStyle w:val="Heading1"/>
      </w:pPr>
      <w:bookmarkStart w:id="120" w:name="literaturverzeichnis"/>
      <w:bookmarkEnd w:id="120"/>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“Core API Dokumentation.” 2015.</w:t>
      </w:r>
      <w:r>
        <w:t xml:space="preserve"> </w:t>
      </w:r>
      <w:hyperlink r:id="rId121">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2">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3">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4">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25">
        <w:r>
          <w:rPr>
            <w:rStyle w:val="Link"/>
          </w:rPr>
          <w:t xml:space="preserve">https://owncloud.com/de/owncloud-architecture-overview</w:t>
        </w:r>
      </w:hyperlink>
      <w:r>
        <w:t xml:space="preserve">.</w:t>
      </w:r>
    </w:p>
    <w:p>
      <w:pPr>
        <w:pStyle w:val="Bibliography"/>
      </w:pPr>
      <w:r>
        <w:t xml:space="preserve">“Owncloud Features.” 2015.</w:t>
      </w:r>
      <w:r>
        <w:t xml:space="preserve"> </w:t>
      </w:r>
      <w:hyperlink r:id="rId126">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2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28">
        <w:r>
          <w:rPr>
            <w:rStyle w:val="Link"/>
          </w:rPr>
          <w:t xml:space="preserve">https://books.google.at/books?id=qXGnOgAACAAJ</w:t>
        </w:r>
      </w:hyperlink>
      <w:r>
        <w:t xml:space="preserve">.</w:t>
      </w:r>
    </w:p>
    <w:p>
      <w:pPr>
        <w:pStyle w:val="Bibliography"/>
      </w:pPr>
      <w:r>
        <w:t xml:space="preserve">“Using Versioning.” 2015.</w:t>
      </w:r>
      <w:r>
        <w:t xml:space="preserve"> </w:t>
      </w:r>
      <w:hyperlink r:id="rId129">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0">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1">
        <w:r>
          <w:rPr>
            <w:rStyle w:val="Link"/>
          </w:rPr>
          <w:t xml:space="preserve">https://www.dropbox.com/help/1968</w:t>
        </w:r>
      </w:hyperlink>
      <w:r>
        <w:t xml:space="preserve">.</w:t>
      </w:r>
    </w:p>
    <w:p>
      <w:pPr>
        <w:pStyle w:val="Bibliography"/>
      </w:pPr>
      <w:r>
        <w:t xml:space="preserve">Wikipedia. 2015a. “Amazon Web Services - Wikipedia.”</w:t>
      </w:r>
      <w:r>
        <w:t xml:space="preserve"> </w:t>
      </w:r>
      <w:hyperlink r:id="rId132">
        <w:r>
          <w:rPr>
            <w:rStyle w:val="Link"/>
          </w:rPr>
          <w:t xml:space="preserve">http://de.wikipedia.org/w/index.php?title=Amazon_Web_Services&amp;oldid=139854883</w:t>
        </w:r>
      </w:hyperlink>
      <w:r>
        <w:t xml:space="preserve">.</w:t>
      </w:r>
    </w:p>
    <w:p>
      <w:pPr>
        <w:pStyle w:val="Bibliography"/>
      </w:pPr>
      <w:r>
        <w:t xml:space="preserve">———. 2015b. “Eucalyptus (Software) - Wikipedia.”</w:t>
      </w:r>
      <w:r>
        <w:t xml:space="preserve"> </w:t>
      </w:r>
      <w:hyperlink r:id="rId133">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4">
    <w:p>
      <w:pPr>
        <w:pStyle w:val="FootnoteText"/>
      </w:pPr>
      <w:r>
        <w:rPr>
          <w:rStyle w:val="FootnoteRef"/>
        </w:rPr>
        <w:footnoteRef/>
      </w:r>
      <w:hyperlink r:id="rId58">
        <w:r>
          <w:rPr>
            <w:rStyle w:val="Link"/>
          </w:rPr>
          <w:t xml:space="preserve">http://docs.mongodb.org/manual/core/gridfs/</w:t>
        </w:r>
      </w:hyperlink>
    </w:p>
  </w:footnote>
  <w:footnote w:id="102">
    <w:p>
      <w:pPr>
        <w:pStyle w:val="FootnoteText"/>
      </w:pPr>
      <w:r>
        <w:rPr>
          <w:rStyle w:val="FootnoteRef"/>
        </w:rPr>
        <w:footnoteRef/>
      </w:r>
      <w:hyperlink r:id="rId103">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7b5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e7ed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0590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4dc1976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100" Target="media/rId100.png" /><Relationship Type="http://schemas.openxmlformats.org/officeDocument/2006/relationships/image" Id="rId112" Target="media/rId112.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6" Target="media/rId106.png" /><Relationship Type="http://schemas.openxmlformats.org/officeDocument/2006/relationships/image" Id="rId96" Target="media/rId96.png" /><Relationship Type="http://schemas.openxmlformats.org/officeDocument/2006/relationships/image" Id="rId104" Target="media/rId10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22" Target="http://books.google.at/books?id=FfsQAAAACAAJ" TargetMode="External" /><Relationship Type="http://schemas.openxmlformats.org/officeDocument/2006/relationships/hyperlink" Id="rId132" Target="http://de.wikipedia.org/w/index.php?title=Amazon_Web_Services&amp;oldid=139854883" TargetMode="External" /><Relationship Type="http://schemas.openxmlformats.org/officeDocument/2006/relationships/hyperlink" Id="rId133" Target="http://de.wikipedia.org/w/index.php?title=Eucalyptus_(Software)&amp;oldid=137397846" TargetMode="External" /><Relationship Type="http://schemas.openxmlformats.org/officeDocument/2006/relationships/hyperlink" Id="rId123" Target="http://docs.aws.amazon.com/AmazonS3/latest/dev/Introduction.html" TargetMode="External" /><Relationship Type="http://schemas.openxmlformats.org/officeDocument/2006/relationships/hyperlink" Id="rId124" Target="http://docs.aws.amazon.com/AmazonS3/latest/dev/UsingMetadata.html" TargetMode="External" /><Relationship Type="http://schemas.openxmlformats.org/officeDocument/2006/relationships/hyperlink" Id="rId12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3" Target="http://git-scm.com/" TargetMode="External" /><Relationship Type="http://schemas.openxmlformats.org/officeDocument/2006/relationships/hyperlink" Id="rId97"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0" Target="https://diasporafoundation.org/about" TargetMode="External" /><Relationship Type="http://schemas.openxmlformats.org/officeDocument/2006/relationships/hyperlink" Id="rId12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6" Target="https://owncloud.org/features" TargetMode="External" /><Relationship Type="http://schemas.openxmlformats.org/officeDocument/2006/relationships/hyperlink" Id="rId127" Target="https://www.bitblokes.de/2014/07/server-2-server-sharing-mit-der-owncloud-7-schritt-fuer-schritt" TargetMode="External" /><Relationship Type="http://schemas.openxmlformats.org/officeDocument/2006/relationships/hyperlink" Id="rId121" Target="https://www.dropbox.com/developers/core/docs" TargetMode="External" /><Relationship Type="http://schemas.openxmlformats.org/officeDocument/2006/relationships/hyperlink" Id="rId13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2" Target="http://books.google.at/books?id=FfsQAAAACAAJ" TargetMode="External" /><Relationship Type="http://schemas.openxmlformats.org/officeDocument/2006/relationships/hyperlink" Id="rId132" Target="http://de.wikipedia.org/w/index.php?title=Amazon_Web_Services&amp;oldid=139854883" TargetMode="External" /><Relationship Type="http://schemas.openxmlformats.org/officeDocument/2006/relationships/hyperlink" Id="rId133" Target="http://de.wikipedia.org/w/index.php?title=Eucalyptus_(Software)&amp;oldid=137397846" TargetMode="External" /><Relationship Type="http://schemas.openxmlformats.org/officeDocument/2006/relationships/hyperlink" Id="rId123" Target="http://docs.aws.amazon.com/AmazonS3/latest/dev/Introduction.html" TargetMode="External" /><Relationship Type="http://schemas.openxmlformats.org/officeDocument/2006/relationships/hyperlink" Id="rId124" Target="http://docs.aws.amazon.com/AmazonS3/latest/dev/UsingMetadata.html" TargetMode="External" /><Relationship Type="http://schemas.openxmlformats.org/officeDocument/2006/relationships/hyperlink" Id="rId12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3" Target="http://git-scm.com/" TargetMode="External" /><Relationship Type="http://schemas.openxmlformats.org/officeDocument/2006/relationships/hyperlink" Id="rId97"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0" Target="https://diasporafoundation.org/about" TargetMode="External" /><Relationship Type="http://schemas.openxmlformats.org/officeDocument/2006/relationships/hyperlink" Id="rId12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6" Target="https://owncloud.org/features" TargetMode="External" /><Relationship Type="http://schemas.openxmlformats.org/officeDocument/2006/relationships/hyperlink" Id="rId127" Target="https://www.bitblokes.de/2014/07/server-2-server-sharing-mit-der-owncloud-7-schritt-fuer-schritt" TargetMode="External" /><Relationship Type="http://schemas.openxmlformats.org/officeDocument/2006/relationships/hyperlink" Id="rId121" Target="https://www.dropbox.com/developers/core/docs" TargetMode="External" /><Relationship Type="http://schemas.openxmlformats.org/officeDocument/2006/relationships/hyperlink" Id="rId13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