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7.png" ContentType="image/png"/>
  <Override PartName="/word/media/rId117.png" ContentType="image/png"/>
  <Override PartName="/word/media/rId58.png" ContentType="image/png"/>
  <Override PartName="/word/media/rId40.png" ContentType="image/png"/>
  <Override PartName="/word/media/rId95.png" ContentType="image/png"/>
  <Override PartName="/word/media/rId110.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in-bezug-auf-speicherverwaltung"/>
      <w:bookmarkEnd w:id="50"/>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4"/>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Speicherkonzeptes für Symcloud. Das zentrale Element dieses Konzeptes ist die Objekt-Datenbank. Diese Datenbank unterstützt eine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pPr>
        <w:pStyle w:val="Heading2"/>
      </w:pPr>
      <w:bookmarkStart w:id="86" w:name="überblick"/>
      <w:bookmarkEnd w:id="86"/>
      <w:r>
        <w:t xml:space="preserve">Überblick</w:t>
      </w:r>
    </w:p>
    <w:p>
      <w:r>
        <w:drawing>
          <wp:inline>
            <wp:extent cx="5334000" cy="317770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17770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auf denkbar die Daten in eine Datenbank wie Riak oder MogoDB zu schreiben, um die Sicherheit zu erhöhen.</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Ordner zu schreiben. Mithilfe diesem, ist Symcloud ohne weitere Abhängigkeiten zu installieren.</w:t>
      </w:r>
    </w:p>
    <w:p>
      <w:pPr>
        <w:pStyle w:val="Heading3"/>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w:t>
      </w:r>
      <w:r>
        <w:t xml:space="preserve"> </w:t>
      </w:r>
      <w:r>
        <w:t xml:space="preserve">) aus dem Model, dass dem Versionskontrollsystem GIT zugrunde liegt. Dieses Model unterstützt viele Anforderungen, welche Symcloud benötigt.</w:t>
      </w:r>
    </w:p>
    <w:p>
      <w:r>
        <w:drawing>
          <wp:inline>
            <wp:extent cx="5334000" cy="424628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24628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4"/>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5"/>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5"/>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und dadurch eine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5"/>
      </w:pPr>
      <w:bookmarkStart w:id="98" w:name="zusammenfassung-3"/>
      <w:bookmarkEnd w:id="98"/>
      <w:r>
        <w:t xml:space="preserve">Zusammenfassung</w:t>
      </w:r>
    </w:p>
    <w:p>
      <w:r>
        <w:rPr>
          <w:b/>
        </w:rPr>
        <w:t xml:space="preserve">TODO Zusammenfassung GIT Datenmodel</w:t>
      </w:r>
    </w:p>
    <w:p>
      <w:r>
        <w:t xml:space="preserve">Ein großer Vorteil der immutable (nicht veränderbaren) Datenpakete ist das Caching, das auf jeder Maschine durchgeführt werden kann, ohne ein PURGE (invalidierung von Cache-Einträgen) zu benötigen, da sich Objekte in der Datenbank nicht ändern sondern nur neue dazu kommen. Dies gilt für alle Objekte in diesem Model außer Referenzen. Diese müsse bei jedem Zugriff aus der Datenbank geladen werden.</w:t>
      </w:r>
    </w:p>
    <w:p>
      <w:pPr>
        <w:pStyle w:val="Heading4"/>
      </w:pPr>
      <w:bookmarkStart w:id="99" w:name="symcloud"/>
      <w:bookmarkEnd w:id="99"/>
      <w:r>
        <w:t xml:space="preserve">Symcloud</w:t>
      </w:r>
    </w:p>
    <w:p>
      <w:r>
        <w:t xml:space="preserve">Für Symcloud wurde das Datenmodell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 Dieses Feature wurde allerdings in der Prototyp Implementierung nicht vorgesehen. Allerdings würde das System ein solches Verhalten unterstützen.</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 Diese Verbindung ist unabhängig von dem aktuellen Commit der Referenz und dadurch ist die gemeinsame Verwendung der Dateien zwischen den Benutzern sehr einfach umzusetzen</w:t>
      </w:r>
      <w:r>
        <w:rPr>
          <w:rStyle w:val="FootnoteRef"/>
        </w:rPr>
        <w:footnoteReference w:id="100"/>
      </w:r>
      <w:r>
        <w:t xml:space="preserve">.</w:t>
      </w:r>
    </w:p>
    <w:p>
      <w:pPr>
        <w:pStyle w:val="DefinitionTerm"/>
      </w:pPr>
      <w:r>
        <w:t xml:space="preserve">Policies (</w:t>
      </w:r>
      <w:r>
        <w:rPr>
          <w:b/>
        </w:rPr>
        <w:t xml:space="preserve">TODO fehlt im Diagram</w:t>
      </w:r>
      <w:r>
        <w:t xml:space="preserve">)</w:t>
      </w:r>
    </w:p>
    <w:p>
      <w:pPr>
        <w:pStyle w:val="Definition"/>
      </w:pPr>
      <w:r>
        <w:t xml:space="preserve">Die Policies wurden verwendet, um Zusätzliche Informationen zu den Benutzerrechten bzw. Replikationen zu einem Objekt zu speichern. Es beinhaltet im Falle der Replikationen zum Beispiel den Primary-Server bzw. eine Liste von Backup-Servern, auf denen das Objekt gespeichert wurde.</w:t>
      </w:r>
    </w:p>
    <w:p>
      <w:pPr>
        <w:pStyle w:val="Heading3"/>
      </w:pPr>
      <w:bookmarkStart w:id="101" w:name="datenbank"/>
      <w:bookmarkEnd w:id="101"/>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werden kann. Die Datenbank serialisiert die Objekte und speichert Sie mithilfe des Adapters in einem Speichermedium. Dieses Speichermedium kann mithilfe des Adapters verschiedene Ziele besitzen. Jedes Objekt spezifiziert welche Daten als Metadaten in einer Suchmaschine indiziert werden. Dies ermöglicht eine schnelle suche innerhalb dieser Metadaten, ohne auf das eigentliche Speichermedium zuzugreifen.</w:t>
      </w:r>
    </w:p>
    <w:p>
      <w:r>
        <w:rPr>
          <w:b/>
        </w:rPr>
        <w:t xml:space="preserve">TODO bessere beschreibung zur Datenbank, Replikationen und Zugriffsrechte</w:t>
      </w:r>
    </w:p>
    <w:p>
      <w:r>
        <w:t xml:space="preserve">Nähere Informationen zu der Implementierung dieser Datenbank und des Replikationsmechanismuses werden in Kapitel</w:t>
      </w:r>
      <w:r>
        <w:t xml:space="preserve"> </w:t>
      </w:r>
      <w:r>
        <w:t xml:space="preserve"> </w:t>
      </w:r>
      <w:r>
        <w:t xml:space="preserve">gegeben. (</w:t>
      </w:r>
      <w:r>
        <w:rPr>
          <w:b/>
        </w:rPr>
        <w:t xml:space="preserve">TODO wie schreiben</w:t>
      </w:r>
      <w:r>
        <w:t xml:space="preserve">)</w:t>
      </w:r>
    </w:p>
    <w:p>
      <w:pPr>
        <w:pStyle w:val="Heading3"/>
      </w:pPr>
      <w:bookmarkStart w:id="102" w:name="metadatastorage"/>
      <w:bookmarkEnd w:id="102"/>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beschreibt wie die Dateien zusammenhängen. Diese Struktur ist vergleichbar mit einem Dateibaum in einem lokalen Dateisystem. Es gibt einen Root-Verzeichnis, dieses besitzt Verzeichnisse und Dateien. Dadurch lassen sich beliebig Tiefe Strukturen abbilden. In diesem Baum können zu einer Datei auch andere Werte, wie zum Beispiel Titel, Beschreibung und Vorschaubilder hinterlegt werden.</w:t>
      </w:r>
    </w:p>
    <w:p>
      <w:r>
        <w:t xml:space="preserve">Versionen (Commit)</w:t>
      </w:r>
    </w:p>
    <w:p>
      <w:r>
        <w:t xml:space="preserve">: Über die Zusammenhängenden Commits kann der Dateiänderungsverlauf abgebildet werden. Jede Änderungen im Baum bewirkt das erstellen eines Commits. Dabei wird der aktuelle Baum in die Datenbank geschrieben und ein neuer Commit erstellt.</w:t>
      </w:r>
    </w:p>
    <w:p>
      <w:pPr>
        <w:pStyle w:val="DefinitionTerm"/>
      </w:pPr>
      <w:r>
        <w:t xml:space="preserve">Referenzen</w:t>
      </w:r>
    </w:p>
    <w:p>
      <w:pPr>
        <w:pStyle w:val="Definition"/>
      </w:pPr>
      <w:r>
        <w:t xml:space="preserve">Um den aktuellen Commit und damit der aktuelle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pPr>
        <w:pStyle w:val="Heading3"/>
      </w:pPr>
      <w:bookmarkStart w:id="103" w:name="filestorage"/>
      <w:bookmarkEnd w:id="103"/>
      <w:r>
        <w:t xml:space="preserve">Filestorage</w:t>
      </w:r>
    </w:p>
    <w:p>
      <w:r>
        <w:t xml:space="preserve">Der Filestorage verwaltet die abtrakten Dateien im System. Diese Dateien werden als reine Datencontainer angesehen und besitzen daher keinen Namen oder Pfad. Eine Datei besteht nur aus Datenblöcken (Blobs), einer Länge, dem Mimetype und einem Hash für die Identifizierung. Dieser Hash wird im Metadatastorage verwendet, um die Daten zu einer Datei zu finden. Dazu wird der Hash der Datei zu einem TreeNode abgelegt. Diese Trennung von Daten und Metadaten macht es möglich zu erkennen, wenn eine Datei an verschiedenen Stellen des Systems vorkommt und dadurch wiederverwendet werden kann. Dabei spielt es keine Rolle, ob diese Datei von dem selben Benutzer wiederverwendet wird oder von einem anderen. Wen der Hash übereinstimmt, besitzen beide Benutzer die selbe Datei und dürfen dadurch darauf zugreifen.</w:t>
      </w:r>
    </w:p>
    <w:p>
      <w:pPr>
        <w:pStyle w:val="Heading3"/>
      </w:pPr>
      <w:bookmarkStart w:id="104" w:name="session"/>
      <w:bookmarkEnd w:id="104"/>
      <w:r>
        <w:t xml:space="preserve">Session</w:t>
      </w:r>
    </w:p>
    <w:p>
      <w:r>
        <w:t xml:space="preserve">Als zentraler Zugriff auf die Daten steht für den High-Level Zugriff die Session zur Verfügung. Diese Session ermöglicht den Zugriff auf alle Teile des Systems über eine einfache Schnittstelle. Es ermöglicht mit dem Filestorage mittels Hash zu kommunizieren aber auch die Metadaten mittels Dateipfad zu traversieren. Damit ist dies die Zwischenschicht zwischen Filestorage, Metdatastorage und Rest API.</w:t>
      </w:r>
    </w:p>
    <w:p>
      <w:r>
        <w:rPr>
          <w:b/>
        </w:rPr>
        <w:t xml:space="preserve">TODO Ab hier nur Notizen</w:t>
      </w:r>
    </w:p>
    <w:p>
      <w:pPr>
        <w:pStyle w:val="Heading3"/>
      </w:pPr>
      <w:bookmarkStart w:id="105" w:name="rest-api"/>
      <w:bookmarkEnd w:id="105"/>
      <w:r>
        <w:t xml:space="preserve">Rest API</w:t>
      </w:r>
    </w:p>
    <w:p>
      <w:r>
        <w:t xml:space="preserve">Die Rest-API ist die zentrale Schnittstelle um mit Symcloud zu kommunizieren. Die einzelnen Schnittstellen sind für High-Level zugriffe gedacht und verbirgt die Komplexität des Datenmodells und Speicherstruktur. Der Zugriff erfolgt über die Ordnerstruktur des Benutzers. Zusätzlich gibt der Benutzer die Identifikation der Referenz an, welcher er durchsuchen will.</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106" w:name="storagecontroller"/>
      <w:bookmarkEnd w:id="106"/>
      <w:r>
        <w:t xml:space="preserve">StorageController</w:t>
      </w:r>
    </w:p>
    <w:p>
      <w:r>
        <w:rPr>
          <w:b/>
        </w:rPr>
        <w:t xml:space="preserve">TODO nur Notizen</w:t>
      </w:r>
      <w:r>
        <w:t xml:space="preserve"> </w:t>
      </w:r>
      <w:r>
        <w:t xml:space="preserve">Zentrale Zugriffsschnittstelle</w:t>
      </w:r>
    </w:p>
    <w:p>
      <w:pPr>
        <w:pStyle w:val="Heading3"/>
      </w:pPr>
      <w:bookmarkStart w:id="107" w:name="securitycontroller"/>
      <w:bookmarkEnd w:id="107"/>
      <w:r>
        <w:t xml:space="preserve">SecurityController</w:t>
      </w:r>
    </w:p>
    <w:p>
      <w:r>
        <w:rPr>
          <w:b/>
        </w:rPr>
        <w:t xml:space="preserve">TODO nur Notizen</w:t>
      </w:r>
      <w:r>
        <w:t xml:space="preserve"> </w:t>
      </w:r>
      <w:r>
        <w:t xml:space="preserve">Bearbeitet und überprüft Datei Berechtigungen.</w:t>
      </w:r>
    </w:p>
    <w:p>
      <w:pPr>
        <w:pStyle w:val="Heading3"/>
      </w:pPr>
      <w:bookmarkStart w:id="108" w:name="metadaten-storage"/>
      <w:bookmarkEnd w:id="108"/>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109" w:name="filestorage-1"/>
      <w:bookmarkEnd w:id="109"/>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110"/>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111">
        <w:r>
          <w:rPr>
            <w:rStyle w:val="Link"/>
          </w:rPr>
          <w:t xml:space="preserve">http://git-scm.com/book/it/v2/Git-Internals-Git-References</w:t>
        </w:r>
      </w:hyperlink>
      <w:r>
        <w:t xml:space="preserve">]</w:t>
      </w:r>
    </w:p>
    <w:p>
      <w:pPr>
        <w:pStyle w:val="Heading2"/>
      </w:pPr>
      <w:bookmarkStart w:id="112" w:name="zusammenfassung-4"/>
      <w:bookmarkEnd w:id="112"/>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13" w:name="implementierung"/>
      <w:bookmarkEnd w:id="113"/>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14" w:name="oauth2"/>
      <w:bookmarkEnd w:id="114"/>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5" w:name="begriffe"/>
      <w:bookmarkEnd w:id="115"/>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6" w:name="protokoll-ablauf"/>
      <w:bookmarkEnd w:id="116"/>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7"/>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8" w:name="anwendung"/>
      <w:bookmarkEnd w:id="118"/>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9" w:name="synchronisierungsprogramm-jibe"/>
      <w:bookmarkEnd w:id="119"/>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20"/>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2"/>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4"/>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6" w:name="architektur-1"/>
      <w:bookmarkEnd w:id="126"/>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7"/>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8" w:name="kommunikation"/>
      <w:bookmarkEnd w:id="128"/>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9"/>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1" w:name="abläufe"/>
      <w:bookmarkEnd w:id="131"/>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2" w:name="anwendung-1"/>
      <w:bookmarkEnd w:id="132"/>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33" w:name="verteilte-datenbank"/>
      <w:bookmarkEnd w:id="133"/>
      <w:r>
        <w:t xml:space="preserve">Verteilte Datenbank</w:t>
      </w:r>
    </w:p>
    <w:p>
      <w:r>
        <w:rPr>
          <w:b/>
        </w:rPr>
        <w:t xml:space="preserve">TODO Evtl. auch ein Klassendiagramm des Distributed Storage</w:t>
      </w:r>
    </w:p>
    <w:p>
      <w:pPr>
        <w:pStyle w:val="Heading1"/>
      </w:pPr>
      <w:bookmarkStart w:id="134" w:name="ergebnisse"/>
      <w:bookmarkEnd w:id="134"/>
      <w:r>
        <w:t xml:space="preserve">Ergebnisse</w:t>
      </w:r>
    </w:p>
    <w:p>
      <w:pPr>
        <w:pStyle w:val="Heading1"/>
      </w:pPr>
      <w:bookmarkStart w:id="135" w:name="ausblick"/>
      <w:bookmarkEnd w:id="135"/>
      <w:r>
        <w:t xml:space="preserve">Ausblick</w:t>
      </w:r>
    </w:p>
    <w:p>
      <w:r>
        <w:t xml:space="preserve">Welche Teile des Konzeptes konnten umgesetzt werden und wie gut funktionieren diese?</w:t>
      </w:r>
    </w:p>
    <w:p>
      <w:pPr>
        <w:pStyle w:val="Heading2"/>
      </w:pPr>
      <w:bookmarkStart w:id="136" w:name="konfliktbehandlung"/>
      <w:bookmarkEnd w:id="136"/>
      <w:r>
        <w:t xml:space="preserve">Konfliktbehandlung</w:t>
      </w:r>
    </w:p>
    <w:p>
      <w:pPr>
        <w:pStyle w:val="Heading2"/>
      </w:pPr>
      <w:bookmarkStart w:id="137" w:name="konsistenz"/>
      <w:bookmarkEnd w:id="137"/>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8">
        <w:r>
          <w:rPr>
            <w:rStyle w:val="Link"/>
          </w:rPr>
          <w:t xml:space="preserve">http://docs.mongodb.org/manual/core/replica-set-oplog/</w:t>
        </w:r>
      </w:hyperlink>
    </w:p>
    <w:p>
      <w:pPr>
        <w:pStyle w:val="Heading1"/>
      </w:pPr>
      <w:bookmarkStart w:id="139" w:name="anhang"/>
      <w:bookmarkEnd w:id="139"/>
      <w:r>
        <w:t xml:space="preserve">Anhang</w:t>
      </w:r>
    </w:p>
    <w:p>
      <w:pPr>
        <w:pStyle w:val="Heading2"/>
      </w:pPr>
      <w:bookmarkStart w:id="140" w:name="amazon-s3-system-spezifische-metadaten"/>
      <w:bookmarkEnd w:id="140"/>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1" w:name="installation"/>
      <w:bookmarkEnd w:id="141"/>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2" w:name="lokal"/>
      <w:bookmarkEnd w:id="142"/>
      <w:r>
        <w:t xml:space="preserve">Lokal</w:t>
      </w:r>
    </w:p>
    <w:p>
      <w:pPr>
        <w:pStyle w:val="Heading3"/>
      </w:pPr>
      <w:bookmarkStart w:id="143" w:name="verteilt"/>
      <w:bookmarkEnd w:id="143"/>
      <w:r>
        <w:t xml:space="preserve">Verteilt</w:t>
      </w:r>
    </w:p>
    <w:p>
      <w:pPr>
        <w:pStyle w:val="Heading1"/>
      </w:pPr>
      <w:bookmarkStart w:id="144" w:name="literaturverzeichnis"/>
      <w:bookmarkEnd w:id="144"/>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20">
    <w:p>
      <w:pPr>
        <w:pStyle w:val="FootnoteText"/>
      </w:pPr>
      <w:r>
        <w:rPr>
          <w:rStyle w:val="FootnoteRef"/>
        </w:rPr>
        <w:footnoteRef/>
      </w:r>
      <w:hyperlink r:id="rId121">
        <w:r>
          <w:rPr>
            <w:rStyle w:val="Link"/>
          </w:rPr>
          <w:t xml:space="preserve">http://symfony.com/doc/current/components/console/introduction.html</w:t>
        </w:r>
      </w:hyperlink>
    </w:p>
  </w:footnote>
  <w:footnote w:id="122">
    <w:p>
      <w:pPr>
        <w:pStyle w:val="FootnoteText"/>
      </w:pPr>
      <w:r>
        <w:rPr>
          <w:rStyle w:val="FootnoteRef"/>
        </w:rPr>
        <w:footnoteRef/>
      </w:r>
      <w:hyperlink r:id="rId123">
        <w:r>
          <w:rPr>
            <w:rStyle w:val="Link"/>
          </w:rPr>
          <w:t xml:space="preserve">http://php.net/manual/de/intro.phar.php</w:t>
        </w:r>
      </w:hyperlink>
    </w:p>
  </w:footnote>
  <w:footnote w:id="124">
    <w:p>
      <w:pPr>
        <w:pStyle w:val="FootnoteText"/>
      </w:pPr>
      <w:r>
        <w:rPr>
          <w:rStyle w:val="FootnoteRef"/>
        </w:rPr>
        <w:footnoteRef/>
      </w:r>
      <w:hyperlink r:id="rId125">
        <w:r>
          <w:rPr>
            <w:rStyle w:val="Link"/>
          </w:rPr>
          <w:t xml:space="preserve">https://phpunit.de/</w:t>
        </w:r>
      </w:hyperlink>
    </w:p>
  </w:footnote>
  <w:footnote w:id="129">
    <w:p>
      <w:pPr>
        <w:pStyle w:val="FootnoteText"/>
      </w:pPr>
      <w:r>
        <w:rPr>
          <w:rStyle w:val="FootnoteRef"/>
        </w:rPr>
        <w:footnoteRef/>
      </w:r>
      <w:hyperlink r:id="rId130">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b5d9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78a5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b24098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72704a9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8"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1" Target="http://git-scm.com/book/it/v2/Git-Internals-Git-References" TargetMode="External" /><Relationship Type="http://schemas.openxmlformats.org/officeDocument/2006/relationships/hyperlink" Id="rId12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1"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3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5"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8"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1" Target="http://git-scm.com/book/it/v2/Git-Internals-Git-References" TargetMode="External" /><Relationship Type="http://schemas.openxmlformats.org/officeDocument/2006/relationships/hyperlink" Id="rId12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21"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3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5"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