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r>
        <w:t xml:space="preserve">.</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(“Object Key and Metadata” 2015)</w:t>
      </w:r>
      <w:r>
        <w:t xml:space="preserve">. Für eine vollständige Liste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
        </w:rPr>
        <w:footnoteReference w:id="55"/>
      </w:r>
      <w:r>
        <w:t xml:space="preserve">,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1" w:name="nfs"/>
      <w:bookmarkEnd w:id="61"/>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2"/>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5" w:name="xtreemfs"/>
      <w:bookmarkEnd w:id="65"/>
      <w:r>
        <w:t xml:space="preserve">XtreemFS</w:t>
      </w:r>
      <w:r>
        <w:t xml:space="preserve"> </w:t>
      </w:r>
    </w:p>
    <w:p>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6"/>
      </w:r>
      <w:r>
        <w:t xml:space="preserve"> </w:t>
      </w:r>
      <w:r>
        <w:t xml:space="preserve">(“XtreemFS Installation and User Guide,” Kapitel 2.3)</w:t>
      </w:r>
      <w:r>
        <w:t xml:space="preserve">.</w:t>
      </w:r>
    </w:p>
    <w:p>
      <w:pPr>
        <w:pStyle w:val="Heading4"/>
      </w:pPr>
      <w:bookmarkStart w:id="68" w:name="architektur"/>
      <w:bookmarkEnd w:id="68"/>
      <w:r>
        <w:t xml:space="preserve">Architektur</w:t>
      </w:r>
    </w:p>
    <w:p>
      <w:r>
        <w:t xml:space="preserve">XtreemFS implementiert eine Objektbasierte Datei-Systemarchitektur, das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 Installation and User Guide,” Kapitel 2.4)</w:t>
      </w:r>
      <w:r>
        <w:t xml:space="preserve">.</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dem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0" w:name="exkurs-datei-replikation"/>
      <w:bookmarkEnd w:id="70"/>
      <w:r>
        <w:t xml:space="preserve">Exkurs: Datei Replikation</w:t>
      </w:r>
    </w:p>
    <w:p>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 and Steen 2003, S. 333ff)</w:t>
      </w:r>
      <w:r>
        <w:t xml:space="preserve">.</w:t>
      </w:r>
    </w:p>
    <w:p>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können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 and Steen 2003, S. 333ff)</w:t>
      </w:r>
      <w:r>
        <w:t xml:space="preserve">.</w:t>
      </w:r>
    </w:p>
    <w:p>
      <w:r>
        <w:t xml:space="preserve">Damit ein Verbund von Servern die Konsistenz ihrer Daten gewährleisten kann, werden Konsistenzprotokolle eingesetzt. In XtreemFS wird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3" w:name="zusammenfassung-1"/>
      <w:bookmarkEnd w:id="73"/>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4"/>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Konsistenzprotokollen von XtreemFS gezogen werden und in ein Gesamtkonzept miteingebunden werden.</w:t>
      </w:r>
    </w:p>
    <w:p>
      <w:pPr>
        <w:pStyle w:val="Heading2"/>
      </w:pPr>
      <w:bookmarkStart w:id="76" w:name="datenbank-gestützte-dateiverwaltungen"/>
      <w:bookmarkEnd w:id="76"/>
      <w:r>
        <w:t xml:space="preserve">Datenbank gestützte Dateiverwaltungen</w:t>
      </w:r>
    </w:p>
    <w:p>
      <w:r>
        <w:t xml:space="preserve">Einige Datenbanksysteme, wie zum Beispiel MongoDB</w:t>
      </w:r>
      <w:r>
        <w:rPr>
          <w:rStyle w:val="FootnoteRef"/>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83" w:name="datenmodell"/>
      <w:bookmarkEnd w:id="83"/>
      <w:r>
        <w:t xml:space="preserve">Datenmodell</w:t>
      </w:r>
    </w:p>
    <w:p>
      <w:r>
        <w:t xml:space="preserve">Das Datenmodell wurde speziell für Symcloud entwickelt, um seine Anforderungen zu erfüllen. Dabei wurde großen Wert darauf gelegt, optimale und effiziente Datenhaltung zu gewährleisten. Abgeleitet wurde das Modell (siehe Abbildung</w:t>
      </w:r>
      <w:r>
        <w:t xml:space="preserve"> </w:t>
      </w:r>
      <w:r>
        <w:t xml:space="preserve">) aus dem Modell, dass dem Versionskontrollsystem GIT zugrunde liegt. Dieses Modell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r>
        <w:t xml:space="preserve">GIT</w:t>
      </w:r>
      <w:r>
        <w:rPr>
          <w:rStyle w:val="FootnoteRef"/>
        </w:rPr>
        <w:footnoteReference w:id="86"/>
      </w:r>
      <w:r>
        <w:t xml:space="preserve"> </w:t>
      </w:r>
      <w:r>
        <w:t xml:space="preserve">ist eine verteilte Versionsverwaltung, welches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(S. Chacon 2009, Kapitel 9.2)</w:t>
      </w:r>
      <w:r>
        <w:t xml:space="preserve">. Das Listing</w:t>
      </w:r>
      <w:r>
        <w:t xml:space="preserve"> </w:t>
      </w:r>
      <w:r>
        <w:t xml:space="preserve"> </w:t>
      </w:r>
      <w:r>
        <w:t xml:space="preserve">zeigt, wie ein SHA in einem Terminal berechnet werden kann</w:t>
      </w:r>
      <w:r>
        <w:t xml:space="preserve"> </w:t>
      </w:r>
      <w:r>
        <w:t xml:space="preserve">(Keepers 2012)</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 2012)</w:t>
      </w:r>
      <w:r>
        <w:t xml:space="preserve">.</w:t>
      </w:r>
    </w:p>
    <w:p>
      <w:pPr>
        <w:pStyle w:val="Heading4"/>
      </w:pPr>
      <w:bookmarkStart w:id="89" w:name="objekt-typen"/>
      <w:bookmarkEnd w:id="89"/>
      <w:r>
        <w:t xml:space="preserve">Objekt Typen</w:t>
      </w:r>
    </w:p>
    <w:p>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(S. Chacon 2009, Kapitel 9.2)</w:t>
      </w:r>
      <w:r>
        <w:t xml:space="preserve">.</w:t>
      </w:r>
    </w:p>
    <w:p>
      <w:pPr>
        <w:pStyle w:val="DefinitionTerm"/>
      </w:pPr>
      <w:r>
        <w:t xml:space="preserve">TREE</w:t>
      </w:r>
    </w:p>
    <w:p>
      <w:pPr>
        <w:pStyle w:val="Definition"/>
      </w:pPr>
      <w:r>
        <w:t xml:space="preserve">Der TREE beschreibt ein Ordner im Repository. Ein TREE enthält andere TREE bzw. BLOB Objekte und definiert damit eine Ordnerstruktur. In einem TREE werden auch die Namen zu BLOB und TREE Objekten festgelegt</w:t>
      </w:r>
      <w:r>
        <w:t xml:space="preserve"> </w:t>
      </w:r>
      <w:r>
        <w:t xml:space="preserve">(S. Chacon 2009, Kapitel 9.2)</w:t>
      </w:r>
      <w:r>
        <w:t xml:space="preserve">.</w:t>
      </w:r>
    </w:p>
    <w:p>
      <w:pPr>
        <w:pStyle w:val="DefinitionTerm"/>
      </w:pPr>
      <w:r>
        <w:t xml:space="preserve">COMMIT</w:t>
      </w:r>
    </w:p>
    <w:p>
      <w:pPr>
        <w:pStyle w:val="Definition"/>
      </w:pPr>
      <w:r>
        <w:t xml:space="preserve">Der COMMIT ist ein Zeitstempel eines einzelnen TREE Objektes. Im folgenden Listing</w:t>
      </w:r>
      <w:r>
        <w:t xml:space="preserve"> </w:t>
      </w:r>
      <w:r>
        <w:t xml:space="preserve"> </w:t>
      </w:r>
      <w:r>
        <w:t xml:space="preserve">wird der Inhalt eines COMMIT Objektes auf einem Terminal ausgegeben</w:t>
      </w:r>
      <w:r>
        <w:t xml:space="preserve"> </w:t>
      </w:r>
      <w:r>
        <w:t xml:space="preserve">(S. Chacon 2009,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p>
      <w:pPr>
        <w:pStyle w:val="TableCaption"/>
      </w:pPr>
      <w:r>
        <w:t xml:space="preserve">GIT commit Eigenschaften</w:t>
      </w:r>
      <w:r>
        <w:t xml:space="preserve"> </w:t>
      </w:r>
      <w:r>
        <w:t xml:space="preserve">(S. Chacon 2009, Kapitel 9.2)</w:t>
      </w:r>
    </w:p>
    <w:tbl>
      <w:tblPr>
        <w:tblStyle w:val="TableNormal"/>
        <w:tblW w:type="pct" w:w="0.0"/>
        <w:tblCaption w:val="GIT commit Eigenschaften , Kapitel 9.2(S. Chacon 2009, Kapitel 9.2)"/>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 (zu der Tabelle</w:t>
      </w:r>
      <w:r>
        <w:rPr>
          <w:b/>
        </w:rPr>
        <w:t xml:space="preserve"> </w:t>
      </w:r>
      <w:r>
        <w:rPr>
          <w:b/>
        </w:rPr>
        <w:t xml:space="preserve">):</w:t>
      </w:r>
    </w:p>
    <w:p>
      <w:pPr>
        <w:pStyle w:val="Compact"/>
        <w:numPr>
          <w:numId w:val="1004"/>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einen bestimmte COMMIT Objekt. Diese Referenzen sind die Grundlage für das Branching-Modell von GIT</w:t>
      </w:r>
      <w:r>
        <w:t xml:space="preserve"> </w:t>
      </w:r>
      <w:r>
        <w:t xml:space="preserve">(Scott Chacon 2015)</w:t>
      </w:r>
      <w:r>
        <w:t xml:space="preserve">.</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(Scott Chacon 2015)</w:t>
      </w:r>
    </w:p>
    <w:p>
      <w:r>
        <w:t xml:space="preserve">Diese Zusammenhänge werden in der Abbildung</w:t>
      </w:r>
      <w:r>
        <w:t xml:space="preserve"> </w:t>
      </w:r>
      <w:r>
        <w:t xml:space="preserve"> </w:t>
      </w:r>
      <w:r>
        <w:t xml:space="preserve">visualisiert.</w:t>
      </w:r>
    </w:p>
    <w:p>
      <w:pPr>
        <w:pStyle w:val="Heading4"/>
      </w:pPr>
      <w:bookmarkStart w:id="91" w:name="anforderungen-2"/>
      <w:bookmarkEnd w:id="91"/>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modelliert werden. Diese Symlinks werden im System verwendet, um Shares an einer bestimmten Stelle des Dateibaums eines Benutzers zu platzieren</w:t>
      </w:r>
      <w:r>
        <w:rPr>
          <w:rStyle w:val="FootnoteRef"/>
        </w:rPr>
        <w:footnoteReference w:id="92"/>
      </w:r>
      <w:r>
        <w:t xml:space="preserve">.</w:t>
      </w:r>
    </w:p>
    <w:p>
      <w:pPr>
        <w:pStyle w:val="Heading4"/>
      </w:pPr>
      <w:bookmarkStart w:id="93" w:name="zusammenfassung-3"/>
      <w:bookmarkEnd w:id="93"/>
      <w:r>
        <w:t xml:space="preserve">Zusammenfassung</w:t>
      </w:r>
    </w:p>
    <w:p>
      <w:r>
        <w:t xml:space="preserve">Das Datenmodell von GIT ist aufgrund seiner Flexibilität eine gute Grundlage für ein verteiltes Dateiverwaltungssystem. Es ist auch in seiner ursprünglichen Form für die Verteilung ausgelegt</w:t>
      </w:r>
      <w:r>
        <w:t xml:space="preserve"> </w:t>
      </w:r>
      <w:r>
        <w:t xml:space="preserve">(S. Chacon 2009,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4" w:name="symcloud"/>
      <w:bookmarkEnd w:id="94"/>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6"/>
      </w:r>
      <w:r>
        <w:t xml:space="preserve">. Diese Verbindung ist unabhängig von dem aktuellen Commit der Referenz und dadurch ist die gemeinsame Verwendung der Dateien zwischen den Benutzern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97" w:name="datenbank"/>
      <w:bookmarkEnd w:id="97"/>
      <w:r>
        <w:t xml:space="preserve">Datenbank</w:t>
      </w:r>
    </w:p>
    <w:p>
      <w:r>
        <w:t xml:space="preserve">Die Datenbank ist eine einfache "Hash-Value" Datenbank, die mithilfe des "Replicators"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"Lazy" beim ersten Zugriff jedes Servers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
        </w:rPr>
        <w:footnoteReference w:id="100"/>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diese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w:t>
      </w:r>
      <w:r>
        <w:t xml:space="preserve"> </w:t>
      </w:r>
      <w:r>
        <w:t xml:space="preserve"> </w:t>
      </w:r>
      <w:r>
        <w:t xml:space="preserve">beschrieben.</w:t>
      </w:r>
    </w:p>
    <w:p>
      <w:pPr>
        <w:pStyle w:val="Heading2"/>
      </w:pPr>
      <w:bookmarkStart w:id="103" w:name="zusammenfassung-4"/>
      <w:bookmarkEnd w:id="103"/>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getrennt und daher unabhängig von der darunterliegenden Technologie.</w:t>
      </w:r>
    </w:p>
    <w:p>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
        </w:rPr>
        <w:footnoteReference w:id="105"/>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
        </w:rPr>
        <w:footnoteReference w:id="107"/>
      </w:r>
      <w:r>
        <w:t xml:space="preserve"> </w:t>
      </w:r>
      <w:r>
        <w:t xml:space="preserve">der Vorarlberger Firma MASSIVE ART WebServices GmbH</w:t>
      </w:r>
      <w:r>
        <w:rPr>
          <w:rStyle w:val="FootnoteRef"/>
        </w:rPr>
        <w:footnoteReference w:id="109"/>
      </w:r>
      <w:r>
        <w:t xml:space="preserve"> </w:t>
      </w:r>
      <w:r>
        <w:t xml:space="preserve">aus Dornbirn. Diese Plattform bietet ein erweiterbares Admin-UI, eine Benutzerverwaltung und ein Rechtesystem an. Diese Features ermöglichen Symcloud eine schnelle Entwicklung der Oberfläche und deren zugrundeliegenden Services.</w:t>
      </w:r>
    </w:p>
    <w:p>
      <w:pPr>
        <w:pStyle w:val="DefinitionTerm"/>
      </w:pPr>
      <w:r>
        <w:t xml:space="preserve">Client (jibe)</w:t>
      </w:r>
    </w:p>
    <w:p>
      <w:pPr>
        <w:pStyle w:val="Definition"/>
      </w:pPr>
      <w:r>
        <w:t xml:space="preserve">Der Client 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1">
        <w:r>
          <w:rPr>
            <w:rStyle w:val="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r>
        <w:t xml:space="preserve">Der Distributed-Storage ist der Kern der Anwendung und kann als Bibliothek in jede beliebige PHP-Anwendung integriert werden. Diese Anwendung stellt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Modell an. Diese "Policy" wird zusätzlich mit dem Modell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fragt bei allen bekannten Servern an, ob sie dieses Objekt kennen. Dies gilt für die Replikationstypen "Permission" und "Full". Über einen ähnlichen Mechanismus kann der Replikationstyp "stub" realisiert werden. Der einzige Unterschied ist, dass die Backupserver den primary Server kennen und nicht alle bekannten Server durchsuchen müssen.</w:t>
      </w:r>
    </w:p>
    <w:p>
      <w:pPr>
        <w:pStyle w:val="Heading3"/>
      </w:pPr>
      <w:bookmarkStart w:id="114" w:name="objekte-speichern"/>
      <w:bookmarkEnd w:id="114"/>
      <w:r>
        <w:t xml:space="preserve">Objekte speichern</w:t>
      </w:r>
    </w:p>
    <w:p>
      <w:r>
        <w:t xml:space="preserve">Der Mittelpunkt des Speicher-Prozesses (siehe Abbildung</w:t>
      </w:r>
      <w:r>
        <w:t xml:space="preserve"> </w:t>
      </w:r>
      <w:r>
        <w:t xml:space="preserve">) ist die Serialisierung zu Beginn. Hierfür werden die Metadaten des Objekts anhand seiner Klasse aus dem "MetadataManager" geladen und anhand dieser Informationen serialisiert. Diese Daten werden mit dem "EventDispatcher" aus dem Symfony2 Framework in einem Event zugänglich gemacht. Die Eventhandler haben die Möglichkeit die Daten zu bearbeiten und "Policies" zu dem Model zu erstellen. Abschließend werden die Daten zuerst mithilfe des "StorageAdapter" persistiert und durch den "SearchAdapter" in den Suchmaschinenindex aufgenommen. Um verschiedene Objekttypen voneinander zu trennen und eigene Namensräume zu schaffen, geben die Metadaten der Klasse, einen eindeutigen Kontext zurück. Dieser Kontext wird den Adaptern übergeben, um Kollisionen zwischen den Datensätzen zu verhindern.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r>
        <w:t xml:space="preserve">Wie zu erwarten ist der Abruf-Prozess von Daten ein Spiegelbild des Speicherprozesses. Zuerst wird versucht mit dem Kontext des Objektes die Daten aus dem "Storage" zu laden. Diese Daten werden durch den "EventDispatcher" den Eventhandler zur Verfügung gestellt. Diese haben die Möglichkeit, zum Beispiel fehlende Daten nachzuladen, Änderungen an der Struktur der Daten durchzuführen oder den Prozess abzubrechen, wenn keine Rechte vorhanden sind dieses Objekt zu lesen.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anderweitig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 ("Permission" und "Stub").</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Backupserver per Zufall aus der Liste der vorhandenen Server ausgewählt und der aktuelle Server als primäry Server markiert. Anhand der Backupserver-Liste werden die Daten an die Server verteilt. Dazu wird der Reihe nach die Daten an die Server versendet und auf eine Bestätigung gewartet. Falls einer dieser Server nicht erreichbar ist, wird dieser ausgelassen und ein anderer Server als Backup herangezogen. Damit wird der konsistente Zustand der Datenbank verifiziert. Abschließend wird die erstellte "Policy" zu den Daten hinzugefügt, damit sie mit den Daten persistiert wird und später wiederverwendet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ist,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r>
        <w:t xml:space="preserve">Für die Abstrahierung des Speichermediums verwendet die Datenbank das Adapter-Pattern. Mithilfe dieses Patterns, kann jede Symcloud Installation sein eigenes Speichermedium verwenden. Dabei gibt es zwei Arten von Adaptern:</w:t>
      </w:r>
    </w:p>
    <w:p>
      <w:pPr>
        <w:pStyle w:val="DefinitionTerm"/>
      </w:pPr>
      <w:r>
        <w:t xml:space="preserve">Storage</w:t>
      </w:r>
    </w:p>
    <w:p>
      <w:pPr>
        <w:pStyle w:val="Definition"/>
      </w:pPr>
      <w:r>
        <w:t xml:space="preserve">Der "StorageAdapter" wird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jeden Kontext einen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"SearchAdapter"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Für die Entwicklung des Prototypen wurde die Bibliothek Zend-Search-Lucene</w:t>
      </w:r>
      <w:r>
        <w:rPr>
          <w:rStyle w:val="FootnoteRef"/>
        </w:rPr>
        <w:footnoteReference w:id="122"/>
      </w:r>
      <w:r>
        <w:t xml:space="preserve"> </w:t>
      </w:r>
      <w:r>
        <w:t xml:space="preserve">verwendet, da diese ohne weitere Abhängigkeiten verwendet werden kann.</w:t>
      </w:r>
    </w:p>
    <w:p>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r>
        <w:t xml:space="preserve">Die Adapter sind Klassen, die die Komplexität des Speichermediums bzw. der API von der restlichen Applikation trennen, um dadurch die Bibliothek unabhängig von der Applikation implementieren zu können.</w:t>
      </w:r>
    </w:p>
    <w:p>
      <w:pPr>
        <w:pStyle w:val="Heading3"/>
      </w:pPr>
      <w:bookmarkStart w:id="124" w:name="manager"/>
      <w:bookmarkEnd w:id="124"/>
      <w:r>
        <w:t xml:space="preserve">Manager</w:t>
      </w:r>
    </w:p>
    <w:p>
      <w:r>
        <w:t xml:space="preserve">Die Manager sind die Schnittstelle, um mit den einzelnen Schichten des Datenmodells zu kommunizieren. Jeder dieser Manager implementiert ein "Interface" mit dem es möglich ist, mit den jeweiligen Datenobjekten zu interagieren. Grundsätzlich sind dies Befehle, um ein Objekt zu erstellen oder abzufragen. Im Falle des "ReferenceManager" oder "TreeManager" bieten sie auch die Möglichkeit, Objekte zu bearbeiten. Der "ReferenceManager" bearbeitet dabei auch wirklich ein Objekt in der Datenbank, indem er es einfach überschreibt. Diese Operation ist, durch den Replikationstyp "Stub", auch in einem verteilten Netzwerk möglich.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r>
        <w:t xml:space="preserve">Die Bibliothek "Distributed-Storage" bietet eine einfache und effiziente Implementierung des in Kapitel</w:t>
      </w:r>
      <w:r>
        <w:t xml:space="preserve"> </w:t>
      </w:r>
      <w:r>
        <w:t xml:space="preserve"> </w:t>
      </w:r>
      <w:r>
        <w:t xml:space="preserve">beschriebenen Konzeptes. Es baut auf eine erweiterbare Hash-Value Datenbank auf. Diese Datenbank wird mittels eines Eventhandlers (Replikator) zu einer verteilten Datenbank. Dabei hat die Datenbank keine Ahnung von dem verwendeten Transportlayer oder Protokoll. Dieser kann neben HTTP, jeden beliebigen anderen Transportlayer verwenden.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26" w:name="plattform"/>
      <w:bookmarkEnd w:id="126"/>
      <w:r>
        <w:t xml:space="preserve">Plattform</w:t>
      </w:r>
    </w:p>
    <w:p>
      <w:r>
        <w:t xml:space="preserve">Die Plattform bzw. die Anwendung stellt die Rest-API und die Authentifizierung zur Verfügung. Dies ermöglicht der Bibliothek die Kommunikation mit anderen Servern und Applikationen. Zusätzlich beinhaltet sie die Oberfläche, um mit den Daten in einem Browser zu interagieren.</w:t>
      </w:r>
    </w:p>
    <w:p>
      <w:pPr>
        <w:pStyle w:val="Heading3"/>
      </w:pPr>
      <w:bookmarkStart w:id="127" w:name="authentifizierung"/>
      <w:bookmarkEnd w:id="127"/>
      <w:r>
        <w:t xml:space="preserve">Authentifizierung</w:t>
      </w:r>
    </w:p>
    <w:p>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r>
        <w:t xml:space="preserve">Eine Autorisierung zwischen den Servern ist momentan nicht vorgesehen. Dies wurde in der ersten Implementierungsphase nicht umgesetzt, wäre aber für eine produktiven Einsatz unerlässlich.</w:t>
      </w:r>
    </w:p>
    <w:p>
      <w:pPr>
        <w:pStyle w:val="Heading3"/>
      </w:pPr>
      <w:bookmarkStart w:id="128" w:name="rest-api-1"/>
      <w:bookmarkEnd w:id="128"/>
      <w:r>
        <w:t xml:space="preserve">Rest-API</w:t>
      </w:r>
    </w:p>
    <w:p>
      <w:r>
        <w:t xml:space="preserve">Die Rest-API ist wie schon im Kapitel</w:t>
      </w:r>
      <w:r>
        <w:t xml:space="preserve"> </w:t>
      </w:r>
      <w:r>
        <w:t xml:space="preserve"> </w:t>
      </w:r>
      <w:r>
        <w:t xml:space="preserve">beschrieben, in vier verschiedene Schnittstellen aufgeteilt. Dabei werden die SULU internen Komponenten verwendet, um die Daten für die Übertragung zu serialisieren und RESTful</w:t>
      </w:r>
      <w:r>
        <w:rPr>
          <w:rStyle w:val="FootnoteRef"/>
        </w:rPr>
        <w:footnoteReference w:id="129"/>
      </w:r>
      <w:r>
        <w:t xml:space="preserve"> </w:t>
      </w:r>
      <w:r>
        <w:t xml:space="preserve">aufzubereiten. Für eine verteilte Installation implementiert die Plattform den "ApiAdapter", um die Rest-API für die Bibliothek, zu abstrahieren.</w:t>
      </w:r>
    </w:p>
    <w:p>
      <w:pPr>
        <w:pStyle w:val="Heading3"/>
      </w:pPr>
      <w:bookmarkStart w:id="131" w:name="benutzeroberfläche"/>
      <w:bookmarkEnd w:id="131"/>
      <w:r>
        <w:t xml:space="preserve">Benutzeroberfläche</w:t>
      </w:r>
    </w:p>
    <w:p>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r>
        <w:t xml:space="preserve">Die Plattform ist ein reiner Prototyp, der zeigen soll, ob das konzipierte Konzept funktionieren kann. Es bietet in den Grundzügen alle Funktionen an, um in einer späteren Implementierungsphase, diesen Prototypen zu einer vollständigen Plattform heranwachsen zu lassen.</w:t>
      </w:r>
    </w:p>
    <w:p>
      <w:pPr>
        <w:pStyle w:val="Heading2"/>
      </w:pPr>
      <w:bookmarkStart w:id="133" w:name="exkurs-oauth2"/>
      <w:bookmarkEnd w:id="133"/>
      <w:r>
        <w:t xml:space="preserve">Exkurs: 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r>
        <w:t xml:space="preserve">.</w:t>
      </w:r>
    </w:p>
    <w:p>
      <w:r>
        <w:t xml:space="preserve">Der Benutzer kann einer Applikation den Zugriff auf seine Daten autorisieren, die von einer anderen Applikation zur Verfügung gestellt wird. Dabei werden nicht alle Details seiner Zugangsdaten preisgegeben. Typischerweise wird die Weitergabe eines Passwortes an Dritte vermieden</w:t>
      </w:r>
      <w:r>
        <w:t xml:space="preserve"> </w:t>
      </w:r>
      <w:r>
        <w:t xml:space="preserve">(“OAuth – Wikipedia” 2015)</w:t>
      </w:r>
      <w:r>
        <w:t xml:space="preserve">.</w:t>
      </w:r>
    </w:p>
    <w:p>
      <w:pPr>
        <w:pStyle w:val="Heading3"/>
      </w:pPr>
      <w:bookmarkStart w:id="134" w:name="begriffe"/>
      <w:bookmarkEnd w:id="134"/>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 2012, Seite 5)</w:t>
      </w:r>
      <w:r>
        <w:t xml:space="preserve">.</w:t>
      </w:r>
    </w:p>
    <w:p>
      <w:pPr>
        <w:pStyle w:val="DefinitionTerm"/>
      </w:pPr>
      <w:r>
        <w:t xml:space="preserve">Resource server</w:t>
      </w:r>
    </w:p>
    <w:p>
      <w:pPr>
        <w:pStyle w:val="Definition"/>
      </w:pPr>
      <w:r>
        <w:t xml:space="preserve">Der Server, der die geschützten Ressourcen verwaltet. Er ist in der Lage Anfragen zu akzeptieren und die geschützten Ressourcen zurückzugeben, wenn ein geeignetes und valides Token bereitgestellt wurde</w:t>
      </w:r>
      <w:r>
        <w:t xml:space="preserve"> </w:t>
      </w:r>
      <w:r>
        <w:t xml:space="preserve">(Hardt 2012,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 2012, Seite 5)</w:t>
      </w:r>
      <w:r>
        <w:t xml:space="preserve">.</w:t>
      </w:r>
    </w:p>
    <w:p>
      <w:pPr>
        <w:pStyle w:val="DefinitionTerm"/>
      </w:pPr>
      <w:r>
        <w:t xml:space="preserve">Authorization server</w:t>
      </w:r>
    </w:p>
    <w:p>
      <w:pPr>
        <w:pStyle w:val="Definition"/>
      </w:pPr>
      <w:r>
        <w:t xml:space="preserve">Der Server der die Zugriffs-Tokens nach der erfolgreichen Authentifizierung des Ressourceneigentümers, bereitstellt</w:t>
      </w:r>
      <w:r>
        <w:t xml:space="preserve"> </w:t>
      </w:r>
      <w:r>
        <w:t xml:space="preserve">(Hardt 2012, Seite 5)</w:t>
      </w:r>
      <w:r>
        <w:t xml:space="preserve">.</w:t>
      </w:r>
    </w:p>
    <w:p>
      <w:r>
        <w:t xml:space="preserve">Neben diesen Rollen spezifiziert OAuth2 folgende Begriffe:</w:t>
      </w:r>
    </w:p>
    <w:p>
      <w:pPr>
        <w:pStyle w:val="DefinitionTerm"/>
      </w:pPr>
      <w:r>
        <w:t xml:space="preserve">Access-Token</w:t>
      </w:r>
    </w:p>
    <w:p>
      <w:pPr>
        <w:pStyle w:val="Definition"/>
      </w:pPr>
      <w:r>
        <w:t xml:space="preserve">Die Access-Tokens fungieren Zugangdsdaten zu geschützten Ressourcen. Es besteht aus einer Zeichenkette, der als Autorisierung für einen bestimmten Client ausgestellt wurde. Sie repräsentieren die "Scopes" und die Dauer der Zugangsberechtigung, die durch den Benutzer bestätigt wurde</w:t>
      </w:r>
      <w:r>
        <w:t xml:space="preserve"> </w:t>
      </w:r>
      <w:r>
        <w:t xml:space="preserve">(Hardt 2012, Seite 9)</w:t>
      </w:r>
      <w:r>
        <w:t xml:space="preserve">.</w:t>
      </w:r>
    </w:p>
    <w:p>
      <w:pPr>
        <w:pStyle w:val="DefinitionTerm"/>
      </w:pPr>
      <w:r>
        <w:t xml:space="preserve">Refresh-Token</w:t>
      </w:r>
    </w:p>
    <w:p>
      <w:pPr>
        <w:pStyle w:val="Definition"/>
      </w:pPr>
      <w:r>
        <w:t xml:space="preserve">Diese Tokens werden verwendet, um neue Access-Tokens zu generieren, wenn das alte Access-Token abgelaufen ist. Wenn der Autorisierungsserver diese Funktionalität zur Verfügung stellt, liefert er es mit dem Access-Token aus. Der Refresh-Token besitzt eine längere Lebensdauer und berechtigt nicht den Zugang zu den anderen API-Schnittstellen</w:t>
      </w:r>
      <w:r>
        <w:t xml:space="preserve"> </w:t>
      </w:r>
      <w:r>
        <w:t xml:space="preserve">(Hardt 2012,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 2012, Seite 22)</w:t>
      </w:r>
      <w:r>
        <w:t xml:space="preserve">.</w:t>
      </w:r>
    </w:p>
    <w:p>
      <w:r>
        <w:t xml:space="preserve">Die Interaktion zwischen Ressourcenserver und Autorisierungsserver ist nicht spezifiziert. Diese beiden Server können in der selben Applikation betrieben werden, aber auch eine verteilte Infrastruktur wäre möglich. Dabei würden die beiden auf verschiedenen Servern betrieben werden. Der Autorisierungsserver könnte, in einer verteilten Infrastruktur, Tokens für mehrere Ressourcenserver bereitstellen</w:t>
      </w:r>
      <w:r>
        <w:t xml:space="preserve"> </w:t>
      </w:r>
      <w:r>
        <w:t xml:space="preserve">(Hardt 2012, Seite 5)</w:t>
      </w:r>
      <w:r>
        <w:t xml:space="preserve">.</w:t>
      </w:r>
    </w:p>
    <w:p>
      <w:pPr>
        <w:pStyle w:val="Heading3"/>
      </w:pPr>
      <w:bookmarkStart w:id="135" w:name="protokoll-ablauf"/>
      <w:bookmarkEnd w:id="135"/>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Ressourcenbesitzers. Diese Anfrage kann direkt an den Benutzer gestellt werden (wie in der Abbildung dargestellt) oder vorzugsweise indirekt über den Autorisierungsserver (wie zum Beispiel bei Facebook).</w:t>
      </w:r>
    </w:p>
    <w:p>
      <w:pPr>
        <w:pStyle w:val="Compact"/>
        <w:numPr>
          <w:numId w:val="1005"/>
          <w:ilvl w:val="0"/>
        </w:numPr>
      </w:pPr>
      <w:r>
        <w:t xml:space="preserve">Der Client erhält einen "authorization grant". Er repräsentiert die Genehmigung des Ressourcenbesitzers, die geschützten Ressourcen zu verwenden.</w:t>
      </w:r>
    </w:p>
    <w:p>
      <w:pPr>
        <w:pStyle w:val="Compact"/>
        <w:numPr>
          <w:numId w:val="1005"/>
          <w:ilvl w:val="0"/>
        </w:numPr>
      </w:pPr>
      <w:r>
        <w:t xml:space="preserve">Der Client fordert einen Token beim Autorisierungsserver mit dem "authorization grant" an.</w:t>
      </w:r>
    </w:p>
    <w:p>
      <w:pPr>
        <w:pStyle w:val="Compact"/>
        <w:numPr>
          <w:numId w:val="1005"/>
          <w:ilvl w:val="0"/>
        </w:numPr>
      </w:pPr>
      <w:r>
        <w:t xml:space="preserve">Der Autorisierungsserver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Ressourcenserver validiert den Token und gibt die Ressource zurück.</w:t>
      </w:r>
    </w:p>
    <w:p>
      <w:pPr>
        <w:pStyle w:val="Heading3"/>
      </w:pPr>
      <w:bookmarkStart w:id="137" w:name="zusammenfassung-7"/>
      <w:bookmarkEnd w:id="137"/>
      <w:r>
        <w:t xml:space="preserve">Zusammenfassung</w:t>
      </w:r>
    </w:p>
    <w:p>
      <w:r>
        <w:t xml:space="preserve">OAuth2 wird verwendet, um es externen Applikationen zu ermöglichen, auf die Dateien der Benutzer zuzugreifen. Das Synchronisierungsprogramm Jibe verwendet dieses Protokoll, um die Autorisierung zu erhalten, um die Dateien des Benutzers zu verwalten.</w:t>
      </w:r>
    </w:p>
    <w:p>
      <w:pPr>
        <w:pStyle w:val="Heading2"/>
      </w:pPr>
      <w:bookmarkStart w:id="138" w:name="synchronisierungsprogramm-jibe"/>
      <w:bookmarkEnd w:id="138"/>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mithilfe der Symfony Konsole-Komponente</w:t>
      </w:r>
      <w:r>
        <w:rPr>
          <w:rStyle w:val="FootnoteRef"/>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41"/>
      </w:r>
      <w:r>
        <w:t xml:space="preserve"> </w:t>
      </w:r>
      <w:r>
        <w:t xml:space="preserve">geschrieben. Dieser ähnelt dem Format eines Java-JAR Archives. Dieses Format wird in der PHP-Gemeinschaft oft verwendet, um komplexe Applikationen, wie zum Beispiel PHPUnit</w:t>
      </w:r>
      <w:r>
        <w:rPr>
          <w:rStyle w:val="FootnoteRef"/>
        </w:rPr>
        <w:footnoteReference w:id="143"/>
      </w:r>
      <w:r>
        <w:t xml:space="preserve"> </w:t>
      </w:r>
      <w:r>
        <w:t xml:space="preserve">(ein Test Framework für PHP) auszuliefern.</w:t>
      </w:r>
    </w:p>
    <w:p>
      <w:r>
        <w:rPr>
          <w:rStyle w:val="VerbatimChar"/>
        </w:rPr>
        <w:t xml:space="preserve">{caption="Ausführen des "configure" Befehls\label{jibe_configure_listing}" .bash} $ php jibe.phar configure Server base URL: http://symcloud.lo Client-ID: 9_1442hepr9cpw8wg8s0o40s8gc084wo8ogso8wogowookw8k0sg Client-Secret: 4xvv8pn29zgoccos0c4g4sokw0ok0sgkgkso04408k0ckosk0c Username: admin Password:</w:t>
      </w:r>
    </w:p>
    <w:p>
      <w:r>
        <w:t xml:space="preserve">Im Listing</w:t>
      </w:r>
      <w:r>
        <w:t xml:space="preserve"> </w:t>
      </w:r>
      <w:r>
        <w:t xml:space="preserve"> </w:t>
      </w:r>
      <w:r>
        <w:t xml:space="preserve">ist die Ausführung des Konfigurieren Befehls dargestellt. Argumente können sowohl an den Befehl angehängt werden oder durch den Befehl abgefragt werden. Eine Validierung von zum Beispiel der URL, kann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Access-Token von OAuth2. Dies ist notwendig, da die Access-Tokens über einen Ablaufzeitpunkt verfügen. Ist auch das Refresh-Token abgelaufen, muss der Befehl "configure" erneut ausgeführt werden.</w:t>
      </w:r>
    </w:p>
    <w:p>
      <w:pPr>
        <w:pStyle w:val="DefinitionTerm"/>
      </w:pPr>
      <w:r>
        <w:t xml:space="preserve">status</w:t>
      </w:r>
    </w:p>
    <w:p>
      <w:pPr>
        <w:pStyle w:val="Definition"/>
      </w:pPr>
      <w:r>
        <w:t xml:space="preserve">Gibt den aktuellen Status des Access-Token auf der Konsole aus. Dieses Kommando wird standardmäßig aufgerufen, wenn kein anderes Kommando angegeben wurde.</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 "CommandQueue" (siehe Abbildung</w:t>
      </w:r>
      <w:r>
        <w:t xml:space="preserve"> </w:t>
      </w:r>
      <w:r>
        <w:t xml:space="preserve">). Sie sammelt alle nötigen Kommandos ein und führt sie nacheinander aus. Diese "Queue" ist nach dem "Command-Pattern" entworfen. Folgende Befehle können dadurch aufgerufen werden:</w:t>
      </w:r>
    </w:p>
    <w:p>
      <w:pPr>
        <w:pStyle w:val="DefinitionTerm"/>
      </w:pPr>
      <w:r>
        <w:t xml:space="preserve">Upload</w:t>
      </w:r>
    </w:p>
    <w:p>
      <w:pPr>
        <w:pStyle w:val="Definition"/>
      </w:pPr>
      <w:r>
        <w:t xml:space="preserve">Eine neue Datei auf den Server hochladen.</w:t>
      </w:r>
    </w:p>
    <w:p>
      <w:pPr>
        <w:pStyle w:val="DefinitionTerm"/>
      </w:pPr>
      <w:r>
        <w:t xml:space="preserve">Download</w:t>
      </w:r>
    </w:p>
    <w:p>
      <w:pPr>
        <w:pStyle w:val="Definition"/>
      </w:pPr>
      <w:r>
        <w:t xml:space="preserve">Die angegebene Datei wird vom Server heruntergeladen und lokal an gespeichert.</w:t>
      </w:r>
    </w:p>
    <w:p>
      <w:pPr>
        <w:pStyle w:val="DefinitionTerm"/>
      </w:pPr>
      <w:r>
        <w:t xml:space="preserve">DeleteServer</w:t>
      </w:r>
    </w:p>
    <w:p>
      <w:pPr>
        <w:pStyle w:val="Definition"/>
      </w:pPr>
      <w:r>
        <w:t xml:space="preserve">Die Datei wird auf dem Server gelöscht.</w:t>
      </w:r>
    </w:p>
    <w:p>
      <w:pPr>
        <w:pStyle w:val="DefinitionTerm"/>
      </w:pPr>
      <w:r>
        <w:t xml:space="preserve">DeleteLocal</w:t>
      </w:r>
    </w:p>
    <w:p>
      <w:pPr>
        <w:pStyle w:val="Definition"/>
      </w:pPr>
      <w:r>
        <w:t xml:space="preserve">Die Lokale Datei wird gelöscht.</w:t>
      </w:r>
    </w:p>
    <w:p>
      <w:r>
        <w:t xml:space="preserve">Aus diesen vier Kommandos lässt sich nun ein kompletter Synchronisierungsvorgang abbilden.</w:t>
      </w:r>
    </w:p>
    <w:p>
      <w:pPr>
        <w:pStyle w:val="Heading3"/>
      </w:pPr>
      <w:bookmarkStart w:id="147" w:name="abläufe"/>
      <w:bookmarkEnd w:id="14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r>
        <w:rPr>
          <w:b/>
        </w:rPr>
        <w:t xml:space="preserve">TODOs ende</w:t>
      </w:r>
    </w:p>
    <w:p>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r>
        <w:t xml:space="preserve">Das bedeutet, dass sich sowohl die Serverdatei als auch die lokale Kopie geändert haben. Dadurch entsteht ein Konflikt, der aufgelöst werden muss. Das Auflösen solcher Konflikte ist nicht Teil dieser Arbeit, er wird allerdings im Kapitel</w:t>
      </w:r>
      <w:r>
        <w:t xml:space="preserve"> </w:t>
      </w:r>
      <w:r>
        <w:t xml:space="preserve"> </w:t>
      </w:r>
      <w:r>
        <w:t xml:space="preserve">kurz behandelt.</w:t>
      </w:r>
    </w:p>
    <w:p>
      <w:pPr>
        <w:pStyle w:val="Heading3"/>
      </w:pPr>
      <w:bookmarkStart w:id="148" w:name="zusammenfassung-8"/>
      <w:bookmarkEnd w:id="148"/>
      <w:r>
        <w:t xml:space="preserve">Zusammenfassung</w:t>
      </w:r>
    </w:p>
    <w:p>
      <w:r>
        <w:t xml:space="preserve">Der Synchronisierungsclient ist ein Beispiel dafür, wie die Rest-API von anderen Applikationen verwendet werden kann, um die Daten aus Symcloud zu verwenden. Es wären viele verschiedene Anwendungsfälle denkbar.</w:t>
      </w:r>
    </w:p>
    <w:p>
      <w:r>
        <w:t xml:space="preserve">In diesem Beispiel wurde auch die Komplexität des Synchronisierungsprozesses durchleuchtet und eine Lösung geschaffen, um schnell und effizient einen Ordner mit Symcloud zu synchronisieren.</w:t>
      </w:r>
    </w:p>
    <w:p>
      <w:pPr>
        <w:pStyle w:val="Heading2"/>
      </w:pPr>
      <w:bookmarkStart w:id="149" w:name="zusammenfassung-9"/>
      <w:bookmarkEnd w:id="149"/>
      <w:r>
        <w:t xml:space="preserve">Zusammenfassung</w:t>
      </w:r>
    </w:p>
    <w:p>
      <w:r>
        <w:rPr>
          <w:b/>
        </w:rPr>
        <w:t xml:space="preserve">TODO Zusammenfassung Kapitel Implementierung</w:t>
      </w:r>
    </w:p>
    <w:p>
      <w:pPr>
        <w:pStyle w:val="Heading1"/>
      </w:pPr>
      <w:bookmarkStart w:id="150" w:name="ergebnisse"/>
      <w:bookmarkEnd w:id="150"/>
      <w:r>
        <w:t xml:space="preserve">Ergebnisse</w:t>
      </w:r>
    </w:p>
    <w:p>
      <w:pPr>
        <w:pStyle w:val="Heading1"/>
      </w:pPr>
      <w:bookmarkStart w:id="151" w:name="ausblick"/>
      <w:bookmarkEnd w:id="151"/>
      <w:r>
        <w:t xml:space="preserve">Ausblick</w:t>
      </w:r>
    </w:p>
    <w:p>
      <w:r>
        <w:t xml:space="preserve">Welche Teile des Konzeptes konnten umgesetzt werden und wie gut funktionieren diese?</w:t>
      </w:r>
    </w:p>
    <w:p>
      <w:pPr>
        <w:pStyle w:val="Heading2"/>
      </w:pPr>
      <w:bookmarkStart w:id="152" w:name="konfliktbehandlung"/>
      <w:bookmarkEnd w:id="152"/>
      <w:r>
        <w:t xml:space="preserve">Konfliktbehandlung</w:t>
      </w:r>
    </w:p>
    <w:p>
      <w:pPr>
        <w:pStyle w:val="Heading2"/>
      </w:pPr>
      <w:bookmarkStart w:id="153" w:name="verteilung-von-blobs"/>
      <w:bookmarkEnd w:id="153"/>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4" w:name="konsistenz"/>
      <w:bookmarkEnd w:id="154"/>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55">
        <w:r>
          <w:rPr>
            <w:rStyle w:val="Link"/>
          </w:rPr>
          <w:t xml:space="preserve">http://docs.mongodb.org/manual/core/replica-set-oplog/</w:t>
        </w:r>
      </w:hyperlink>
    </w:p>
    <w:p>
      <w:pPr>
        <w:pStyle w:val="Heading2"/>
      </w:pPr>
      <w:bookmarkStart w:id="156" w:name="datei-chunking"/>
      <w:bookmarkEnd w:id="156"/>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57" w:name="lock-mechanismen"/>
      <w:bookmarkEnd w:id="157"/>
      <w:r>
        <w:t xml:space="preserve">Lock-Mechanismen</w:t>
      </w:r>
    </w:p>
    <w:p>
      <w:r>
        <w:rPr>
          <w:b/>
        </w:rPr>
        <w:t xml:space="preserve">TODO kurze Beschreibung und Ansätze</w:t>
      </w:r>
    </w:p>
    <w:p>
      <w:pPr>
        <w:pStyle w:val="Heading1"/>
      </w:pPr>
      <w:bookmarkStart w:id="158" w:name="anhang"/>
      <w:bookmarkEnd w:id="158"/>
      <w:r>
        <w:t xml:space="preserve">Anhang</w:t>
      </w:r>
    </w:p>
    <w:p>
      <w:pPr>
        <w:pStyle w:val="Heading2"/>
      </w:pPr>
      <w:bookmarkStart w:id="159" w:name="amazon-s3-system-spezifische-metadaten"/>
      <w:bookmarkEnd w:id="159"/>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0" w:name="installation"/>
      <w:bookmarkEnd w:id="160"/>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1" w:name="lokal"/>
      <w:bookmarkEnd w:id="161"/>
      <w:r>
        <w:t xml:space="preserve">Lokal</w:t>
      </w:r>
    </w:p>
    <w:p>
      <w:pPr>
        <w:pStyle w:val="Heading3"/>
      </w:pPr>
      <w:bookmarkStart w:id="162" w:name="verteilt"/>
      <w:bookmarkEnd w:id="162"/>
      <w:r>
        <w:t xml:space="preserve">Verteilt</w:t>
      </w:r>
    </w:p>
    <w:p>
      <w:pPr>
        <w:pStyle w:val="Heading1"/>
      </w:pPr>
      <w:bookmarkStart w:id="163" w:name="literaturverzeichnis"/>
      <w:bookmarkEnd w:id="163"/>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64">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65">
        <w:r>
          <w:rPr>
            <w:rStyle w:val="Link"/>
          </w:rPr>
          <w:t xml:space="preserve">https://birrell.org/andrew/papers/UniversalFileServer.pdf</w:t>
        </w:r>
      </w:hyperlink>
      <w:r>
        <w:t xml:space="preserve">.</w:t>
      </w:r>
    </w:p>
    <w:p>
      <w:pPr>
        <w:pStyle w:val="Bibliography"/>
      </w:pPr>
      <w:r>
        <w:t xml:space="preserve">Chacon, S. 2009.</w:t>
      </w:r>
      <w:r>
        <w:t xml:space="preserve"> </w:t>
      </w:r>
      <w:r>
        <w:rPr>
          <w:i/>
        </w:rPr>
        <w:t xml:space="preserve">Pro Git</w:t>
      </w:r>
      <w:r>
        <w:t xml:space="preserve">. Expert’s Voice in Computer software Development. Apress.</w:t>
      </w:r>
      <w:r>
        <w:t xml:space="preserve"> </w:t>
      </w:r>
      <w:hyperlink r:id="rId166">
        <w:r>
          <w:rPr>
            <w:rStyle w:val="Link"/>
          </w:rPr>
          <w:t xml:space="preserve">https://books.google.at/books?id=HrTOa8-HPRYC</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67">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68">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69">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70">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Keepers, Brandon. 2012. “Git: The NoSQL Database.”</w:t>
      </w:r>
      <w:r>
        <w:t xml:space="preserve"> </w:t>
      </w:r>
      <w:hyperlink r:id="rId171">
        <w:r>
          <w:rPr>
            <w:rStyle w:val="Link"/>
          </w:rPr>
          <w:t xml:space="preserve">http://devslovebacon.com/conferences/bacon-2012/talks/git-the-nosql-database</w:t>
        </w:r>
      </w:hyperlink>
      <w:r>
        <w:t xml:space="preserve">.</w:t>
      </w:r>
    </w:p>
    <w:p>
      <w:pPr>
        <w:pStyle w:val="Bibliography"/>
      </w:pPr>
      <w:r>
        <w:t xml:space="preserve">“OAuth – Wikipedia.” 2015. http://de.wikipedia.org/wiki/OAuth.</w:t>
      </w:r>
    </w:p>
    <w:p>
      <w:pPr>
        <w:pStyle w:val="Bibliography"/>
      </w:pPr>
      <w:r>
        <w:t xml:space="preserve">“Object Key and Metadata.” 2015.</w:t>
      </w:r>
      <w:r>
        <w:t xml:space="preserve"> </w:t>
      </w:r>
      <w:hyperlink r:id="rId172">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73">
        <w:r>
          <w:rPr>
            <w:rStyle w:val="Link"/>
          </w:rPr>
          <w:t xml:space="preserve">https://owncloud.com/de/owncloud-architecture-overview</w:t>
        </w:r>
      </w:hyperlink>
      <w:r>
        <w:t xml:space="preserve">.</w:t>
      </w:r>
    </w:p>
    <w:p>
      <w:pPr>
        <w:pStyle w:val="Bibliography"/>
      </w:pPr>
      <w:r>
        <w:t xml:space="preserve">“Owncloud Features.” 2015.</w:t>
      </w:r>
      <w:r>
        <w:t xml:space="preserve"> </w:t>
      </w:r>
      <w:hyperlink r:id="rId174">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75">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76">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77">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78">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79">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55">
    <w:p>
      <w:pPr>
        <w:pStyle w:val="FootnoteText"/>
      </w:pPr>
      <w:r>
        <w:rPr>
          <w:rStyle w:val="FootnoteRef"/>
        </w:rPr>
        <w:footnoteRef/>
      </w:r>
      <w:r>
        <w:t xml:space="preserve">Amazons Zuständiger für die Zusammenarbeit zwischen den Partner</w:t>
      </w:r>
    </w:p>
  </w:footnote>
  <w:footnote w:id="62">
    <w:p>
      <w:pPr>
        <w:pStyle w:val="FootnoteText"/>
      </w:pPr>
      <w:r>
        <w:rPr>
          <w:rStyle w:val="FootnoteRef"/>
        </w:rPr>
        <w:footnoteRef/>
      </w:r>
      <w:r>
        <w:t xml:space="preserve">Remote Procedure Calls</w:t>
      </w:r>
      <w:r>
        <w:t xml:space="preserve"> </w:t>
      </w:r>
      <w:hyperlink r:id="rId63">
        <w:r>
          <w:rPr>
            <w:rStyle w:val="Link"/>
          </w:rPr>
          <w:t xml:space="preserve">http://www.cs.cf.ac.uk/Dave/C/node33.html</w:t>
        </w:r>
      </w:hyperlink>
    </w:p>
  </w:footnote>
  <w:footnote w:id="66">
    <w:p>
      <w:pPr>
        <w:pStyle w:val="FootnoteText"/>
      </w:pPr>
      <w:r>
        <w:rPr>
          <w:rStyle w:val="FootnoteRef"/>
        </w:rPr>
        <w:footnoteRef/>
      </w:r>
      <w:hyperlink r:id="rId67">
        <w:r>
          <w:rPr>
            <w:rStyle w:val="Link"/>
          </w:rPr>
          <w:t xml:space="preserve">http://tools.ietf.org/html/rfc5280</w:t>
        </w:r>
      </w:hyperlink>
    </w:p>
  </w:footnote>
  <w:footnote w:id="74">
    <w:p>
      <w:pPr>
        <w:pStyle w:val="FootnoteText"/>
      </w:pPr>
      <w:r>
        <w:rPr>
          <w:rStyle w:val="FootnoteRef"/>
        </w:rPr>
        <w:footnoteRef/>
      </w:r>
      <w:hyperlink r:id="rId75">
        <w:r>
          <w:rPr>
            <w:rStyle w:val="Link"/>
          </w:rPr>
          <w:t xml:space="preserve">https://www.openhub.net/p/wizbit</w:t>
        </w:r>
      </w:hyperlink>
    </w:p>
  </w:footnote>
  <w:footnote w:id="77">
    <w:p>
      <w:pPr>
        <w:pStyle w:val="FootnoteText"/>
      </w:pPr>
      <w:r>
        <w:rPr>
          <w:rStyle w:val="FootnoteRef"/>
        </w:rPr>
        <w:footnoteRef/>
      </w:r>
      <w:hyperlink r:id="rId49">
        <w:r>
          <w:rPr>
            <w:rStyle w:val="Link"/>
          </w:rPr>
          <w:t xml:space="preserve">http://docs.mongodb.org/manual/core/gridfs/</w:t>
        </w:r>
      </w:hyperlink>
    </w:p>
  </w:footnote>
  <w:footnote w:id="86">
    <w:p>
      <w:pPr>
        <w:pStyle w:val="FootnoteText"/>
      </w:pPr>
      <w:r>
        <w:rPr>
          <w:rStyle w:val="FootnoteRef"/>
        </w:rPr>
        <w:footnoteRef/>
      </w:r>
      <w:hyperlink r:id="rId87">
        <w:r>
          <w:rPr>
            <w:rStyle w:val="Link"/>
          </w:rPr>
          <w:t xml:space="preserve">http://git-scm.com/</w:t>
        </w:r>
      </w:hyperlink>
    </w:p>
  </w:footnote>
  <w:footnote w:id="92">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6">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hyperlink r:id="rId106">
        <w:r>
          <w:rPr>
            <w:rStyle w:val="Link"/>
          </w:rPr>
          <w:t xml:space="preserve">http://symfony.com/</w:t>
        </w:r>
      </w:hyperlink>
    </w:p>
  </w:footnote>
  <w:footnote w:id="107">
    <w:p>
      <w:pPr>
        <w:pStyle w:val="FootnoteText"/>
      </w:pPr>
      <w:r>
        <w:rPr>
          <w:rStyle w:val="FootnoteRef"/>
        </w:rPr>
        <w:footnoteRef/>
      </w:r>
      <w:hyperlink r:id="rId108">
        <w:r>
          <w:rPr>
            <w:rStyle w:val="Link"/>
          </w:rPr>
          <w:t xml:space="preserve">http://www.sulu.io</w:t>
        </w:r>
      </w:hyperlink>
    </w:p>
  </w:footnote>
  <w:footnote w:id="109">
    <w:p>
      <w:pPr>
        <w:pStyle w:val="FootnoteText"/>
      </w:pPr>
      <w:r>
        <w:rPr>
          <w:rStyle w:val="FootnoteRef"/>
        </w:rPr>
        <w:footnoteRef/>
      </w:r>
      <w:hyperlink r:id="rId110">
        <w:r>
          <w:rPr>
            <w:rStyle w:val="Link"/>
          </w:rPr>
          <w:t xml:space="preserve">http://www.massiveart.com/de</w:t>
        </w:r>
      </w:hyperlink>
    </w:p>
  </w:footnote>
  <w:footnote w:id="122">
    <w:p>
      <w:pPr>
        <w:pStyle w:val="FootnoteText"/>
      </w:pPr>
      <w:r>
        <w:rPr>
          <w:rStyle w:val="FootnoteRef"/>
        </w:rPr>
        <w:footnoteRef/>
      </w:r>
      <w:hyperlink r:id="rId123">
        <w:r>
          <w:rPr>
            <w:rStyle w:val="Link"/>
          </w:rPr>
          <w:t xml:space="preserve">http://framework.zend.com/manual/1.12/de/zend.search.lucene.html</w:t>
        </w:r>
      </w:hyperlink>
    </w:p>
  </w:footnote>
  <w:footnote w:id="129">
    <w:p>
      <w:pPr>
        <w:pStyle w:val="FootnoteText"/>
      </w:pPr>
      <w:r>
        <w:rPr>
          <w:rStyle w:val="FootnoteRef"/>
        </w:rPr>
        <w:footnoteRef/>
      </w:r>
      <w:hyperlink r:id="rId130">
        <w:r>
          <w:rPr>
            <w:rStyle w:val="Link"/>
          </w:rPr>
          <w:t xml:space="preserve">http://restcookbook.com/</w:t>
        </w:r>
      </w:hyperlink>
    </w:p>
  </w:footnote>
  <w:footnote w:id="139">
    <w:p>
      <w:pPr>
        <w:pStyle w:val="FootnoteText"/>
      </w:pPr>
      <w:r>
        <w:rPr>
          <w:rStyle w:val="FootnoteRef"/>
        </w:rPr>
        <w:footnoteRef/>
      </w:r>
      <w:hyperlink r:id="rId140">
        <w:r>
          <w:rPr>
            <w:rStyle w:val="Link"/>
          </w:rPr>
          <w:t xml:space="preserve">http://symfony.com/doc/current/components/console/introduction.html</w:t>
        </w:r>
      </w:hyperlink>
    </w:p>
  </w:footnote>
  <w:footnote w:id="141">
    <w:p>
      <w:pPr>
        <w:pStyle w:val="FootnoteText"/>
      </w:pPr>
      <w:r>
        <w:rPr>
          <w:rStyle w:val="FootnoteRef"/>
        </w:rPr>
        <w:footnoteRef/>
      </w:r>
      <w:hyperlink r:id="rId142">
        <w:r>
          <w:rPr>
            <w:rStyle w:val="Link"/>
          </w:rPr>
          <w:t xml:space="preserve">http://php.net/manual/de/intro.phar.php</w:t>
        </w:r>
      </w:hyperlink>
    </w:p>
  </w:footnote>
  <w:footnote w:id="143">
    <w:p>
      <w:pPr>
        <w:pStyle w:val="FootnoteText"/>
      </w:pPr>
      <w:r>
        <w:rPr>
          <w:rStyle w:val="FootnoteRef"/>
        </w:rPr>
        <w:footnoteRef/>
      </w:r>
      <w:hyperlink r:id="rId144">
        <w:r>
          <w:rPr>
            <w:rStyle w:val="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7e0530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af2751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c07d5a91"/>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723a4ff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168" Target="http://books.google.at/books?id=FfsQAAAACAAJ" TargetMode="External" /><Relationship Type="http://schemas.openxmlformats.org/officeDocument/2006/relationships/hyperlink" Id="rId171" Target="http://devslovebacon.com/conferences/bacon-2012/talks/git-the-nosql-database" TargetMode="External" /><Relationship Type="http://schemas.openxmlformats.org/officeDocument/2006/relationships/hyperlink" Id="rId170" Target="http://docs.aws.amazon.com/AmazonS3/latest/dev/Introduction.html" TargetMode="External" /><Relationship Type="http://schemas.openxmlformats.org/officeDocument/2006/relationships/hyperlink" Id="rId172" Target="http://docs.aws.amazon.com/AmazonS3/latest/dev/UsingMetadata.html" TargetMode="External" /><Relationship Type="http://schemas.openxmlformats.org/officeDocument/2006/relationships/hyperlink" Id="rId177"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5" Target="https://birrell.org/andrew/papers/UniversalFileServer.pdf" TargetMode="External" /><Relationship Type="http://schemas.openxmlformats.org/officeDocument/2006/relationships/hyperlink" Id="rId166" Target="https://books.google.at/books?id=HrTOa8-HPRYC" TargetMode="External" /><Relationship Type="http://schemas.openxmlformats.org/officeDocument/2006/relationships/hyperlink" Id="rId176"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78"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3"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4"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69" Target="https://wiki.diasporafoundation.org/Federation_protocol_overview" TargetMode="External" /><Relationship Type="http://schemas.openxmlformats.org/officeDocument/2006/relationships/hyperlink" Id="rId175" Target="https://www.bitblokes.de/2014/07/server-2-server-sharing-mit-der-owncloud-7-schritt-fuer-schritt" TargetMode="External" /><Relationship Type="http://schemas.openxmlformats.org/officeDocument/2006/relationships/hyperlink" Id="rId167" Target="https://www.dropbox.com/developers/core/docs" TargetMode="External" /><Relationship Type="http://schemas.openxmlformats.org/officeDocument/2006/relationships/hyperlink" Id="rId179" Target="https://www.dropbox.com/help/1968" TargetMode="External" /><Relationship Type="http://schemas.openxmlformats.org/officeDocument/2006/relationships/hyperlink" Id="rId164" Target="https://www.google.com/patents/US7962452"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68" Target="http://books.google.at/books?id=FfsQAAAACAAJ" TargetMode="External" /><Relationship Type="http://schemas.openxmlformats.org/officeDocument/2006/relationships/hyperlink" Id="rId171" Target="http://devslovebacon.com/conferences/bacon-2012/talks/git-the-nosql-database" TargetMode="External" /><Relationship Type="http://schemas.openxmlformats.org/officeDocument/2006/relationships/hyperlink" Id="rId170" Target="http://docs.aws.amazon.com/AmazonS3/latest/dev/Introduction.html" TargetMode="External" /><Relationship Type="http://schemas.openxmlformats.org/officeDocument/2006/relationships/hyperlink" Id="rId172" Target="http://docs.aws.amazon.com/AmazonS3/latest/dev/UsingMetadata.html" TargetMode="External" /><Relationship Type="http://schemas.openxmlformats.org/officeDocument/2006/relationships/hyperlink" Id="rId177"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5" Target="https://birrell.org/andrew/papers/UniversalFileServer.pdf" TargetMode="External" /><Relationship Type="http://schemas.openxmlformats.org/officeDocument/2006/relationships/hyperlink" Id="rId166" Target="https://books.google.at/books?id=HrTOa8-HPRYC" TargetMode="External" /><Relationship Type="http://schemas.openxmlformats.org/officeDocument/2006/relationships/hyperlink" Id="rId176"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78"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3"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4"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69" Target="https://wiki.diasporafoundation.org/Federation_protocol_overview" TargetMode="External" /><Relationship Type="http://schemas.openxmlformats.org/officeDocument/2006/relationships/hyperlink" Id="rId175" Target="https://www.bitblokes.de/2014/07/server-2-server-sharing-mit-der-owncloud-7-schritt-fuer-schritt" TargetMode="External" /><Relationship Type="http://schemas.openxmlformats.org/officeDocument/2006/relationships/hyperlink" Id="rId167" Target="https://www.dropbox.com/developers/core/docs" TargetMode="External" /><Relationship Type="http://schemas.openxmlformats.org/officeDocument/2006/relationships/hyperlink" Id="rId179" Target="https://www.dropbox.com/help/1968" TargetMode="External" /><Relationship Type="http://schemas.openxmlformats.org/officeDocument/2006/relationships/hyperlink" Id="rId164" Target="https://www.google.com/patents/US7962452"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