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 Installation and User Guide,” Kapitel 2.4)</w:t>
      </w:r>
      <w:r>
        <w:t xml:space="preserve">.</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 and Steen 2003, S. 333ff)</w:t>
      </w:r>
      <w:r>
        <w:t xml:space="preserve">.</w:t>
      </w:r>
    </w:p>
    <w:p>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 and Steen 2003, S. 333ff)</w:t>
      </w:r>
      <w:r>
        <w:t xml:space="preserve">.</w:t>
      </w:r>
    </w:p>
    <w:p>
      <w:r>
        <w:t xml:space="preserve">Damit ein Verbund von Servern die Konsistenz ihrer Daten gewährleisten kann, werden Konsistenzprotokolle eingesetzt. In XtreemFS wird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"StorageAdaper" bzw. über den "SearchAdapter", lassen sich die Speichermedien der Daten anpassen. Für eine einfache Installation reicht es die Daten direkt auf die Festplatte zu schreiben. Es ist allerdings auch denkbar die Daten in eine verteilte Datenbank wie Riak oder MongoDB zu schreiben, um die Datensicherheit zu erhöhen.</w:t>
      </w:r>
    </w:p>
    <w:p>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komplett entkoppelt vom eigentlichen System.</w:t>
      </w:r>
    </w:p>
    <w:p>
      <w:pPr>
        <w:pStyle w:val="Heading2"/>
      </w:pPr>
      <w:bookmarkStart w:id="83" w:name="datenmodell"/>
      <w:bookmarkEnd w:id="83"/>
      <w:r>
        <w:t xml:space="preserve">Datenmodell</w:t>
      </w:r>
    </w:p>
    <w:p>
      <w:r>
        <w:t xml:space="preserve">Das Datenmodell wurde speziell für Symcloud entwickelt, um seine Anforderungen zu erfüllen. Dabei wurde großen Wert darauf gelegt,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geändert. Bei der Änderung eines Objektes wird ein neues Objekt mit einem neuen Key erstellt.</w:t>
      </w:r>
    </w:p>
    <w:p>
      <w:pPr>
        <w:pStyle w:val="Heading4"/>
      </w:pPr>
      <w:bookmarkStart w:id="89" w:name="objekt-typen"/>
      <w:bookmarkEnd w:id="89"/>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p>
      <w:pPr>
        <w:pStyle w:val="TableCaption"/>
      </w:pPr>
      <w:r>
        <w:t xml:space="preserve">GIT commit Eigenschaften</w:t>
      </w:r>
    </w:p>
    <w:tbl>
      <w:tblPr>
        <w:tblStyle w:val="TableNormal"/>
        <w:tblW w:type="pct" w:w="0.0"/>
        <w:tblCaption w:val="GIT commit Eigenschaften"/>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7" w:name="datenbank"/>
      <w:bookmarkEnd w:id="97"/>
      <w:r>
        <w:t xml:space="preserve">Datenbank</w:t>
      </w:r>
    </w:p>
    <w:p>
      <w:r>
        <w:t xml:space="preserve">Die Datenbank ist eine einfache "Hash-Value" Datenbank, der mithilfe des "Replicators" zu einer verteilen Datenbank erweitert wird. Die Datenbank serialisiert die Objekte und speichert sie mithilfe eines Adapters auf einem bestimmten Speichermedium. Dieses Speichermedium kann mithilfe des Adapters verschiedene Ziele besitzen. Zusätzlich spezifiziert jeder Objekt-Typ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es auf allen Servern erstellt, die mindestens einen Benutzer registriert haben, der Zugriff auf dieses Objekt besitzt. Dabei gibt es keine Maximalanzahl der Backup-Server. Dieses Verfahren, wird verwendet für kleinere Objekte, die zum Beispiel Datei- bzw. Ordnerstrukturen enthalten. Die Verteilung kann sofort ausgeführt werden oder die Objekte werden "Lazy" beim ersten Zugriff jedes Servers nachgeladen. Der Vorteil der "Lazy" Technik ist es, dass die Server nicht immer erreichbar sein müssen, allerdings kann es zu Inkonsistenzen kommen, wenn ein Server nicht nach die neuesten Daten verwendet, bevor er Änderungen durchführt.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verwendet den Typ "Permission". Was bedeutet, dass jeder Server, der Zugriff auf diesen Dateibaum besitzt, das Objekt, in seine Datenbank ablegen kann. Im Gegensatz dazu, werden Referenzen als Stub-Objekte im Netzwerk verteilt. Diese werden dann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und diese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7"/>
      </w:r>
      <w:r>
        <w:t xml:space="preserve"> </w:t>
      </w:r>
      <w:r>
        <w:t xml:space="preserve">der Vorarlberger Firma MASSIVE ART WebServices</w:t>
      </w:r>
      <w:r>
        <w:rPr>
          <w:rStyle w:val="FootnoteRef"/>
        </w:rPr>
        <w:footnoteReference w:id="109"/>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Strategie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SpeicherAdapter nicht vorhanden sind. Dies erkennt der Replikator und beginnt alle bekannten Servern anzufragen, ob sie dieses Objekt kennen. Über einen ähnlichen Mechanismus kann der Replikationstyp "stub" realisiert werden. Der einzige unterschied ist, dass die Backupserver den Primary-Server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Models anhand seiner Klasse aus dem "MetadataManager" geladen und anhand dieser Informationen serialisiert. Diese Daten werden mithilfe des "EventDispatcher", aus dem Symfony2 Framework, in einem Event zugänglich gemacht. Die Eventhandler haben, die Möglichkeit die Daten zu bearbeiten und Strategien zu dem Model zu erstellen. Abschließend werden die Daten zuerst mithilfe des "StorageAdapter" persistiert und dann mithilfe des "SearchAdapter" in den Suchmaschinenindex aufgenommen.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mithilfe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die Objekte ermittelt.</w:t>
      </w:r>
    </w:p>
    <w:p>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Backup-Server per Zufall aus der Liste der vorhandenen Server ausgewählt und der aktuelle Server als Primäry-Server markiert. Anhand der Backup-Server Liste werden die Daten an die Server verteilt. Dazu wird der Reihe nach die Daten an die Server versendet und auf die Bestätigung gewartet. Damit wird der Konsistente Zustand der Datenbank verifiziert. Abschließend wird die erstellte Strategie (policy) zu den Daten hinzugefügt, damit sie mit dem Daten persistiert wird und später wider 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nur als Backup-Server markiert. Dieser Server kennt die genaue Adresse des Primary-Server und fügt diese in den Response ein.</w:t>
      </w:r>
    </w:p>
    <w:p>
      <w:pPr>
        <w:pStyle w:val="DefinitionTerm"/>
      </w:pPr>
      <w:r>
        <w:t xml:space="preserve">403</w:t>
      </w:r>
    </w:p>
    <w:p>
      <w:pPr>
        <w:pStyle w:val="Definition"/>
      </w:pPr>
      <w:r>
        <w:t xml:space="preserve">Das Objekt ist bekannt und der angefragte Server als Primary-Server für dieses Objekt markiert. Der Server überprüft die Zugangsberechtigung. Diese sind aber nicht gegeben und daher wird der Zugriff verweigert. Der Replicator erkennt daher, dass der Benutzer nicht Berechtigt ist die Daten zu lesen.</w:t>
      </w:r>
    </w:p>
    <w:p>
      <w:pPr>
        <w:pStyle w:val="DefinitionTerm"/>
      </w:pPr>
      <w:r>
        <w:t xml:space="preserve">200</w:t>
      </w:r>
    </w:p>
    <w:p>
      <w:pPr>
        <w:pStyle w:val="Definition"/>
      </w:pPr>
      <w:r>
        <w:t xml:space="preserve">Wie bei 403, ist der angefragte Server der Primary-Server,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dessen,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Daher wird zum Beispiel für den Dateisystem-Adapter für jeden dieser Kontexte ein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Context gearbeitet wird. Über den Suchbefehl, können alle oder bestimmte Kontexte durchsucht werden. Als Prototypen Implementierung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Models zu kommunizieren.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für eine einfache und effiziente Implementierung, des in Kapitel</w:t>
      </w:r>
      <w:r>
        <w:t xml:space="preserve"> </w:t>
      </w:r>
      <w:r>
        <w:t xml:space="preserve">, beschriebenen Konzeptes. Es baut auf eine erweiterbare Hash-Orientierte Datenbank auf. Diese Datenbank wird mittels eines Replikator Eventhandlers zu einer verteilten Datenbank. Dabei hat die Datenbank keine Ahnung von dem verwendeten Protokoll.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beim Primary-Server angefragt werden müssen und nur für die Datensicherheit an Backup-Server verteilt werden.</w:t>
      </w:r>
    </w:p>
    <w:p>
      <w:pPr>
        <w:pStyle w:val="Heading2"/>
      </w:pPr>
      <w:bookmarkStart w:id="126" w:name="plattform"/>
      <w:bookmarkEnd w:id="126"/>
      <w:r>
        <w:t xml:space="preserve">Plattform</w:t>
      </w:r>
    </w:p>
    <w:p>
      <w:r>
        <w:t xml:space="preserve">Die Plattform bzw. die Anwendung in die Bibliothek eingebettet wird, stellt dem Kern die Rest-API und die Authentifizierung zur Verfügung. Zusätzlich beinhaltet sie die Oberfläche um mit den Daten im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Applikationen sogar dem richtigen Benutzer zuzuordnen. Dies wurde allerdings in der ersten Implementierungsphase nicht umgesetzt.</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Aufgrund dessen, dass Symcloud den Replikator verwendet, implementiert die Plattform den "ApiAdapter" um die Schnittstelle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es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einem string, der als Autorisierung für einen bestimmten Client ausgestellt wurde. Sie repräsentieren die Bereiche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 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Eine andere Möglichkeit wäre es, dass die beiden auf verschiedenen Server zu betreiben. Ein Autorisierungsserver kann auch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7" w:name="kommunikation"/>
      <w:bookmarkEnd w:id="147"/>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48"/>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50" w:name="abläufe"/>
      <w:bookmarkEnd w:id="150"/>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51" w:name="installation"/>
      <w:bookmarkEnd w:id="151"/>
      <w:r>
        <w:t xml:space="preserve">Installation</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08"/>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09"/>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09"/>
          <w:ilvl w:val="0"/>
        </w:numPr>
      </w:pPr>
      <w:r>
        <w:t xml:space="preserve">Um eine Synchronisierung durchzuführen reicht es folgendes Kommando auszuführen:</w:t>
      </w:r>
      <w:r>
        <w:t xml:space="preserve"> </w:t>
      </w:r>
      <w:r>
        <w:rPr>
          <w:rStyle w:val="VerbatimChar"/>
        </w:rPr>
        <w:t xml:space="preserve">php jibe.phar sync</w:t>
      </w:r>
    </w:p>
    <w:p>
      <w:pPr>
        <w:pStyle w:val="Heading3"/>
      </w:pPr>
      <w:bookmarkStart w:id="152" w:name="zusammenfassung-8"/>
      <w:bookmarkEnd w:id="152"/>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53" w:name="zusammenfassung-9"/>
      <w:bookmarkEnd w:id="153"/>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0"/>
          <w:ilvl w:val="0"/>
        </w:numPr>
      </w:pPr>
      <w:r>
        <w:t xml:space="preserve">Bucket 1 hat folgende Policies:</w:t>
      </w:r>
    </w:p>
    <w:p>
      <w:pPr>
        <w:pStyle w:val="Compact"/>
        <w:numPr>
          <w:numId w:val="1010"/>
          <w:ilvl w:val="0"/>
        </w:numPr>
      </w:pPr>
      <w:r>
        <w:t xml:space="preserve">SC1 User1 gehört der Bucket</w:t>
      </w:r>
    </w:p>
    <w:p>
      <w:pPr>
        <w:pStyle w:val="Compact"/>
        <w:numPr>
          <w:numId w:val="1010"/>
          <w:ilvl w:val="0"/>
        </w:numPr>
      </w:pPr>
      <w:r>
        <w:t xml:space="preserve">SC2 User2 hat Leserechte</w:t>
      </w:r>
    </w:p>
    <w:p>
      <w:pPr>
        <w:pStyle w:val="Compact"/>
        <w:numPr>
          <w:numId w:val="1010"/>
          <w:ilvl w:val="0"/>
        </w:numPr>
      </w:pPr>
      <w:r>
        <w:t xml:space="preserve">SC3 User3 hat Lese- und Schreibrechte</w:t>
      </w:r>
    </w:p>
    <w:p>
      <w:r>
        <w:t xml:space="preserve">Der Replikator wird nun folgendermaßen vorgehen.</w:t>
      </w:r>
    </w:p>
    <w:p>
      <w:pPr>
        <w:pStyle w:val="Compact"/>
        <w:numPr>
          <w:numId w:val="1011"/>
          <w:ilvl w:val="0"/>
        </w:numPr>
      </w:pPr>
      <w:r>
        <w:t xml:space="preserve">Die Metadaten des Buckets werden auf die Server SC2 und SC3 repliciert.</w:t>
      </w:r>
    </w:p>
    <w:p>
      <w:pPr>
        <w:pStyle w:val="Compact"/>
        <w:numPr>
          <w:numId w:val="1011"/>
          <w:ilvl w:val="0"/>
        </w:numPr>
      </w:pPr>
      <w:r>
        <w:t xml:space="preserve">Die Nutzdaten (aktuellste Version) des Buckets werden auf den Server SC3 repliciert und aktuell gehalten.</w:t>
      </w:r>
    </w:p>
    <w:p>
      <w:pPr>
        <w:pStyle w:val="Compact"/>
        <w:numPr>
          <w:numId w:val="1011"/>
          <w:ilvl w:val="0"/>
        </w:numPr>
      </w:pPr>
      <w:r>
        <w:t xml:space="preserve">Beides wird automatisch bei Änderungen durchgeführt.</w:t>
      </w:r>
    </w:p>
    <w:p>
      <w:pPr>
        <w:pStyle w:val="Compact"/>
        <w:numPr>
          <w:numId w:val="1011"/>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1"/>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54" w:name="ergebnisse"/>
      <w:bookmarkEnd w:id="154"/>
      <w:r>
        <w:t xml:space="preserve">Ergebnisse</w:t>
      </w:r>
    </w:p>
    <w:p>
      <w:pPr>
        <w:pStyle w:val="Heading1"/>
      </w:pPr>
      <w:bookmarkStart w:id="155" w:name="ausblick"/>
      <w:bookmarkEnd w:id="155"/>
      <w:r>
        <w:t xml:space="preserve">Ausblick</w:t>
      </w:r>
    </w:p>
    <w:p>
      <w:r>
        <w:t xml:space="preserve">Welche Teile des Konzeptes konnten umgesetzt werden und wie gut funktionieren diese?</w:t>
      </w:r>
    </w:p>
    <w:p>
      <w:pPr>
        <w:pStyle w:val="Heading2"/>
      </w:pPr>
      <w:bookmarkStart w:id="156" w:name="konfliktbehandlung"/>
      <w:bookmarkEnd w:id="156"/>
      <w:r>
        <w:t xml:space="preserve">Konfliktbehandlung</w:t>
      </w:r>
    </w:p>
    <w:p>
      <w:pPr>
        <w:pStyle w:val="Heading2"/>
      </w:pPr>
      <w:bookmarkStart w:id="157" w:name="verteilung-von-blobs"/>
      <w:bookmarkEnd w:id="157"/>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8" w:name="konsistenz"/>
      <w:bookmarkEnd w:id="158"/>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9">
        <w:r>
          <w:rPr>
            <w:rStyle w:val="Link"/>
          </w:rPr>
          <w:t xml:space="preserve">http://docs.mongodb.org/manual/core/replica-set-oplog/</w:t>
        </w:r>
      </w:hyperlink>
    </w:p>
    <w:p>
      <w:pPr>
        <w:pStyle w:val="Heading2"/>
      </w:pPr>
      <w:bookmarkStart w:id="160" w:name="datei-chunking"/>
      <w:bookmarkEnd w:id="160"/>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1" w:name="lock-mechanismen"/>
      <w:bookmarkEnd w:id="161"/>
      <w:r>
        <w:t xml:space="preserve">Lock-Mechanismen</w:t>
      </w:r>
    </w:p>
    <w:p>
      <w:r>
        <w:rPr>
          <w:b/>
        </w:rPr>
        <w:t xml:space="preserve">TODO kurze Beschreibung und Ansätze</w:t>
      </w:r>
    </w:p>
    <w:p>
      <w:pPr>
        <w:pStyle w:val="Heading1"/>
      </w:pPr>
      <w:bookmarkStart w:id="162" w:name="anhang"/>
      <w:bookmarkEnd w:id="162"/>
      <w:r>
        <w:t xml:space="preserve">Anhang</w:t>
      </w:r>
    </w:p>
    <w:p>
      <w:pPr>
        <w:pStyle w:val="Heading2"/>
      </w:pPr>
      <w:bookmarkStart w:id="163" w:name="amazon-s3-system-spezifische-metadaten"/>
      <w:bookmarkEnd w:id="163"/>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4" w:name="installation-1"/>
      <w:bookmarkEnd w:id="164"/>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5" w:name="lokal"/>
      <w:bookmarkEnd w:id="165"/>
      <w:r>
        <w:t xml:space="preserve">Lokal</w:t>
      </w:r>
    </w:p>
    <w:p>
      <w:pPr>
        <w:pStyle w:val="Heading3"/>
      </w:pPr>
      <w:bookmarkStart w:id="166" w:name="verteilt"/>
      <w:bookmarkEnd w:id="166"/>
      <w:r>
        <w:t xml:space="preserve">Verteilt</w:t>
      </w:r>
    </w:p>
    <w:p>
      <w:pPr>
        <w:pStyle w:val="Heading1"/>
      </w:pPr>
      <w:bookmarkStart w:id="167" w:name="literaturverzeichnis"/>
      <w:bookmarkEnd w:id="167"/>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8">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9">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70">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71">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72">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3">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74">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5">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6">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7">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78">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79">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80">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81">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 w:id="148">
    <w:p>
      <w:pPr>
        <w:pStyle w:val="FootnoteText"/>
      </w:pPr>
      <w:r>
        <w:rPr>
          <w:rStyle w:val="FootnoteRef"/>
        </w:rPr>
        <w:footnoteRef/>
      </w:r>
      <w:hyperlink r:id="rId149">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40a24d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16437c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8265faf9"/>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f958ae3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71" Target="http://books.google.at/books?id=FfsQAAAACAAJ" TargetMode="External" /><Relationship Type="http://schemas.openxmlformats.org/officeDocument/2006/relationships/hyperlink" Id="rId173" Target="http://docs.aws.amazon.com/AmazonS3/latest/dev/Introduction.html" TargetMode="External" /><Relationship Type="http://schemas.openxmlformats.org/officeDocument/2006/relationships/hyperlink" Id="rId174" Target="http://docs.aws.amazon.com/AmazonS3/latest/dev/UsingMetadata.html" TargetMode="External" /><Relationship Type="http://schemas.openxmlformats.org/officeDocument/2006/relationships/hyperlink" Id="rId179"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0"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6"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2" Target="https://wiki.diasporafoundation.org/Federation_protocol_overview" TargetMode="External" /><Relationship Type="http://schemas.openxmlformats.org/officeDocument/2006/relationships/hyperlink" Id="rId177" Target="https://www.bitblokes.de/2014/07/server-2-server-sharing-mit-der-owncloud-7-schritt-fuer-schritt" TargetMode="External" /><Relationship Type="http://schemas.openxmlformats.org/officeDocument/2006/relationships/hyperlink" Id="rId170" Target="https://www.dropbox.com/developers/core/docs" TargetMode="External" /><Relationship Type="http://schemas.openxmlformats.org/officeDocument/2006/relationships/hyperlink" Id="rId181"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71" Target="http://books.google.at/books?id=FfsQAAAACAAJ" TargetMode="External" /><Relationship Type="http://schemas.openxmlformats.org/officeDocument/2006/relationships/hyperlink" Id="rId173" Target="http://docs.aws.amazon.com/AmazonS3/latest/dev/Introduction.html" TargetMode="External" /><Relationship Type="http://schemas.openxmlformats.org/officeDocument/2006/relationships/hyperlink" Id="rId174" Target="http://docs.aws.amazon.com/AmazonS3/latest/dev/UsingMetadata.html" TargetMode="External" /><Relationship Type="http://schemas.openxmlformats.org/officeDocument/2006/relationships/hyperlink" Id="rId179"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0"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6"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2" Target="https://wiki.diasporafoundation.org/Federation_protocol_overview" TargetMode="External" /><Relationship Type="http://schemas.openxmlformats.org/officeDocument/2006/relationships/hyperlink" Id="rId177" Target="https://www.bitblokes.de/2014/07/server-2-server-sharing-mit-der-owncloud-7-schritt-fuer-schritt" TargetMode="External" /><Relationship Type="http://schemas.openxmlformats.org/officeDocument/2006/relationships/hyperlink" Id="rId170" Target="https://www.dropbox.com/developers/core/docs" TargetMode="External" /><Relationship Type="http://schemas.openxmlformats.org/officeDocument/2006/relationships/hyperlink" Id="rId181"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