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2"/>
        </w:rPr>
        <w:t>CREDIT CONTRACT PORTFOLIO &amp; RISK ANALYTICS</w:t>
      </w:r>
    </w:p>
    <w:p>
      <w:pPr>
        <w:jc w:val="center"/>
      </w:pPr>
      <w:r>
        <w:rPr>
          <w:b/>
          <w:sz w:val="28"/>
        </w:rPr>
        <w:t>Power BI / SQL Server / DAX Portfolio Project Documentation</w:t>
      </w:r>
    </w:p>
    <w:p>
      <w:pPr>
        <w:jc w:val="center"/>
      </w:pPr>
      <w:r>
        <w:rPr>
          <w:color w:val="595959"/>
          <w:sz w:val="21"/>
        </w:rPr>
        <w:t>End-to-end credit analytics across disbursement, outstanding balance, repayment, overdue exposure, concentration, and portfolio risk.</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jc w:val="left"/>
            </w:pPr>
            <w:r/>
            <w:r>
              <w:rPr>
                <w:rFonts w:ascii="Arial" w:hAnsi="Arial"/>
                <w:b/>
                <w:sz w:val="20"/>
              </w:rPr>
              <w:t>Project Name</w:t>
            </w:r>
          </w:p>
        </w:tc>
        <w:tc>
          <w:tcPr>
            <w:tcW w:type="dxa" w:w="5184"/>
            <w:vAlign w:val="center"/>
          </w:tcPr>
          <w:p>
            <w:pPr>
              <w:jc w:val="left"/>
            </w:pPr>
            <w:r/>
            <w:r>
              <w:rPr>
                <w:rFonts w:ascii="Arial" w:hAnsi="Arial"/>
                <w:b w:val="0"/>
                <w:sz w:val="20"/>
              </w:rPr>
              <w:t>Credit Contract Portfolio &amp; Risk Analytics</w:t>
            </w:r>
          </w:p>
        </w:tc>
      </w:tr>
      <w:tr>
        <w:tc>
          <w:tcPr>
            <w:tcW w:type="dxa" w:w="5184"/>
            <w:vAlign w:val="center"/>
            <w:shd w:fill="D9EAF7"/>
          </w:tcPr>
          <w:p>
            <w:pPr>
              <w:jc w:val="left"/>
            </w:pPr>
            <w:r/>
            <w:r>
              <w:rPr>
                <w:rFonts w:ascii="Arial" w:hAnsi="Arial"/>
                <w:b/>
                <w:sz w:val="20"/>
              </w:rPr>
              <w:t>Domain</w:t>
            </w:r>
          </w:p>
        </w:tc>
        <w:tc>
          <w:tcPr>
            <w:tcW w:type="dxa" w:w="5184"/>
            <w:vAlign w:val="center"/>
          </w:tcPr>
          <w:p>
            <w:pPr>
              <w:jc w:val="left"/>
            </w:pPr>
            <w:r/>
            <w:r>
              <w:rPr>
                <w:rFonts w:ascii="Arial" w:hAnsi="Arial"/>
                <w:b w:val="0"/>
                <w:sz w:val="20"/>
              </w:rPr>
              <w:t>Banking / Credit Analytics / Credit Risk Analytics</w:t>
            </w:r>
          </w:p>
        </w:tc>
      </w:tr>
      <w:tr>
        <w:tc>
          <w:tcPr>
            <w:tcW w:type="dxa" w:w="5184"/>
            <w:vAlign w:val="center"/>
            <w:shd w:fill="D9EAF7"/>
          </w:tcPr>
          <w:p>
            <w:pPr>
              <w:jc w:val="left"/>
            </w:pPr>
            <w:r/>
            <w:r>
              <w:rPr>
                <w:rFonts w:ascii="Arial" w:hAnsi="Arial"/>
                <w:b/>
                <w:sz w:val="20"/>
              </w:rPr>
              <w:t>Tools</w:t>
            </w:r>
          </w:p>
        </w:tc>
        <w:tc>
          <w:tcPr>
            <w:tcW w:type="dxa" w:w="5184"/>
            <w:vAlign w:val="center"/>
          </w:tcPr>
          <w:p>
            <w:pPr>
              <w:jc w:val="left"/>
            </w:pPr>
            <w:r/>
            <w:r>
              <w:rPr>
                <w:rFonts w:ascii="Arial" w:hAnsi="Arial"/>
                <w:b w:val="0"/>
                <w:sz w:val="20"/>
              </w:rPr>
              <w:t>SQL Server, Power BI, DAX, Excel</w:t>
            </w:r>
          </w:p>
        </w:tc>
      </w:tr>
      <w:tr>
        <w:tc>
          <w:tcPr>
            <w:tcW w:type="dxa" w:w="5184"/>
            <w:vAlign w:val="center"/>
            <w:shd w:fill="D9EAF7"/>
          </w:tcPr>
          <w:p>
            <w:pPr>
              <w:jc w:val="left"/>
            </w:pPr>
            <w:r/>
            <w:r>
              <w:rPr>
                <w:rFonts w:ascii="Arial" w:hAnsi="Arial"/>
                <w:b/>
                <w:sz w:val="20"/>
              </w:rPr>
              <w:t>Role</w:t>
            </w:r>
          </w:p>
        </w:tc>
        <w:tc>
          <w:tcPr>
            <w:tcW w:type="dxa" w:w="5184"/>
            <w:vAlign w:val="center"/>
          </w:tcPr>
          <w:p>
            <w:pPr>
              <w:jc w:val="left"/>
            </w:pPr>
            <w:r/>
            <w:r>
              <w:rPr>
                <w:rFonts w:ascii="Arial" w:hAnsi="Arial"/>
                <w:b w:val="0"/>
                <w:sz w:val="20"/>
              </w:rPr>
              <w:t>Data Analyst</w:t>
            </w:r>
          </w:p>
        </w:tc>
      </w:tr>
      <w:tr>
        <w:tc>
          <w:tcPr>
            <w:tcW w:type="dxa" w:w="5184"/>
            <w:vAlign w:val="center"/>
            <w:shd w:fill="D9EAF7"/>
          </w:tcPr>
          <w:p>
            <w:pPr>
              <w:jc w:val="left"/>
            </w:pPr>
            <w:r/>
            <w:r>
              <w:rPr>
                <w:rFonts w:ascii="Arial" w:hAnsi="Arial"/>
                <w:b/>
                <w:sz w:val="20"/>
              </w:rPr>
              <w:t>Status</w:t>
            </w:r>
          </w:p>
        </w:tc>
        <w:tc>
          <w:tcPr>
            <w:tcW w:type="dxa" w:w="5184"/>
            <w:vAlign w:val="center"/>
          </w:tcPr>
          <w:p>
            <w:pPr>
              <w:jc w:val="left"/>
            </w:pPr>
            <w:r/>
            <w:r>
              <w:rPr>
                <w:rFonts w:ascii="Arial" w:hAnsi="Arial"/>
                <w:b w:val="0"/>
                <w:sz w:val="20"/>
              </w:rPr>
              <w:t>Completed</w:t>
            </w:r>
          </w:p>
        </w:tc>
      </w:tr>
      <w:tr>
        <w:tc>
          <w:tcPr>
            <w:tcW w:type="dxa" w:w="5184"/>
            <w:vAlign w:val="center"/>
            <w:shd w:fill="D9EAF7"/>
          </w:tcPr>
          <w:p>
            <w:pPr>
              <w:jc w:val="left"/>
            </w:pPr>
            <w:r/>
            <w:r>
              <w:rPr>
                <w:rFonts w:ascii="Arial" w:hAnsi="Arial"/>
                <w:b/>
                <w:sz w:val="20"/>
              </w:rPr>
              <w:t>Reporting Period</w:t>
            </w:r>
          </w:p>
        </w:tc>
        <w:tc>
          <w:tcPr>
            <w:tcW w:type="dxa" w:w="5184"/>
            <w:vAlign w:val="center"/>
          </w:tcPr>
          <w:p>
            <w:pPr>
              <w:jc w:val="left"/>
            </w:pPr>
            <w:r/>
            <w:r>
              <w:rPr>
                <w:rFonts w:ascii="Arial" w:hAnsi="Arial"/>
                <w:b w:val="0"/>
                <w:sz w:val="20"/>
              </w:rPr>
              <w:t>2024 Q4</w:t>
            </w:r>
          </w:p>
        </w:tc>
      </w:tr>
      <w:tr>
        <w:tc>
          <w:tcPr>
            <w:tcW w:type="dxa" w:w="5184"/>
            <w:vAlign w:val="center"/>
            <w:shd w:fill="D9EAF7"/>
          </w:tcPr>
          <w:p>
            <w:pPr>
              <w:jc w:val="left"/>
            </w:pPr>
            <w:r/>
            <w:r>
              <w:rPr>
                <w:rFonts w:ascii="Arial" w:hAnsi="Arial"/>
                <w:b/>
                <w:sz w:val="20"/>
              </w:rPr>
              <w:t>Latest Data Date</w:t>
            </w:r>
          </w:p>
        </w:tc>
        <w:tc>
          <w:tcPr>
            <w:tcW w:type="dxa" w:w="5184"/>
            <w:vAlign w:val="center"/>
          </w:tcPr>
          <w:p>
            <w:pPr>
              <w:jc w:val="left"/>
            </w:pPr>
            <w:r/>
            <w:r>
              <w:rPr>
                <w:rFonts w:ascii="Arial" w:hAnsi="Arial"/>
                <w:b w:val="0"/>
                <w:sz w:val="20"/>
              </w:rPr>
              <w:t>27/12/2024</w:t>
            </w:r>
          </w:p>
        </w:tc>
      </w:tr>
    </w:tbl>
    <w:p>
      <w:pPr>
        <w:jc w:val="center"/>
      </w:pPr>
      <w:r>
        <w:rPr>
          <w:i/>
          <w:color w:val="595959"/>
          <w:sz w:val="21"/>
        </w:rPr>
        <w:t>Credit lifecycle covered: Disbursement → Outstanding Balance → Repayment → Overdue Exposure → Portfolio Risk</w:t>
      </w:r>
    </w:p>
    <w:p>
      <w:r>
        <w:br w:type="page"/>
      </w:r>
    </w:p>
    <w:p>
      <w:pPr>
        <w:pStyle w:val="Heading1"/>
      </w:pPr>
      <w:r>
        <w:t>1. Project Overview</w:t>
      </w:r>
    </w:p>
    <w:p>
      <w:pPr>
        <w:spacing w:after="100"/>
      </w:pPr>
      <w:r>
        <w:rPr>
          <w:rFonts w:ascii="Arial" w:hAnsi="Arial"/>
          <w:sz w:val="21"/>
        </w:rPr>
        <w:t>This project analyzes the performance and risk profile of a banking credit contract portfolio. The dashboard is designed around the full credit lifecycle, from loan disbursement and outstanding balance formation to scheduled repayment obligations, actual collection, overdue exposure, concentration risk, and contract-level monitoring.</w:t>
      </w:r>
    </w:p>
    <w:p>
      <w:pPr>
        <w:spacing w:after="100"/>
      </w:pPr>
      <w:r>
        <w:rPr>
          <w:rFonts w:ascii="Arial" w:hAnsi="Arial"/>
          <w:sz w:val="21"/>
        </w:rPr>
        <w:t>The solution uses Power BI, SQL Server, and DAX to handle multiple date roles, repayment schedules, actual repayment transactions, branch disbursement plans, historical snapshots, and portfolio-level risk indicators.</w:t>
      </w:r>
    </w:p>
    <w:p>
      <w:pPr>
        <w:spacing w:after="100"/>
      </w:pPr>
      <w:r>
        <w:rPr>
          <w:rFonts w:ascii="Arial" w:hAnsi="Arial"/>
          <w:sz w:val="21"/>
        </w:rPr>
        <w:t>The final report contains four analytical pages:</w:t>
      </w:r>
    </w:p>
    <w:p>
      <w:pPr>
        <w:pStyle w:val="ListBullet"/>
        <w:spacing w:after="40"/>
      </w:pPr>
      <w:r>
        <w:rPr>
          <w:rFonts w:ascii="Arial" w:hAnsi="Arial"/>
          <w:sz w:val="20"/>
        </w:rPr>
        <w:t>Page 01 – Credit Portfolio Overview</w:t>
      </w:r>
    </w:p>
    <w:p>
      <w:pPr>
        <w:pStyle w:val="ListBullet"/>
        <w:spacing w:after="40"/>
      </w:pPr>
      <w:r>
        <w:rPr>
          <w:rFonts w:ascii="Arial" w:hAnsi="Arial"/>
          <w:sz w:val="20"/>
        </w:rPr>
        <w:t>Page 02 – Disbursement KPI</w:t>
      </w:r>
    </w:p>
    <w:p>
      <w:pPr>
        <w:pStyle w:val="ListBullet"/>
        <w:spacing w:after="40"/>
      </w:pPr>
      <w:r>
        <w:rPr>
          <w:rFonts w:ascii="Arial" w:hAnsi="Arial"/>
          <w:sz w:val="20"/>
        </w:rPr>
        <w:t>Page 03 – Repayment &amp; Collection Efficiency</w:t>
      </w:r>
    </w:p>
    <w:p>
      <w:pPr>
        <w:pStyle w:val="ListBullet"/>
        <w:spacing w:after="40"/>
      </w:pPr>
      <w:r>
        <w:rPr>
          <w:rFonts w:ascii="Arial" w:hAnsi="Arial"/>
          <w:sz w:val="20"/>
        </w:rPr>
        <w:t>Page 04 – Portfolio Quality &amp; Risk</w:t>
      </w:r>
    </w:p>
    <w:p>
      <w:pPr>
        <w:pStyle w:val="Heading1"/>
      </w:pPr>
      <w:r>
        <w:t>2. Business Context</w:t>
      </w:r>
    </w:p>
    <w:p>
      <w:pPr>
        <w:spacing w:after="100"/>
      </w:pPr>
      <w:r>
        <w:rPr>
          <w:rFonts w:ascii="Arial" w:hAnsi="Arial"/>
          <w:sz w:val="21"/>
        </w:rPr>
        <w:t>Credit portfolio management requires more than monitoring total loan disbursement. A bank needs to evaluate outstanding exposure, branch KPI execution, principal and interest collection, overdue obligations, maturity pressure, and concentration by customer, industry, and branch.</w:t>
      </w:r>
    </w:p>
    <w:p>
      <w:pPr>
        <w:spacing w:after="100"/>
      </w:pPr>
      <w:r>
        <w:rPr>
          <w:rFonts w:ascii="Arial" w:hAnsi="Arial"/>
          <w:sz w:val="21"/>
        </w:rPr>
        <w:t>When these areas are analyzed separately, it becomes difficult to understand whether portfolio growth is being achieved efficiently and whether that growth is accompanied by increasing risk. This project connects credit contracts, repayment schedules, actual repayments, customers, branches, industries, and KPI planning data into a unified analytical model.</w:t>
      </w:r>
    </w:p>
    <w:p>
      <w:pPr>
        <w:pStyle w:val="Heading1"/>
      </w:pPr>
      <w:r>
        <w:t>3. Business Questions</w:t>
      </w:r>
    </w:p>
    <w:p>
      <w:pPr>
        <w:pStyle w:val="ListNumber"/>
        <w:spacing w:after="40"/>
      </w:pPr>
      <w:r>
        <w:t>How is the credit portfolio changing during the reporting period?</w:t>
      </w:r>
    </w:p>
    <w:p>
      <w:pPr>
        <w:pStyle w:val="ListNumber"/>
        <w:spacing w:after="40"/>
      </w:pPr>
      <w:r>
        <w:t>Which branches hold the largest outstanding balances?</w:t>
      </w:r>
    </w:p>
    <w:p>
      <w:pPr>
        <w:pStyle w:val="ListNumber"/>
        <w:spacing w:after="40"/>
      </w:pPr>
      <w:r>
        <w:t>How does actual disbursement compare with quarterly targets?</w:t>
      </w:r>
    </w:p>
    <w:p>
      <w:pPr>
        <w:pStyle w:val="ListNumber"/>
        <w:spacing w:after="40"/>
      </w:pPr>
      <w:r>
        <w:t>Which branches contribute most to the disbursement KPI shortfall?</w:t>
      </w:r>
    </w:p>
    <w:p>
      <w:pPr>
        <w:pStyle w:val="ListNumber"/>
        <w:spacing w:after="40"/>
      </w:pPr>
      <w:r>
        <w:t>How much principal and interest is due, and how much has actually been collected?</w:t>
      </w:r>
    </w:p>
    <w:p>
      <w:pPr>
        <w:pStyle w:val="ListNumber"/>
        <w:spacing w:after="40"/>
      </w:pPr>
      <w:r>
        <w:t>What are the current principal and interest collection rates?</w:t>
      </w:r>
    </w:p>
    <w:p>
      <w:pPr>
        <w:pStyle w:val="ListNumber"/>
        <w:spacing w:after="40"/>
      </w:pPr>
      <w:r>
        <w:t>How much principal remains overdue and how long has it been overdue?</w:t>
      </w:r>
    </w:p>
    <w:p>
      <w:pPr>
        <w:pStyle w:val="ListNumber"/>
        <w:spacing w:after="40"/>
      </w:pPr>
      <w:r>
        <w:t>Which branches contribute most to total overdue principal?</w:t>
      </w:r>
    </w:p>
    <w:p>
      <w:pPr>
        <w:pStyle w:val="ListNumber"/>
        <w:spacing w:after="40"/>
      </w:pPr>
      <w:r>
        <w:t>How concentrated is outstanding exposure by customer and industry?</w:t>
      </w:r>
    </w:p>
    <w:p>
      <w:pPr>
        <w:pStyle w:val="ListNumber"/>
        <w:spacing w:after="40"/>
      </w:pPr>
      <w:r>
        <w:t>How much outstanding balance is maturing within 30 days?</w:t>
      </w:r>
    </w:p>
    <w:p>
      <w:pPr>
        <w:pStyle w:val="ListNumber"/>
        <w:spacing w:after="40"/>
      </w:pPr>
      <w:r>
        <w:t>Is portfolio growth accompanied by increasing overdue risk?</w:t>
      </w:r>
    </w:p>
    <w:p>
      <w:pPr>
        <w:pStyle w:val="ListNumber"/>
        <w:spacing w:after="40"/>
      </w:pPr>
      <w:r>
        <w:t>Which credit contracts should be prioritized for monitoring?</w:t>
      </w:r>
    </w:p>
    <w:p>
      <w:pPr>
        <w:pStyle w:val="Heading1"/>
      </w:pPr>
      <w:r>
        <w:t>4. Dataset Overview</w:t>
      </w:r>
    </w:p>
    <w:p>
      <w:pPr>
        <w:spacing w:after="100"/>
      </w:pPr>
      <w:r>
        <w:rPr>
          <w:rFonts w:ascii="Arial" w:hAnsi="Arial"/>
          <w:sz w:val="21"/>
        </w:rPr>
        <w:t>The Power BI model combines transactional data, master data, business planning data, repayment schedules, and analytical helper tables. The dashboard focuses primarily on credit-related tables; deposit tables remain in the broader banking database but are outside the main analytical scope of this project.</w:t>
      </w:r>
    </w:p>
    <w:p>
      <w:pPr>
        <w:pStyle w:val="Heading2"/>
      </w:pPr>
      <w:r>
        <w:t>4.1. Core Credit Tables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center"/>
            </w:pPr>
            <w:r/>
            <w:r>
              <w:rPr>
                <w:rFonts w:ascii="Arial" w:hAnsi="Arial"/>
                <w:b/>
                <w:color w:val="FFFFFF"/>
                <w:sz w:val="18"/>
              </w:rPr>
              <w:t>Table</w:t>
            </w:r>
          </w:p>
        </w:tc>
        <w:tc>
          <w:tcPr>
            <w:tcW w:type="dxa" w:w="5184"/>
            <w:vAlign w:val="center"/>
            <w:shd w:fill="1F4E79"/>
          </w:tcPr>
          <w:p>
            <w:pPr>
              <w:jc w:val="center"/>
            </w:pPr>
            <w:r/>
            <w:r>
              <w:rPr>
                <w:rFonts w:ascii="Arial" w:hAnsi="Arial"/>
                <w:b/>
                <w:color w:val="FFFFFF"/>
                <w:sz w:val="18"/>
              </w:rPr>
              <w:t>Role in the Project</w:t>
            </w:r>
          </w:p>
        </w:tc>
      </w:tr>
      <w:tr>
        <w:tc>
          <w:tcPr>
            <w:tcW w:type="dxa" w:w="5184"/>
            <w:vAlign w:val="center"/>
          </w:tcPr>
          <w:p>
            <w:pPr>
              <w:jc w:val="left"/>
            </w:pPr>
            <w:r/>
            <w:r>
              <w:rPr>
                <w:rFonts w:ascii="Arial" w:hAnsi="Arial"/>
                <w:b w:val="0"/>
                <w:sz w:val="18"/>
              </w:rPr>
              <w:t>HOPDONG_TINDUNG</w:t>
            </w:r>
          </w:p>
        </w:tc>
        <w:tc>
          <w:tcPr>
            <w:tcW w:type="dxa" w:w="5184"/>
            <w:vAlign w:val="center"/>
          </w:tcPr>
          <w:p>
            <w:pPr>
              <w:jc w:val="left"/>
            </w:pPr>
            <w:r/>
            <w:r>
              <w:rPr>
                <w:rFonts w:ascii="Arial" w:hAnsi="Arial"/>
                <w:b w:val="0"/>
                <w:sz w:val="18"/>
              </w:rPr>
              <w:t>Credit contract master table containing contract ID, customer, disbursement date, maturity date, term, loan amount, interest rate, credit type, and lending purpose.</w:t>
            </w:r>
          </w:p>
        </w:tc>
      </w:tr>
      <w:tr>
        <w:tc>
          <w:tcPr>
            <w:tcW w:type="dxa" w:w="5184"/>
            <w:vAlign w:val="center"/>
          </w:tcPr>
          <w:p>
            <w:pPr>
              <w:jc w:val="left"/>
            </w:pPr>
            <w:r/>
            <w:r>
              <w:rPr>
                <w:rFonts w:ascii="Arial" w:hAnsi="Arial"/>
                <w:b w:val="0"/>
                <w:sz w:val="18"/>
              </w:rPr>
              <w:t>KE_HOACH_TRA_NO</w:t>
            </w:r>
          </w:p>
        </w:tc>
        <w:tc>
          <w:tcPr>
            <w:tcW w:type="dxa" w:w="5184"/>
            <w:vAlign w:val="center"/>
          </w:tcPr>
          <w:p>
            <w:pPr>
              <w:jc w:val="left"/>
            </w:pPr>
            <w:r/>
            <w:r>
              <w:rPr>
                <w:rFonts w:ascii="Arial" w:hAnsi="Arial"/>
                <w:b w:val="0"/>
                <w:sz w:val="18"/>
              </w:rPr>
              <w:t>Scheduled repayment obligations by installment, including SO_KY, NGAY_CUOIKY, GOC_PHAITRA, LAI_PHAITRA, opening balance, and interest rate.</w:t>
            </w:r>
          </w:p>
        </w:tc>
      </w:tr>
      <w:tr>
        <w:tc>
          <w:tcPr>
            <w:tcW w:type="dxa" w:w="5184"/>
            <w:vAlign w:val="center"/>
          </w:tcPr>
          <w:p>
            <w:pPr>
              <w:jc w:val="left"/>
            </w:pPr>
            <w:r/>
            <w:r>
              <w:rPr>
                <w:rFonts w:ascii="Arial" w:hAnsi="Arial"/>
                <w:b w:val="0"/>
                <w:sz w:val="18"/>
              </w:rPr>
              <w:t>KHACHHANG_TRANO</w:t>
            </w:r>
          </w:p>
        </w:tc>
        <w:tc>
          <w:tcPr>
            <w:tcW w:type="dxa" w:w="5184"/>
            <w:vAlign w:val="center"/>
          </w:tcPr>
          <w:p>
            <w:pPr>
              <w:jc w:val="left"/>
            </w:pPr>
            <w:r/>
            <w:r>
              <w:rPr>
                <w:rFonts w:ascii="Arial" w:hAnsi="Arial"/>
                <w:b w:val="0"/>
                <w:sz w:val="18"/>
              </w:rPr>
              <w:t>Actual repayment transactions by contract, including NGAYTRA, TRAGOC, TRALAI, TONGTIEN, and KY when an installment identifier is available.</w:t>
            </w:r>
          </w:p>
        </w:tc>
      </w:tr>
      <w:tr>
        <w:tc>
          <w:tcPr>
            <w:tcW w:type="dxa" w:w="5184"/>
            <w:vAlign w:val="center"/>
          </w:tcPr>
          <w:p>
            <w:pPr>
              <w:jc w:val="left"/>
            </w:pPr>
            <w:r/>
            <w:r>
              <w:rPr>
                <w:rFonts w:ascii="Arial" w:hAnsi="Arial"/>
                <w:b w:val="0"/>
                <w:sz w:val="18"/>
              </w:rPr>
              <w:t>KEHOACH_GIAINGAN</w:t>
            </w:r>
          </w:p>
        </w:tc>
        <w:tc>
          <w:tcPr>
            <w:tcW w:type="dxa" w:w="5184"/>
            <w:vAlign w:val="center"/>
          </w:tcPr>
          <w:p>
            <w:pPr>
              <w:jc w:val="left"/>
            </w:pPr>
            <w:r/>
            <w:r>
              <w:rPr>
                <w:rFonts w:ascii="Arial" w:hAnsi="Arial"/>
                <w:b w:val="0"/>
                <w:sz w:val="18"/>
              </w:rPr>
              <w:t>Planned disbursement targets by branch, year, and quarter.</w:t>
            </w:r>
          </w:p>
        </w:tc>
      </w:tr>
      <w:tr>
        <w:tc>
          <w:tcPr>
            <w:tcW w:type="dxa" w:w="5184"/>
            <w:vAlign w:val="center"/>
          </w:tcPr>
          <w:p>
            <w:pPr>
              <w:jc w:val="left"/>
            </w:pPr>
            <w:r/>
            <w:r>
              <w:rPr>
                <w:rFonts w:ascii="Arial" w:hAnsi="Arial"/>
                <w:b w:val="0"/>
                <w:sz w:val="18"/>
              </w:rPr>
              <w:t>THUNO</w:t>
            </w:r>
          </w:p>
        </w:tc>
        <w:tc>
          <w:tcPr>
            <w:tcW w:type="dxa" w:w="5184"/>
            <w:vAlign w:val="center"/>
          </w:tcPr>
          <w:p>
            <w:pPr>
              <w:jc w:val="left"/>
            </w:pPr>
            <w:r/>
            <w:r>
              <w:rPr>
                <w:rFonts w:ascii="Arial" w:hAnsi="Arial"/>
                <w:b w:val="0"/>
                <w:sz w:val="18"/>
              </w:rPr>
              <w:t>Supporting collection/repayment table in the banking model.</w:t>
            </w:r>
          </w:p>
        </w:tc>
      </w:tr>
      <w:tr>
        <w:tc>
          <w:tcPr>
            <w:tcW w:type="dxa" w:w="5184"/>
            <w:vAlign w:val="center"/>
          </w:tcPr>
          <w:p>
            <w:pPr>
              <w:jc w:val="left"/>
            </w:pPr>
            <w:r/>
            <w:r>
              <w:rPr>
                <w:rFonts w:ascii="Arial" w:hAnsi="Arial"/>
                <w:b w:val="0"/>
                <w:sz w:val="18"/>
              </w:rPr>
              <w:t>TAISAN_BAODAM</w:t>
            </w:r>
          </w:p>
        </w:tc>
        <w:tc>
          <w:tcPr>
            <w:tcW w:type="dxa" w:w="5184"/>
            <w:vAlign w:val="center"/>
          </w:tcPr>
          <w:p>
            <w:pPr>
              <w:jc w:val="left"/>
            </w:pPr>
            <w:r/>
            <w:r>
              <w:rPr>
                <w:rFonts w:ascii="Arial" w:hAnsi="Arial"/>
                <w:b w:val="0"/>
                <w:sz w:val="18"/>
              </w:rPr>
              <w:t>Collateral information linked to credit exposure.</w:t>
            </w:r>
          </w:p>
        </w:tc>
      </w:tr>
    </w:tbl>
    <w:p>
      <w:pPr>
        <w:pStyle w:val="Heading2"/>
      </w:pPr>
      <w:r>
        <w:t>4.2. Main Dimension Tables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center"/>
            </w:pPr>
            <w:r/>
            <w:r>
              <w:rPr>
                <w:rFonts w:ascii="Arial" w:hAnsi="Arial"/>
                <w:b/>
                <w:color w:val="FFFFFF"/>
                <w:sz w:val="18"/>
              </w:rPr>
              <w:t>Table</w:t>
            </w:r>
          </w:p>
        </w:tc>
        <w:tc>
          <w:tcPr>
            <w:tcW w:type="dxa" w:w="5184"/>
            <w:vAlign w:val="center"/>
            <w:shd w:fill="1F4E79"/>
          </w:tcPr>
          <w:p>
            <w:pPr>
              <w:jc w:val="center"/>
            </w:pPr>
            <w:r/>
            <w:r>
              <w:rPr>
                <w:rFonts w:ascii="Arial" w:hAnsi="Arial"/>
                <w:b/>
                <w:color w:val="FFFFFF"/>
                <w:sz w:val="18"/>
              </w:rPr>
              <w:t>Role</w:t>
            </w:r>
          </w:p>
        </w:tc>
      </w:tr>
      <w:tr>
        <w:tc>
          <w:tcPr>
            <w:tcW w:type="dxa" w:w="5184"/>
            <w:vAlign w:val="center"/>
          </w:tcPr>
          <w:p>
            <w:pPr>
              <w:jc w:val="left"/>
            </w:pPr>
            <w:r/>
            <w:r>
              <w:rPr>
                <w:rFonts w:ascii="Arial" w:hAnsi="Arial"/>
                <w:b w:val="0"/>
                <w:sz w:val="18"/>
              </w:rPr>
              <w:t>KHACHHANG</w:t>
            </w:r>
          </w:p>
        </w:tc>
        <w:tc>
          <w:tcPr>
            <w:tcW w:type="dxa" w:w="5184"/>
            <w:vAlign w:val="center"/>
          </w:tcPr>
          <w:p>
            <w:pPr>
              <w:jc w:val="left"/>
            </w:pPr>
            <w:r/>
            <w:r>
              <w:rPr>
                <w:rFonts w:ascii="Arial" w:hAnsi="Arial"/>
                <w:b w:val="0"/>
                <w:sz w:val="18"/>
              </w:rPr>
              <w:t>Customer information.</w:t>
            </w:r>
          </w:p>
        </w:tc>
      </w:tr>
      <w:tr>
        <w:tc>
          <w:tcPr>
            <w:tcW w:type="dxa" w:w="5184"/>
            <w:vAlign w:val="center"/>
          </w:tcPr>
          <w:p>
            <w:pPr>
              <w:jc w:val="left"/>
            </w:pPr>
            <w:r/>
            <w:r>
              <w:rPr>
                <w:rFonts w:ascii="Arial" w:hAnsi="Arial"/>
                <w:b w:val="0"/>
                <w:sz w:val="18"/>
              </w:rPr>
              <w:t>CHINHANH</w:t>
            </w:r>
          </w:p>
        </w:tc>
        <w:tc>
          <w:tcPr>
            <w:tcW w:type="dxa" w:w="5184"/>
            <w:vAlign w:val="center"/>
          </w:tcPr>
          <w:p>
            <w:pPr>
              <w:jc w:val="left"/>
            </w:pPr>
            <w:r/>
            <w:r>
              <w:rPr>
                <w:rFonts w:ascii="Arial" w:hAnsi="Arial"/>
                <w:b w:val="0"/>
                <w:sz w:val="18"/>
              </w:rPr>
              <w:t>Branch master data.</w:t>
            </w:r>
          </w:p>
        </w:tc>
      </w:tr>
      <w:tr>
        <w:tc>
          <w:tcPr>
            <w:tcW w:type="dxa" w:w="5184"/>
            <w:vAlign w:val="center"/>
          </w:tcPr>
          <w:p>
            <w:pPr>
              <w:jc w:val="left"/>
            </w:pPr>
            <w:r/>
            <w:r>
              <w:rPr>
                <w:rFonts w:ascii="Arial" w:hAnsi="Arial"/>
                <w:b w:val="0"/>
                <w:sz w:val="18"/>
              </w:rPr>
              <w:t>KHUVUC</w:t>
            </w:r>
          </w:p>
        </w:tc>
        <w:tc>
          <w:tcPr>
            <w:tcW w:type="dxa" w:w="5184"/>
            <w:vAlign w:val="center"/>
          </w:tcPr>
          <w:p>
            <w:pPr>
              <w:jc w:val="left"/>
            </w:pPr>
            <w:r/>
            <w:r>
              <w:rPr>
                <w:rFonts w:ascii="Arial" w:hAnsi="Arial"/>
                <w:b w:val="0"/>
                <w:sz w:val="18"/>
              </w:rPr>
              <w:t>Regional classification.</w:t>
            </w:r>
          </w:p>
        </w:tc>
      </w:tr>
      <w:tr>
        <w:tc>
          <w:tcPr>
            <w:tcW w:type="dxa" w:w="5184"/>
            <w:vAlign w:val="center"/>
          </w:tcPr>
          <w:p>
            <w:pPr>
              <w:jc w:val="left"/>
            </w:pPr>
            <w:r/>
            <w:r>
              <w:rPr>
                <w:rFonts w:ascii="Arial" w:hAnsi="Arial"/>
                <w:b w:val="0"/>
                <w:sz w:val="18"/>
              </w:rPr>
              <w:t>THANHPHO</w:t>
            </w:r>
          </w:p>
        </w:tc>
        <w:tc>
          <w:tcPr>
            <w:tcW w:type="dxa" w:w="5184"/>
            <w:vAlign w:val="center"/>
          </w:tcPr>
          <w:p>
            <w:pPr>
              <w:jc w:val="left"/>
            </w:pPr>
            <w:r/>
            <w:r>
              <w:rPr>
                <w:rFonts w:ascii="Arial" w:hAnsi="Arial"/>
                <w:b w:val="0"/>
                <w:sz w:val="18"/>
              </w:rPr>
              <w:t>City information.</w:t>
            </w:r>
          </w:p>
        </w:tc>
      </w:tr>
      <w:tr>
        <w:tc>
          <w:tcPr>
            <w:tcW w:type="dxa" w:w="5184"/>
            <w:vAlign w:val="center"/>
          </w:tcPr>
          <w:p>
            <w:pPr>
              <w:jc w:val="left"/>
            </w:pPr>
            <w:r/>
            <w:r>
              <w:rPr>
                <w:rFonts w:ascii="Arial" w:hAnsi="Arial"/>
                <w:b w:val="0"/>
                <w:sz w:val="18"/>
              </w:rPr>
              <w:t>NGANHNGHE_KINHTE_CAP01/02/03</w:t>
            </w:r>
          </w:p>
        </w:tc>
        <w:tc>
          <w:tcPr>
            <w:tcW w:type="dxa" w:w="5184"/>
            <w:vAlign w:val="center"/>
          </w:tcPr>
          <w:p>
            <w:pPr>
              <w:jc w:val="left"/>
            </w:pPr>
            <w:r/>
            <w:r>
              <w:rPr>
                <w:rFonts w:ascii="Arial" w:hAnsi="Arial"/>
                <w:b w:val="0"/>
                <w:sz w:val="18"/>
              </w:rPr>
              <w:t>Hierarchical economic industry classification.</w:t>
            </w:r>
          </w:p>
        </w:tc>
      </w:tr>
      <w:tr>
        <w:tc>
          <w:tcPr>
            <w:tcW w:type="dxa" w:w="5184"/>
            <w:vAlign w:val="center"/>
          </w:tcPr>
          <w:p>
            <w:pPr>
              <w:jc w:val="left"/>
            </w:pPr>
            <w:r/>
            <w:r>
              <w:rPr>
                <w:rFonts w:ascii="Arial" w:hAnsi="Arial"/>
                <w:b w:val="0"/>
                <w:sz w:val="18"/>
              </w:rPr>
              <w:t>LOAIHINH_DOANHNGHIEP</w:t>
            </w:r>
          </w:p>
        </w:tc>
        <w:tc>
          <w:tcPr>
            <w:tcW w:type="dxa" w:w="5184"/>
            <w:vAlign w:val="center"/>
          </w:tcPr>
          <w:p>
            <w:pPr>
              <w:jc w:val="left"/>
            </w:pPr>
            <w:r/>
            <w:r>
              <w:rPr>
                <w:rFonts w:ascii="Arial" w:hAnsi="Arial"/>
                <w:b w:val="0"/>
                <w:sz w:val="18"/>
              </w:rPr>
              <w:t>Business type classification.</w:t>
            </w:r>
          </w:p>
        </w:tc>
      </w:tr>
      <w:tr>
        <w:tc>
          <w:tcPr>
            <w:tcW w:type="dxa" w:w="5184"/>
            <w:vAlign w:val="center"/>
          </w:tcPr>
          <w:p>
            <w:pPr>
              <w:jc w:val="left"/>
            </w:pPr>
            <w:r/>
            <w:r>
              <w:rPr>
                <w:rFonts w:ascii="Arial" w:hAnsi="Arial"/>
                <w:b w:val="0"/>
                <w:sz w:val="18"/>
              </w:rPr>
              <w:t>HINHTHUC_CAPTINDUNG</w:t>
            </w:r>
          </w:p>
        </w:tc>
        <w:tc>
          <w:tcPr>
            <w:tcW w:type="dxa" w:w="5184"/>
            <w:vAlign w:val="center"/>
          </w:tcPr>
          <w:p>
            <w:pPr>
              <w:jc w:val="left"/>
            </w:pPr>
            <w:r/>
            <w:r>
              <w:rPr>
                <w:rFonts w:ascii="Arial" w:hAnsi="Arial"/>
                <w:b w:val="0"/>
                <w:sz w:val="18"/>
              </w:rPr>
              <w:t>Credit granting type.</w:t>
            </w:r>
          </w:p>
        </w:tc>
      </w:tr>
      <w:tr>
        <w:tc>
          <w:tcPr>
            <w:tcW w:type="dxa" w:w="5184"/>
            <w:vAlign w:val="center"/>
          </w:tcPr>
          <w:p>
            <w:pPr>
              <w:jc w:val="left"/>
            </w:pPr>
            <w:r/>
            <w:r>
              <w:rPr>
                <w:rFonts w:ascii="Arial" w:hAnsi="Arial"/>
                <w:b w:val="0"/>
                <w:sz w:val="18"/>
              </w:rPr>
              <w:t>PHUONGTHUC_CHOVAY</w:t>
            </w:r>
          </w:p>
        </w:tc>
        <w:tc>
          <w:tcPr>
            <w:tcW w:type="dxa" w:w="5184"/>
            <w:vAlign w:val="center"/>
          </w:tcPr>
          <w:p>
            <w:pPr>
              <w:jc w:val="left"/>
            </w:pPr>
            <w:r/>
            <w:r>
              <w:rPr>
                <w:rFonts w:ascii="Arial" w:hAnsi="Arial"/>
                <w:b w:val="0"/>
                <w:sz w:val="18"/>
              </w:rPr>
              <w:t>Lending method.</w:t>
            </w:r>
          </w:p>
        </w:tc>
      </w:tr>
      <w:tr>
        <w:tc>
          <w:tcPr>
            <w:tcW w:type="dxa" w:w="5184"/>
            <w:vAlign w:val="center"/>
          </w:tcPr>
          <w:p>
            <w:pPr>
              <w:jc w:val="left"/>
            </w:pPr>
            <w:r/>
            <w:r>
              <w:rPr>
                <w:rFonts w:ascii="Arial" w:hAnsi="Arial"/>
                <w:b w:val="0"/>
                <w:sz w:val="18"/>
              </w:rPr>
              <w:t>MUCDICH_CAPTINDUNG</w:t>
            </w:r>
          </w:p>
        </w:tc>
        <w:tc>
          <w:tcPr>
            <w:tcW w:type="dxa" w:w="5184"/>
            <w:vAlign w:val="center"/>
          </w:tcPr>
          <w:p>
            <w:pPr>
              <w:jc w:val="left"/>
            </w:pPr>
            <w:r/>
            <w:r>
              <w:rPr>
                <w:rFonts w:ascii="Arial" w:hAnsi="Arial"/>
                <w:b w:val="0"/>
                <w:sz w:val="18"/>
              </w:rPr>
              <w:t>Credit purpose classification.</w:t>
            </w:r>
          </w:p>
        </w:tc>
      </w:tr>
      <w:tr>
        <w:tc>
          <w:tcPr>
            <w:tcW w:type="dxa" w:w="5184"/>
            <w:vAlign w:val="center"/>
          </w:tcPr>
          <w:p>
            <w:pPr>
              <w:jc w:val="left"/>
            </w:pPr>
            <w:r/>
            <w:r>
              <w:rPr>
                <w:rFonts w:ascii="Arial" w:hAnsi="Arial"/>
                <w:b w:val="0"/>
                <w:sz w:val="18"/>
              </w:rPr>
              <w:t>SANPHAM_TINDUNG</w:t>
            </w:r>
          </w:p>
        </w:tc>
        <w:tc>
          <w:tcPr>
            <w:tcW w:type="dxa" w:w="5184"/>
            <w:vAlign w:val="center"/>
          </w:tcPr>
          <w:p>
            <w:pPr>
              <w:jc w:val="left"/>
            </w:pPr>
            <w:r/>
            <w:r>
              <w:rPr>
                <w:rFonts w:ascii="Arial" w:hAnsi="Arial"/>
                <w:b w:val="0"/>
                <w:sz w:val="18"/>
              </w:rPr>
              <w:t>Credit product classification.</w:t>
            </w:r>
          </w:p>
        </w:tc>
      </w:tr>
      <w:tr>
        <w:tc>
          <w:tcPr>
            <w:tcW w:type="dxa" w:w="5184"/>
            <w:vAlign w:val="center"/>
          </w:tcPr>
          <w:p>
            <w:pPr>
              <w:jc w:val="left"/>
            </w:pPr>
            <w:r/>
            <w:r>
              <w:rPr>
                <w:rFonts w:ascii="Arial" w:hAnsi="Arial"/>
                <w:b w:val="0"/>
                <w:sz w:val="18"/>
              </w:rPr>
              <w:t>LOAIHINH_TSBD</w:t>
            </w:r>
          </w:p>
        </w:tc>
        <w:tc>
          <w:tcPr>
            <w:tcW w:type="dxa" w:w="5184"/>
            <w:vAlign w:val="center"/>
          </w:tcPr>
          <w:p>
            <w:pPr>
              <w:jc w:val="left"/>
            </w:pPr>
            <w:r/>
            <w:r>
              <w:rPr>
                <w:rFonts w:ascii="Arial" w:hAnsi="Arial"/>
                <w:b w:val="0"/>
                <w:sz w:val="18"/>
              </w:rPr>
              <w:t>Collateral type classification.</w:t>
            </w:r>
          </w:p>
        </w:tc>
      </w:tr>
      <w:tr>
        <w:tc>
          <w:tcPr>
            <w:tcW w:type="dxa" w:w="5184"/>
            <w:vAlign w:val="center"/>
          </w:tcPr>
          <w:p>
            <w:pPr>
              <w:jc w:val="left"/>
            </w:pPr>
            <w:r/>
            <w:r>
              <w:rPr>
                <w:rFonts w:ascii="Arial" w:hAnsi="Arial"/>
                <w:b w:val="0"/>
                <w:sz w:val="18"/>
              </w:rPr>
              <w:t>RUIRO</w:t>
            </w:r>
          </w:p>
        </w:tc>
        <w:tc>
          <w:tcPr>
            <w:tcW w:type="dxa" w:w="5184"/>
            <w:vAlign w:val="center"/>
          </w:tcPr>
          <w:p>
            <w:pPr>
              <w:jc w:val="left"/>
            </w:pPr>
            <w:r/>
            <w:r>
              <w:rPr>
                <w:rFonts w:ascii="Arial" w:hAnsi="Arial"/>
                <w:b w:val="0"/>
                <w:sz w:val="18"/>
              </w:rPr>
              <w:t>Supporting risk classification data.</w:t>
            </w:r>
          </w:p>
        </w:tc>
      </w:tr>
    </w:tbl>
    <w:p>
      <w:pPr>
        <w:pStyle w:val="Heading2"/>
      </w:pPr>
      <w:r>
        <w:t>4.3. Analytical Helper Tables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center"/>
            </w:pPr>
            <w:r/>
            <w:r>
              <w:rPr>
                <w:rFonts w:ascii="Arial" w:hAnsi="Arial"/>
                <w:b/>
                <w:color w:val="FFFFFF"/>
                <w:sz w:val="18"/>
              </w:rPr>
              <w:t>Table</w:t>
            </w:r>
          </w:p>
        </w:tc>
        <w:tc>
          <w:tcPr>
            <w:tcW w:type="dxa" w:w="5184"/>
            <w:vAlign w:val="center"/>
            <w:shd w:fill="1F4E79"/>
          </w:tcPr>
          <w:p>
            <w:pPr>
              <w:jc w:val="center"/>
            </w:pPr>
            <w:r/>
            <w:r>
              <w:rPr>
                <w:rFonts w:ascii="Arial" w:hAnsi="Arial"/>
                <w:b/>
                <w:color w:val="FFFFFF"/>
                <w:sz w:val="18"/>
              </w:rPr>
              <w:t>Analytical Role</w:t>
            </w:r>
          </w:p>
        </w:tc>
      </w:tr>
      <w:tr>
        <w:tc>
          <w:tcPr>
            <w:tcW w:type="dxa" w:w="5184"/>
            <w:vAlign w:val="center"/>
          </w:tcPr>
          <w:p>
            <w:pPr>
              <w:jc w:val="left"/>
            </w:pPr>
            <w:r/>
            <w:r>
              <w:rPr>
                <w:rFonts w:ascii="Arial" w:hAnsi="Arial"/>
                <w:b w:val="0"/>
                <w:sz w:val="18"/>
              </w:rPr>
              <w:t>DateTable</w:t>
            </w:r>
          </w:p>
        </w:tc>
        <w:tc>
          <w:tcPr>
            <w:tcW w:type="dxa" w:w="5184"/>
            <w:vAlign w:val="center"/>
          </w:tcPr>
          <w:p>
            <w:pPr>
              <w:jc w:val="left"/>
            </w:pPr>
            <w:r/>
            <w:r>
              <w:rPr>
                <w:rFonts w:ascii="Arial" w:hAnsi="Arial"/>
                <w:b w:val="0"/>
                <w:sz w:val="18"/>
              </w:rPr>
              <w:t>Central calendar table for daily, monthly, quarterly, and yearly analysis.</w:t>
            </w:r>
          </w:p>
        </w:tc>
      </w:tr>
      <w:tr>
        <w:tc>
          <w:tcPr>
            <w:tcW w:type="dxa" w:w="5184"/>
            <w:vAlign w:val="center"/>
          </w:tcPr>
          <w:p>
            <w:pPr>
              <w:jc w:val="left"/>
            </w:pPr>
            <w:r/>
            <w:r>
              <w:rPr>
                <w:rFonts w:ascii="Arial" w:hAnsi="Arial"/>
                <w:b w:val="0"/>
                <w:sz w:val="18"/>
              </w:rPr>
              <w:t>Dim_Thoigian_KPI</w:t>
            </w:r>
          </w:p>
        </w:tc>
        <w:tc>
          <w:tcPr>
            <w:tcW w:type="dxa" w:w="5184"/>
            <w:vAlign w:val="center"/>
          </w:tcPr>
          <w:p>
            <w:pPr>
              <w:jc w:val="left"/>
            </w:pPr>
            <w:r/>
            <w:r>
              <w:rPr>
                <w:rFonts w:ascii="Arial" w:hAnsi="Arial"/>
                <w:b w:val="0"/>
                <w:sz w:val="18"/>
              </w:rPr>
              <w:t>Defines KPI reporting periods, start dates, and end dates.</w:t>
            </w:r>
          </w:p>
        </w:tc>
      </w:tr>
      <w:tr>
        <w:tc>
          <w:tcPr>
            <w:tcW w:type="dxa" w:w="5184"/>
            <w:vAlign w:val="center"/>
          </w:tcPr>
          <w:p>
            <w:pPr>
              <w:jc w:val="left"/>
            </w:pPr>
            <w:r/>
            <w:r>
              <w:rPr>
                <w:rFonts w:ascii="Arial" w:hAnsi="Arial"/>
                <w:b w:val="0"/>
                <w:sz w:val="18"/>
              </w:rPr>
              <w:t>Dim_Aging</w:t>
            </w:r>
          </w:p>
        </w:tc>
        <w:tc>
          <w:tcPr>
            <w:tcW w:type="dxa" w:w="5184"/>
            <w:vAlign w:val="center"/>
          </w:tcPr>
          <w:p>
            <w:pPr>
              <w:jc w:val="left"/>
            </w:pPr>
            <w:r/>
            <w:r>
              <w:rPr>
                <w:rFonts w:ascii="Arial" w:hAnsi="Arial"/>
                <w:b w:val="0"/>
                <w:sz w:val="18"/>
              </w:rPr>
              <w:t>Disconnected table defining overdue aging buckets: 1–30, 31–60, 61–90, and &gt;90 days.</w:t>
            </w:r>
          </w:p>
        </w:tc>
      </w:tr>
      <w:tr>
        <w:tc>
          <w:tcPr>
            <w:tcW w:type="dxa" w:w="5184"/>
            <w:vAlign w:val="center"/>
          </w:tcPr>
          <w:p>
            <w:pPr>
              <w:jc w:val="left"/>
            </w:pPr>
            <w:r/>
            <w:r>
              <w:rPr>
                <w:rFonts w:ascii="Arial" w:hAnsi="Arial"/>
                <w:b w:val="0"/>
                <w:sz w:val="18"/>
              </w:rPr>
              <w:t>Dim_QuaHan</w:t>
            </w:r>
          </w:p>
        </w:tc>
        <w:tc>
          <w:tcPr>
            <w:tcW w:type="dxa" w:w="5184"/>
            <w:vAlign w:val="center"/>
          </w:tcPr>
          <w:p>
            <w:pPr>
              <w:jc w:val="left"/>
            </w:pPr>
            <w:r/>
            <w:r>
              <w:rPr>
                <w:rFonts w:ascii="Arial" w:hAnsi="Arial"/>
                <w:b w:val="0"/>
                <w:sz w:val="18"/>
              </w:rPr>
              <w:t>Supporting overdue grouping / analytical rules.</w:t>
            </w:r>
          </w:p>
        </w:tc>
      </w:tr>
      <w:tr>
        <w:tc>
          <w:tcPr>
            <w:tcW w:type="dxa" w:w="5184"/>
            <w:vAlign w:val="center"/>
          </w:tcPr>
          <w:p>
            <w:pPr>
              <w:jc w:val="left"/>
            </w:pPr>
            <w:r/>
            <w:r>
              <w:rPr>
                <w:rFonts w:ascii="Arial" w:hAnsi="Arial"/>
                <w:b w:val="0"/>
                <w:sz w:val="18"/>
              </w:rPr>
              <w:t>Dim_chi_tieu_danh_muc</w:t>
            </w:r>
          </w:p>
        </w:tc>
        <w:tc>
          <w:tcPr>
            <w:tcW w:type="dxa" w:w="5184"/>
            <w:vAlign w:val="center"/>
          </w:tcPr>
          <w:p>
            <w:pPr>
              <w:jc w:val="left"/>
            </w:pPr>
            <w:r/>
            <w:r>
              <w:rPr>
                <w:rFonts w:ascii="Arial" w:hAnsi="Arial"/>
                <w:b w:val="0"/>
                <w:sz w:val="18"/>
              </w:rPr>
              <w:t>Helper dimension for portfolio indicators.</w:t>
            </w:r>
          </w:p>
        </w:tc>
      </w:tr>
      <w:tr>
        <w:tc>
          <w:tcPr>
            <w:tcW w:type="dxa" w:w="5184"/>
            <w:vAlign w:val="center"/>
          </w:tcPr>
          <w:p>
            <w:pPr>
              <w:jc w:val="left"/>
            </w:pPr>
            <w:r/>
            <w:r>
              <w:rPr>
                <w:rFonts w:ascii="Arial" w:hAnsi="Arial"/>
                <w:b w:val="0"/>
                <w:sz w:val="18"/>
              </w:rPr>
              <w:t>Forecast_Bridge</w:t>
            </w:r>
          </w:p>
        </w:tc>
        <w:tc>
          <w:tcPr>
            <w:tcW w:type="dxa" w:w="5184"/>
            <w:vAlign w:val="center"/>
          </w:tcPr>
          <w:p>
            <w:pPr>
              <w:jc w:val="left"/>
            </w:pPr>
            <w:r/>
            <w:r>
              <w:rPr>
                <w:rFonts w:ascii="Arial" w:hAnsi="Arial"/>
                <w:b w:val="0"/>
                <w:sz w:val="18"/>
              </w:rPr>
              <w:t>Disconnected helper table used to build the KPI forecast waterfall.</w:t>
            </w:r>
          </w:p>
        </w:tc>
      </w:tr>
      <w:tr>
        <w:tc>
          <w:tcPr>
            <w:tcW w:type="dxa" w:w="5184"/>
            <w:vAlign w:val="center"/>
          </w:tcPr>
          <w:p>
            <w:pPr>
              <w:jc w:val="left"/>
            </w:pPr>
            <w:r/>
            <w:r>
              <w:rPr>
                <w:rFonts w:ascii="Arial" w:hAnsi="Arial"/>
                <w:b w:val="0"/>
                <w:sz w:val="18"/>
              </w:rPr>
              <w:t>Dư nợ</w:t>
            </w:r>
          </w:p>
        </w:tc>
        <w:tc>
          <w:tcPr>
            <w:tcW w:type="dxa" w:w="5184"/>
            <w:vAlign w:val="center"/>
          </w:tcPr>
          <w:p>
            <w:pPr>
              <w:jc w:val="left"/>
            </w:pPr>
            <w:r/>
            <w:r>
              <w:rPr>
                <w:rFonts w:ascii="Arial" w:hAnsi="Arial"/>
                <w:b w:val="0"/>
                <w:sz w:val="18"/>
              </w:rPr>
              <w:t>Measure table used to organize outstanding-balance calculations.</w:t>
            </w:r>
          </w:p>
        </w:tc>
      </w:tr>
      <w:tr>
        <w:tc>
          <w:tcPr>
            <w:tcW w:type="dxa" w:w="5184"/>
            <w:vAlign w:val="center"/>
          </w:tcPr>
          <w:p>
            <w:pPr>
              <w:jc w:val="left"/>
            </w:pPr>
            <w:r/>
            <w:r>
              <w:rPr>
                <w:rFonts w:ascii="Arial" w:hAnsi="Arial"/>
                <w:b w:val="0"/>
                <w:sz w:val="18"/>
              </w:rPr>
              <w:t>KPI</w:t>
            </w:r>
          </w:p>
        </w:tc>
        <w:tc>
          <w:tcPr>
            <w:tcW w:type="dxa" w:w="5184"/>
            <w:vAlign w:val="center"/>
          </w:tcPr>
          <w:p>
            <w:pPr>
              <w:jc w:val="left"/>
            </w:pPr>
            <w:r/>
            <w:r>
              <w:rPr>
                <w:rFonts w:ascii="Arial" w:hAnsi="Arial"/>
                <w:b w:val="0"/>
                <w:sz w:val="18"/>
              </w:rPr>
              <w:t>Measure table used to organize KPI calculations.</w:t>
            </w:r>
          </w:p>
        </w:tc>
      </w:tr>
    </w:tbl>
    <w:p>
      <w:pPr>
        <w:pStyle w:val="Heading1"/>
      </w:pPr>
      <w:r>
        <w:t>5. Data Model</w:t>
      </w:r>
    </w:p>
    <w:p>
      <w:pPr>
        <w:spacing w:after="100"/>
      </w:pPr>
      <w:r>
        <w:rPr>
          <w:rFonts w:ascii="Arial" w:hAnsi="Arial"/>
          <w:sz w:val="21"/>
        </w:rPr>
        <w:t>The analytical model is centered on HOPDONG_TINDUNG as the main credit-contract entity connecting customer, branch, industry, and transactional/planning tables. The two most important fact-like tables for collection analysis are KE_HOACH_TRA_NO and KHACHHANG_TRANO.</w:t>
      </w:r>
    </w:p>
    <w:p>
      <w:pPr>
        <w:jc w:val="center"/>
      </w:pPr>
      <w:r>
        <w:rPr>
          <w:b/>
          <w:color w:val="1F4E79"/>
        </w:rPr>
        <w:t>CUSTOMER / BRANCH / INDUSTRY  →  HOPDONG_TINDUNG  →  KE_HOACH_TRA_NO / KHACHHANG_TRANO</w:t>
      </w:r>
    </w:p>
    <w:p>
      <w:pPr>
        <w:pStyle w:val="Heading2"/>
      </w:pPr>
      <w:r>
        <w:t>5.1. Important Date Roles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center"/>
            </w:pPr>
            <w:r/>
            <w:r>
              <w:rPr>
                <w:rFonts w:ascii="Arial" w:hAnsi="Arial"/>
                <w:b/>
                <w:color w:val="FFFFFF"/>
                <w:sz w:val="18"/>
              </w:rPr>
              <w:t>Date Field</w:t>
            </w:r>
          </w:p>
        </w:tc>
        <w:tc>
          <w:tcPr>
            <w:tcW w:type="dxa" w:w="5184"/>
            <w:vAlign w:val="center"/>
            <w:shd w:fill="1F4E79"/>
          </w:tcPr>
          <w:p>
            <w:pPr>
              <w:jc w:val="center"/>
            </w:pPr>
            <w:r/>
            <w:r>
              <w:rPr>
                <w:rFonts w:ascii="Arial" w:hAnsi="Arial"/>
                <w:b/>
                <w:color w:val="FFFFFF"/>
                <w:sz w:val="18"/>
              </w:rPr>
              <w:t>Business Meaning</w:t>
            </w:r>
          </w:p>
        </w:tc>
      </w:tr>
      <w:tr>
        <w:tc>
          <w:tcPr>
            <w:tcW w:type="dxa" w:w="5184"/>
            <w:vAlign w:val="center"/>
          </w:tcPr>
          <w:p>
            <w:pPr>
              <w:jc w:val="left"/>
            </w:pPr>
            <w:r/>
            <w:r>
              <w:rPr>
                <w:rFonts w:ascii="Arial" w:hAnsi="Arial"/>
                <w:b w:val="0"/>
                <w:sz w:val="18"/>
              </w:rPr>
              <w:t>HOPDONG_TINDUNG[NGAY_GIAINGAN]</w:t>
            </w:r>
          </w:p>
        </w:tc>
        <w:tc>
          <w:tcPr>
            <w:tcW w:type="dxa" w:w="5184"/>
            <w:vAlign w:val="center"/>
          </w:tcPr>
          <w:p>
            <w:pPr>
              <w:jc w:val="left"/>
            </w:pPr>
            <w:r/>
            <w:r>
              <w:rPr>
                <w:rFonts w:ascii="Arial" w:hAnsi="Arial"/>
                <w:b w:val="0"/>
                <w:sz w:val="18"/>
              </w:rPr>
              <w:t>Disbursement date; used for disbursement analysis.</w:t>
            </w:r>
          </w:p>
        </w:tc>
      </w:tr>
      <w:tr>
        <w:tc>
          <w:tcPr>
            <w:tcW w:type="dxa" w:w="5184"/>
            <w:vAlign w:val="center"/>
          </w:tcPr>
          <w:p>
            <w:pPr>
              <w:jc w:val="left"/>
            </w:pPr>
            <w:r/>
            <w:r>
              <w:rPr>
                <w:rFonts w:ascii="Arial" w:hAnsi="Arial"/>
                <w:b w:val="0"/>
                <w:sz w:val="18"/>
              </w:rPr>
              <w:t>KE_HOACH_TRA_NO[NGAY_CUOIKY]</w:t>
            </w:r>
          </w:p>
        </w:tc>
        <w:tc>
          <w:tcPr>
            <w:tcW w:type="dxa" w:w="5184"/>
            <w:vAlign w:val="center"/>
          </w:tcPr>
          <w:p>
            <w:pPr>
              <w:jc w:val="left"/>
            </w:pPr>
            <w:r/>
            <w:r>
              <w:rPr>
                <w:rFonts w:ascii="Arial" w:hAnsi="Arial"/>
                <w:b w:val="0"/>
                <w:sz w:val="18"/>
              </w:rPr>
              <w:t>Repayment due date; used to determine scheduled obligations and overdue exposure.</w:t>
            </w:r>
          </w:p>
        </w:tc>
      </w:tr>
      <w:tr>
        <w:tc>
          <w:tcPr>
            <w:tcW w:type="dxa" w:w="5184"/>
            <w:vAlign w:val="center"/>
          </w:tcPr>
          <w:p>
            <w:pPr>
              <w:jc w:val="left"/>
            </w:pPr>
            <w:r/>
            <w:r>
              <w:rPr>
                <w:rFonts w:ascii="Arial" w:hAnsi="Arial"/>
                <w:b w:val="0"/>
                <w:sz w:val="18"/>
              </w:rPr>
              <w:t>KHACHHANG_TRANO[NGAYTRA]</w:t>
            </w:r>
          </w:p>
        </w:tc>
        <w:tc>
          <w:tcPr>
            <w:tcW w:type="dxa" w:w="5184"/>
            <w:vAlign w:val="center"/>
          </w:tcPr>
          <w:p>
            <w:pPr>
              <w:jc w:val="left"/>
            </w:pPr>
            <w:r/>
            <w:r>
              <w:rPr>
                <w:rFonts w:ascii="Arial" w:hAnsi="Arial"/>
                <w:b w:val="0"/>
                <w:sz w:val="18"/>
              </w:rPr>
              <w:t>Actual repayment date; used to measure collected cash flows.</w:t>
            </w:r>
          </w:p>
        </w:tc>
      </w:tr>
      <w:tr>
        <w:tc>
          <w:tcPr>
            <w:tcW w:type="dxa" w:w="5184"/>
            <w:vAlign w:val="center"/>
          </w:tcPr>
          <w:p>
            <w:pPr>
              <w:jc w:val="left"/>
            </w:pPr>
            <w:r/>
            <w:r>
              <w:rPr>
                <w:rFonts w:ascii="Arial" w:hAnsi="Arial"/>
                <w:b w:val="0"/>
                <w:sz w:val="18"/>
              </w:rPr>
              <w:t>HOPDONG_TINDUNG[NGAY_DAOHAN]</w:t>
            </w:r>
          </w:p>
        </w:tc>
        <w:tc>
          <w:tcPr>
            <w:tcW w:type="dxa" w:w="5184"/>
            <w:vAlign w:val="center"/>
          </w:tcPr>
          <w:p>
            <w:pPr>
              <w:jc w:val="left"/>
            </w:pPr>
            <w:r/>
            <w:r>
              <w:rPr>
                <w:rFonts w:ascii="Arial" w:hAnsi="Arial"/>
                <w:b w:val="0"/>
                <w:sz w:val="18"/>
              </w:rPr>
              <w:t>Final contract maturity date; used for maturity analysis.</w:t>
            </w:r>
          </w:p>
        </w:tc>
      </w:tr>
    </w:tbl>
    <w:p>
      <w:pPr>
        <w:spacing w:after="100"/>
      </w:pPr>
      <w:r>
        <w:rPr>
          <w:rFonts w:ascii="Arial" w:hAnsi="Arial"/>
          <w:sz w:val="21"/>
        </w:rPr>
        <w:t>To avoid incorrect filter context when a reporting period interacts with multiple date roles, the project uses DAX techniques such as CALCULATE, FILTER, REMOVEFILTERS, USERELATIONSHIP, CROSSFILTER, TREATAS, SUMX, RANKX, and TOPN.</w:t>
      </w:r>
    </w:p>
    <w:p>
      <w:pPr>
        <w:pStyle w:val="Heading1"/>
      </w:pPr>
      <w:r>
        <w:t>6. Reporting Date Logic (As-of Date)</w:t>
      </w:r>
    </w:p>
    <w:p>
      <w:pPr>
        <w:spacing w:after="100"/>
      </w:pPr>
      <w:r>
        <w:rPr>
          <w:rFonts w:ascii="Arial" w:hAnsi="Arial"/>
          <w:sz w:val="21"/>
        </w:rPr>
        <w:t>Historical reporting is handled using an as-of reporting date instead of a fixed current date. The effective reporting date is the earlier of the latest available data date and the selected KPI period end date.</w:t>
      </w:r>
    </w:p>
    <w:p>
      <w:pPr>
        <w:jc w:val="center"/>
      </w:pPr>
      <w:r>
        <w:rPr>
          <w:b/>
          <w:color w:val="1F4E79"/>
        </w:rPr>
        <w:t>REPORT_DATE = MIN(Latest_Data_Date, Selected_KPI_Period_End_Date)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pPr>
              <w:jc w:val="center"/>
            </w:pPr>
            <w:r/>
            <w:r>
              <w:rPr>
                <w:rFonts w:ascii="Arial" w:hAnsi="Arial"/>
                <w:b/>
                <w:color w:val="FFFFFF"/>
                <w:sz w:val="18"/>
              </w:rPr>
              <w:t>Selected Period</w:t>
            </w:r>
          </w:p>
        </w:tc>
        <w:tc>
          <w:tcPr>
            <w:tcW w:type="dxa" w:w="2592"/>
            <w:vAlign w:val="center"/>
            <w:shd w:fill="1F4E79"/>
          </w:tcPr>
          <w:p>
            <w:pPr>
              <w:jc w:val="center"/>
            </w:pPr>
            <w:r/>
            <w:r>
              <w:rPr>
                <w:rFonts w:ascii="Arial" w:hAnsi="Arial"/>
                <w:b/>
                <w:color w:val="FFFFFF"/>
                <w:sz w:val="18"/>
              </w:rPr>
              <w:t>Period End</w:t>
            </w:r>
          </w:p>
        </w:tc>
        <w:tc>
          <w:tcPr>
            <w:tcW w:type="dxa" w:w="2592"/>
            <w:vAlign w:val="center"/>
            <w:shd w:fill="1F4E79"/>
          </w:tcPr>
          <w:p>
            <w:pPr>
              <w:jc w:val="center"/>
            </w:pPr>
            <w:r/>
            <w:r>
              <w:rPr>
                <w:rFonts w:ascii="Arial" w:hAnsi="Arial"/>
                <w:b/>
                <w:color w:val="FFFFFF"/>
                <w:sz w:val="18"/>
              </w:rPr>
              <w:t>Latest Data Date</w:t>
            </w:r>
          </w:p>
        </w:tc>
        <w:tc>
          <w:tcPr>
            <w:tcW w:type="dxa" w:w="2592"/>
            <w:vAlign w:val="center"/>
            <w:shd w:fill="1F4E79"/>
          </w:tcPr>
          <w:p>
            <w:pPr>
              <w:jc w:val="center"/>
            </w:pPr>
            <w:r/>
            <w:r>
              <w:rPr>
                <w:rFonts w:ascii="Arial" w:hAnsi="Arial"/>
                <w:b/>
                <w:color w:val="FFFFFF"/>
                <w:sz w:val="18"/>
              </w:rPr>
              <w:t>Effective Reporting Date</w:t>
            </w:r>
          </w:p>
        </w:tc>
      </w:tr>
      <w:tr>
        <w:tc>
          <w:tcPr>
            <w:tcW w:type="dxa" w:w="2592"/>
            <w:vAlign w:val="center"/>
          </w:tcPr>
          <w:p>
            <w:pPr>
              <w:jc w:val="left"/>
            </w:pPr>
            <w:r/>
            <w:r>
              <w:rPr>
                <w:rFonts w:ascii="Arial" w:hAnsi="Arial"/>
                <w:b w:val="0"/>
                <w:sz w:val="18"/>
              </w:rPr>
              <w:t>2020Q4</w:t>
            </w:r>
          </w:p>
        </w:tc>
        <w:tc>
          <w:tcPr>
            <w:tcW w:type="dxa" w:w="2592"/>
            <w:vAlign w:val="center"/>
          </w:tcPr>
          <w:p>
            <w:pPr>
              <w:jc w:val="left"/>
            </w:pPr>
            <w:r/>
            <w:r>
              <w:rPr>
                <w:rFonts w:ascii="Arial" w:hAnsi="Arial"/>
                <w:b w:val="0"/>
                <w:sz w:val="18"/>
              </w:rPr>
              <w:t>31/12/2020</w:t>
            </w:r>
          </w:p>
        </w:tc>
        <w:tc>
          <w:tcPr>
            <w:tcW w:type="dxa" w:w="2592"/>
            <w:vAlign w:val="center"/>
          </w:tcPr>
          <w:p>
            <w:pPr>
              <w:jc w:val="left"/>
            </w:pPr>
            <w:r/>
            <w:r>
              <w:rPr>
                <w:rFonts w:ascii="Arial" w:hAnsi="Arial"/>
                <w:b w:val="0"/>
                <w:sz w:val="18"/>
              </w:rPr>
              <w:t>27/12/2024</w:t>
            </w:r>
          </w:p>
        </w:tc>
        <w:tc>
          <w:tcPr>
            <w:tcW w:type="dxa" w:w="2592"/>
            <w:vAlign w:val="center"/>
          </w:tcPr>
          <w:p>
            <w:pPr>
              <w:jc w:val="left"/>
            </w:pPr>
            <w:r/>
            <w:r>
              <w:rPr>
                <w:rFonts w:ascii="Arial" w:hAnsi="Arial"/>
                <w:b w:val="0"/>
                <w:sz w:val="18"/>
              </w:rPr>
              <w:t>31/12/2020</w:t>
            </w:r>
          </w:p>
        </w:tc>
      </w:tr>
      <w:tr>
        <w:tc>
          <w:tcPr>
            <w:tcW w:type="dxa" w:w="2592"/>
            <w:vAlign w:val="center"/>
          </w:tcPr>
          <w:p>
            <w:pPr>
              <w:jc w:val="left"/>
            </w:pPr>
            <w:r/>
            <w:r>
              <w:rPr>
                <w:rFonts w:ascii="Arial" w:hAnsi="Arial"/>
                <w:b w:val="0"/>
                <w:sz w:val="18"/>
              </w:rPr>
              <w:t>2024Q4</w:t>
            </w:r>
          </w:p>
        </w:tc>
        <w:tc>
          <w:tcPr>
            <w:tcW w:type="dxa" w:w="2592"/>
            <w:vAlign w:val="center"/>
          </w:tcPr>
          <w:p>
            <w:pPr>
              <w:jc w:val="left"/>
            </w:pPr>
            <w:r/>
            <w:r>
              <w:rPr>
                <w:rFonts w:ascii="Arial" w:hAnsi="Arial"/>
                <w:b w:val="0"/>
                <w:sz w:val="18"/>
              </w:rPr>
              <w:t>31/12/2024</w:t>
            </w:r>
          </w:p>
        </w:tc>
        <w:tc>
          <w:tcPr>
            <w:tcW w:type="dxa" w:w="2592"/>
            <w:vAlign w:val="center"/>
          </w:tcPr>
          <w:p>
            <w:pPr>
              <w:jc w:val="left"/>
            </w:pPr>
            <w:r/>
            <w:r>
              <w:rPr>
                <w:rFonts w:ascii="Arial" w:hAnsi="Arial"/>
                <w:b w:val="0"/>
                <w:sz w:val="18"/>
              </w:rPr>
              <w:t>27/12/2024</w:t>
            </w:r>
          </w:p>
        </w:tc>
        <w:tc>
          <w:tcPr>
            <w:tcW w:type="dxa" w:w="2592"/>
            <w:vAlign w:val="center"/>
          </w:tcPr>
          <w:p>
            <w:pPr>
              <w:jc w:val="left"/>
            </w:pPr>
            <w:r/>
            <w:r>
              <w:rPr>
                <w:rFonts w:ascii="Arial" w:hAnsi="Arial"/>
                <w:b w:val="0"/>
                <w:sz w:val="18"/>
              </w:rPr>
              <w:t>27/12/2024</w:t>
            </w:r>
          </w:p>
        </w:tc>
      </w:tr>
    </w:tbl>
    <w:p>
      <w:pPr>
        <w:pStyle w:val="Heading1"/>
      </w:pPr>
      <w:r>
        <w:t>7. Page 01 – Credit Portfolio Overview</w:t>
      </w:r>
    </w:p>
    <w:p>
      <w:pPr>
        <w:spacing w:after="100"/>
      </w:pPr>
      <w:r>
        <w:rPr>
          <w:rFonts w:ascii="Arial" w:hAnsi="Arial"/>
          <w:sz w:val="21"/>
        </w:rPr>
        <w:t>Objective: provide a portfolio-level view of credit scale, outstanding-balance growth, portfolio structure by region and term, and branch-level exposure.</w:t>
      </w:r>
    </w:p>
    <w:p>
      <w:pPr>
        <w:pStyle w:val="ListBullet"/>
        <w:spacing w:after="40"/>
      </w:pPr>
      <w:r>
        <w:rPr>
          <w:rFonts w:ascii="Arial" w:hAnsi="Arial"/>
          <w:sz w:val="20"/>
        </w:rPr>
        <w:t>426 credit contracts were disbursed during the period.</w:t>
      </w:r>
    </w:p>
    <w:p>
      <w:pPr>
        <w:pStyle w:val="ListBullet"/>
        <w:spacing w:after="40"/>
      </w:pPr>
      <w:r>
        <w:rPr>
          <w:rFonts w:ascii="Arial" w:hAnsi="Arial"/>
          <w:sz w:val="20"/>
        </w:rPr>
        <w:t>Total disbursement reached approximately 396.53 billion VND.</w:t>
      </w:r>
    </w:p>
    <w:p>
      <w:pPr>
        <w:pStyle w:val="ListBullet"/>
        <w:spacing w:after="40"/>
      </w:pPr>
      <w:r>
        <w:rPr>
          <w:rFonts w:ascii="Arial" w:hAnsi="Arial"/>
          <w:sz w:val="20"/>
        </w:rPr>
        <w:t>Outstanding principal increased from approximately 3.23 trillion VND to 3.45 trillion VND.</w:t>
      </w:r>
    </w:p>
    <w:p>
      <w:pPr>
        <w:pStyle w:val="ListBullet"/>
        <w:spacing w:after="40"/>
      </w:pPr>
      <w:r>
        <w:rPr>
          <w:rFonts w:ascii="Arial" w:hAnsi="Arial"/>
          <w:sz w:val="20"/>
        </w:rPr>
        <w:t>Portfolio growth was approximately 6.69%.</w:t>
      </w:r>
    </w:p>
    <w:p>
      <w:pPr>
        <w:pStyle w:val="ListBullet"/>
        <w:spacing w:after="40"/>
      </w:pPr>
      <w:r>
        <w:rPr>
          <w:rFonts w:ascii="Arial" w:hAnsi="Arial"/>
          <w:sz w:val="20"/>
        </w:rPr>
        <w:t>Principal collected during the period was approximately 180.16 billion VND, while interest collected was approximately 67.72 billion VND.</w:t>
      </w:r>
    </w:p>
    <w:p>
      <w:pPr>
        <w:spacing w:after="100"/>
      </w:pPr>
      <w:r>
        <w:rPr>
          <w:rFonts w:ascii="Arial" w:hAnsi="Arial"/>
          <w:sz w:val="21"/>
        </w:rPr>
        <w:t>Main visuals include outstanding balance by region, portfolio structure by contract term, disbursement and collection trends, Top 10 branches by ending outstanding principal, and a portfolio summary table.</w:t>
      </w:r>
    </w:p>
    <w:p>
      <w:pPr>
        <w:jc w:val="center"/>
      </w:pPr>
      <w:r>
        <w:drawing>
          <wp:inline xmlns:a="http://schemas.openxmlformats.org/drawingml/2006/main" xmlns:pic="http://schemas.openxmlformats.org/drawingml/2006/picture">
            <wp:extent cx="6172200" cy="3512385"/>
            <wp:docPr id="1" name="Picture 1"/>
            <wp:cNvGraphicFramePr>
              <a:graphicFrameLocks noChangeAspect="1"/>
            </wp:cNvGraphicFramePr>
            <a:graphic>
              <a:graphicData uri="http://schemas.openxmlformats.org/drawingml/2006/picture">
                <pic:pic>
                  <pic:nvPicPr>
                    <pic:cNvPr id="0" name="b8e8d10e-d69c-4670-b297-8f8ee4140d75.png"/>
                    <pic:cNvPicPr/>
                  </pic:nvPicPr>
                  <pic:blipFill>
                    <a:blip r:embed="rId9"/>
                    <a:stretch>
                      <a:fillRect/>
                    </a:stretch>
                  </pic:blipFill>
                  <pic:spPr>
                    <a:xfrm>
                      <a:off x="0" y="0"/>
                      <a:ext cx="6172200" cy="3512385"/>
                    </a:xfrm>
                    <a:prstGeom prst="rect"/>
                  </pic:spPr>
                </pic:pic>
              </a:graphicData>
            </a:graphic>
          </wp:inline>
        </w:drawing>
      </w:r>
    </w:p>
    <w:p>
      <w:pPr>
        <w:pStyle w:val="Heading1"/>
      </w:pPr>
      <w:r>
        <w:t>8. Page 02 – Disbursement KPI</w:t>
      </w:r>
    </w:p>
    <w:p>
      <w:pPr>
        <w:spacing w:after="100"/>
      </w:pPr>
      <w:r>
        <w:rPr>
          <w:rFonts w:ascii="Arial" w:hAnsi="Arial"/>
          <w:sz w:val="21"/>
        </w:rPr>
        <w:t>Objective: compare planned disbursement with actual performance, estimate the probability of meeting the target by period end, and identify branches contributing most to the KPI shortfall.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center"/>
            </w:pPr>
            <w:r/>
            <w:r>
              <w:rPr>
                <w:rFonts w:ascii="Arial" w:hAnsi="Arial"/>
                <w:b/>
                <w:color w:val="FFFFFF"/>
                <w:sz w:val="18"/>
              </w:rPr>
              <w:t>KPI</w:t>
            </w:r>
          </w:p>
        </w:tc>
        <w:tc>
          <w:tcPr>
            <w:tcW w:type="dxa" w:w="5184"/>
            <w:vAlign w:val="center"/>
            <w:shd w:fill="1F4E79"/>
          </w:tcPr>
          <w:p>
            <w:pPr>
              <w:jc w:val="center"/>
            </w:pPr>
            <w:r/>
            <w:r>
              <w:rPr>
                <w:rFonts w:ascii="Arial" w:hAnsi="Arial"/>
                <w:b/>
                <w:color w:val="FFFFFF"/>
                <w:sz w:val="18"/>
              </w:rPr>
              <w:t>2024 Q4 Value</w:t>
            </w:r>
          </w:p>
        </w:tc>
      </w:tr>
      <w:tr>
        <w:tc>
          <w:tcPr>
            <w:tcW w:type="dxa" w:w="5184"/>
            <w:vAlign w:val="center"/>
          </w:tcPr>
          <w:p>
            <w:pPr>
              <w:jc w:val="left"/>
            </w:pPr>
            <w:r/>
            <w:r>
              <w:rPr>
                <w:rFonts w:ascii="Arial" w:hAnsi="Arial"/>
                <w:b w:val="0"/>
                <w:sz w:val="18"/>
              </w:rPr>
              <w:t>Planned Disbursement</w:t>
            </w:r>
          </w:p>
        </w:tc>
        <w:tc>
          <w:tcPr>
            <w:tcW w:type="dxa" w:w="5184"/>
            <w:vAlign w:val="center"/>
          </w:tcPr>
          <w:p>
            <w:pPr>
              <w:jc w:val="left"/>
            </w:pPr>
            <w:r/>
            <w:r>
              <w:rPr>
                <w:rFonts w:ascii="Arial" w:hAnsi="Arial"/>
                <w:b w:val="0"/>
                <w:sz w:val="18"/>
              </w:rPr>
              <w:t>≈ 2.15 trillion VND</w:t>
            </w:r>
          </w:p>
        </w:tc>
      </w:tr>
      <w:tr>
        <w:tc>
          <w:tcPr>
            <w:tcW w:type="dxa" w:w="5184"/>
            <w:vAlign w:val="center"/>
          </w:tcPr>
          <w:p>
            <w:pPr>
              <w:jc w:val="left"/>
            </w:pPr>
            <w:r/>
            <w:r>
              <w:rPr>
                <w:rFonts w:ascii="Arial" w:hAnsi="Arial"/>
                <w:b w:val="0"/>
                <w:sz w:val="18"/>
              </w:rPr>
              <w:t>Actual Disbursement</w:t>
            </w:r>
          </w:p>
        </w:tc>
        <w:tc>
          <w:tcPr>
            <w:tcW w:type="dxa" w:w="5184"/>
            <w:vAlign w:val="center"/>
          </w:tcPr>
          <w:p>
            <w:pPr>
              <w:jc w:val="left"/>
            </w:pPr>
            <w:r/>
            <w:r>
              <w:rPr>
                <w:rFonts w:ascii="Arial" w:hAnsi="Arial"/>
                <w:b w:val="0"/>
                <w:sz w:val="18"/>
              </w:rPr>
              <w:t>≈ 396.53 billion VND</w:t>
            </w:r>
          </w:p>
        </w:tc>
      </w:tr>
      <w:tr>
        <w:tc>
          <w:tcPr>
            <w:tcW w:type="dxa" w:w="5184"/>
            <w:vAlign w:val="center"/>
          </w:tcPr>
          <w:p>
            <w:pPr>
              <w:jc w:val="left"/>
            </w:pPr>
            <w:r/>
            <w:r>
              <w:rPr>
                <w:rFonts w:ascii="Arial" w:hAnsi="Arial"/>
                <w:b w:val="0"/>
                <w:sz w:val="18"/>
              </w:rPr>
              <w:t>Completion Rate</w:t>
            </w:r>
          </w:p>
        </w:tc>
        <w:tc>
          <w:tcPr>
            <w:tcW w:type="dxa" w:w="5184"/>
            <w:vAlign w:val="center"/>
          </w:tcPr>
          <w:p>
            <w:pPr>
              <w:jc w:val="left"/>
            </w:pPr>
            <w:r/>
            <w:r>
              <w:rPr>
                <w:rFonts w:ascii="Arial" w:hAnsi="Arial"/>
                <w:b w:val="0"/>
                <w:sz w:val="18"/>
              </w:rPr>
              <w:t>18.48%</w:t>
            </w:r>
          </w:p>
        </w:tc>
      </w:tr>
      <w:tr>
        <w:tc>
          <w:tcPr>
            <w:tcW w:type="dxa" w:w="5184"/>
            <w:vAlign w:val="center"/>
          </w:tcPr>
          <w:p>
            <w:pPr>
              <w:jc w:val="left"/>
            </w:pPr>
            <w:r/>
            <w:r>
              <w:rPr>
                <w:rFonts w:ascii="Arial" w:hAnsi="Arial"/>
                <w:b w:val="0"/>
                <w:sz w:val="18"/>
              </w:rPr>
              <w:t>KPI Variance</w:t>
            </w:r>
          </w:p>
        </w:tc>
        <w:tc>
          <w:tcPr>
            <w:tcW w:type="dxa" w:w="5184"/>
            <w:vAlign w:val="center"/>
          </w:tcPr>
          <w:p>
            <w:pPr>
              <w:jc w:val="left"/>
            </w:pPr>
            <w:r/>
            <w:r>
              <w:rPr>
                <w:rFonts w:ascii="Arial" w:hAnsi="Arial"/>
                <w:b w:val="0"/>
                <w:sz w:val="18"/>
              </w:rPr>
              <w:t>≈ -1.75 trillion VND</w:t>
            </w:r>
          </w:p>
        </w:tc>
      </w:tr>
      <w:tr>
        <w:tc>
          <w:tcPr>
            <w:tcW w:type="dxa" w:w="5184"/>
            <w:vAlign w:val="center"/>
          </w:tcPr>
          <w:p>
            <w:pPr>
              <w:jc w:val="left"/>
            </w:pPr>
            <w:r/>
            <w:r>
              <w:rPr>
                <w:rFonts w:ascii="Arial" w:hAnsi="Arial"/>
                <w:b w:val="0"/>
                <w:sz w:val="18"/>
              </w:rPr>
              <w:t>Forecast at Period End</w:t>
            </w:r>
          </w:p>
        </w:tc>
        <w:tc>
          <w:tcPr>
            <w:tcW w:type="dxa" w:w="5184"/>
            <w:vAlign w:val="center"/>
          </w:tcPr>
          <w:p>
            <w:pPr>
              <w:jc w:val="left"/>
            </w:pPr>
            <w:r/>
            <w:r>
              <w:rPr>
                <w:rFonts w:ascii="Arial" w:hAnsi="Arial"/>
                <w:b w:val="0"/>
                <w:sz w:val="18"/>
              </w:rPr>
              <w:t>≈ 476.80 billion VND</w:t>
            </w:r>
          </w:p>
        </w:tc>
      </w:tr>
      <w:tr>
        <w:tc>
          <w:tcPr>
            <w:tcW w:type="dxa" w:w="5184"/>
            <w:vAlign w:val="center"/>
          </w:tcPr>
          <w:p>
            <w:pPr>
              <w:jc w:val="left"/>
            </w:pPr>
            <w:r/>
            <w:r>
              <w:rPr>
                <w:rFonts w:ascii="Arial" w:hAnsi="Arial"/>
                <w:b w:val="0"/>
                <w:sz w:val="18"/>
              </w:rPr>
              <w:t>Forecast Shortfall</w:t>
            </w:r>
          </w:p>
        </w:tc>
        <w:tc>
          <w:tcPr>
            <w:tcW w:type="dxa" w:w="5184"/>
            <w:vAlign w:val="center"/>
          </w:tcPr>
          <w:p>
            <w:pPr>
              <w:jc w:val="left"/>
            </w:pPr>
            <w:r/>
            <w:r>
              <w:rPr>
                <w:rFonts w:ascii="Arial" w:hAnsi="Arial"/>
                <w:b w:val="0"/>
                <w:sz w:val="18"/>
              </w:rPr>
              <w:t>≈ 1.67 trillion VND</w:t>
            </w:r>
          </w:p>
        </w:tc>
      </w:tr>
      <w:tr>
        <w:tc>
          <w:tcPr>
            <w:tcW w:type="dxa" w:w="5184"/>
            <w:vAlign w:val="center"/>
          </w:tcPr>
          <w:p>
            <w:pPr>
              <w:jc w:val="left"/>
            </w:pPr>
            <w:r/>
            <w:r>
              <w:rPr>
                <w:rFonts w:ascii="Arial" w:hAnsi="Arial"/>
                <w:b w:val="0"/>
                <w:sz w:val="18"/>
              </w:rPr>
              <w:t>Required Daily Disbursement Rate</w:t>
            </w:r>
          </w:p>
        </w:tc>
        <w:tc>
          <w:tcPr>
            <w:tcW w:type="dxa" w:w="5184"/>
            <w:vAlign w:val="center"/>
          </w:tcPr>
          <w:p>
            <w:pPr>
              <w:jc w:val="left"/>
            </w:pPr>
            <w:r/>
            <w:r>
              <w:rPr>
                <w:rFonts w:ascii="Arial" w:hAnsi="Arial"/>
                <w:b w:val="0"/>
                <w:sz w:val="18"/>
              </w:rPr>
              <w:t>≈ 4.74 billion VND</w:t>
            </w:r>
          </w:p>
        </w:tc>
      </w:tr>
      <w:tr>
        <w:tc>
          <w:tcPr>
            <w:tcW w:type="dxa" w:w="5184"/>
            <w:vAlign w:val="center"/>
          </w:tcPr>
          <w:p>
            <w:pPr>
              <w:jc w:val="left"/>
            </w:pPr>
            <w:r/>
            <w:r>
              <w:rPr>
                <w:rFonts w:ascii="Arial" w:hAnsi="Arial"/>
                <w:b w:val="0"/>
                <w:sz w:val="18"/>
              </w:rPr>
              <w:t>Branches Below KPI</w:t>
            </w:r>
          </w:p>
        </w:tc>
        <w:tc>
          <w:tcPr>
            <w:tcW w:type="dxa" w:w="5184"/>
            <w:vAlign w:val="center"/>
          </w:tcPr>
          <w:p>
            <w:pPr>
              <w:jc w:val="left"/>
            </w:pPr>
            <w:r/>
            <w:r>
              <w:rPr>
                <w:rFonts w:ascii="Arial" w:hAnsi="Arial"/>
                <w:b w:val="0"/>
                <w:sz w:val="18"/>
              </w:rPr>
              <w:t>31</w:t>
            </w:r>
          </w:p>
        </w:tc>
      </w:tr>
    </w:tbl>
    <w:p>
      <w:pPr>
        <w:spacing w:after="100"/>
      </w:pPr>
      <w:r>
        <w:rPr>
          <w:rFonts w:ascii="Arial" w:hAnsi="Arial"/>
          <w:sz w:val="21"/>
        </w:rPr>
        <w:t>Main visuals include KPI completion by branch, a branch scale vs. performance scatter plot, a forecast waterfall, Pareto analysis of KPI shortfall, and a branch-level KPI action table.</w:t>
      </w:r>
    </w:p>
    <w:p>
      <w:pPr>
        <w:spacing w:after="100"/>
      </w:pPr>
      <w:r>
        <w:rPr>
          <w:rFonts w:ascii="Arial" w:hAnsi="Arial"/>
          <w:sz w:val="21"/>
        </w:rPr>
        <w:t>Key insight: the portfolio continued to expand, but actual disbursement remained significantly below plan. The shortfall is concentrated in a subset of branches, suggesting that management should prioritize high-plan, low-performance branches rather than distribute intervention evenly across the network.</w:t>
      </w:r>
    </w:p>
    <w:p>
      <w:pPr>
        <w:jc w:val="center"/>
      </w:pPr>
      <w:r>
        <w:drawing>
          <wp:inline xmlns:a="http://schemas.openxmlformats.org/drawingml/2006/main" xmlns:pic="http://schemas.openxmlformats.org/drawingml/2006/picture">
            <wp:extent cx="6172200" cy="3453554"/>
            <wp:docPr id="2" name="Picture 2"/>
            <wp:cNvGraphicFramePr>
              <a:graphicFrameLocks noChangeAspect="1"/>
            </wp:cNvGraphicFramePr>
            <a:graphic>
              <a:graphicData uri="http://schemas.openxmlformats.org/drawingml/2006/picture">
                <pic:pic>
                  <pic:nvPicPr>
                    <pic:cNvPr id="0" name="44b16d28-90f4-4245-a41d-08fb675dddb7.png"/>
                    <pic:cNvPicPr/>
                  </pic:nvPicPr>
                  <pic:blipFill>
                    <a:blip r:embed="rId10"/>
                    <a:stretch>
                      <a:fillRect/>
                    </a:stretch>
                  </pic:blipFill>
                  <pic:spPr>
                    <a:xfrm>
                      <a:off x="0" y="0"/>
                      <a:ext cx="6172200" cy="3453554"/>
                    </a:xfrm>
                    <a:prstGeom prst="rect"/>
                  </pic:spPr>
                </pic:pic>
              </a:graphicData>
            </a:graphic>
          </wp:inline>
        </w:drawing>
      </w:r>
    </w:p>
    <w:p>
      <w:pPr>
        <w:pStyle w:val="Heading1"/>
      </w:pPr>
      <w:r>
        <w:t>9. Page 03 – Repayment &amp; Collection Efficiency</w:t>
      </w:r>
    </w:p>
    <w:p>
      <w:pPr>
        <w:spacing w:after="100"/>
      </w:pPr>
      <w:r>
        <w:rPr>
          <w:rFonts w:ascii="Arial" w:hAnsi="Arial"/>
          <w:sz w:val="21"/>
        </w:rPr>
        <w:t>Objective: compare scheduled repayment obligations with actual collection, evaluate principal and interest collection rates, and identify remaining overdue exposure.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center"/>
            </w:pPr>
            <w:r/>
            <w:r>
              <w:rPr>
                <w:rFonts w:ascii="Arial" w:hAnsi="Arial"/>
                <w:b/>
                <w:color w:val="FFFFFF"/>
                <w:sz w:val="18"/>
              </w:rPr>
              <w:t>KPI</w:t>
            </w:r>
          </w:p>
        </w:tc>
        <w:tc>
          <w:tcPr>
            <w:tcW w:type="dxa" w:w="5184"/>
            <w:vAlign w:val="center"/>
            <w:shd w:fill="1F4E79"/>
          </w:tcPr>
          <w:p>
            <w:pPr>
              <w:jc w:val="center"/>
            </w:pPr>
            <w:r/>
            <w:r>
              <w:rPr>
                <w:rFonts w:ascii="Arial" w:hAnsi="Arial"/>
                <w:b/>
                <w:color w:val="FFFFFF"/>
                <w:sz w:val="18"/>
              </w:rPr>
              <w:t>2024 Q4 Value</w:t>
            </w:r>
          </w:p>
        </w:tc>
      </w:tr>
      <w:tr>
        <w:tc>
          <w:tcPr>
            <w:tcW w:type="dxa" w:w="5184"/>
            <w:vAlign w:val="center"/>
          </w:tcPr>
          <w:p>
            <w:pPr>
              <w:jc w:val="left"/>
            </w:pPr>
            <w:r/>
            <w:r>
              <w:rPr>
                <w:rFonts w:ascii="Arial" w:hAnsi="Arial"/>
                <w:b w:val="0"/>
                <w:sz w:val="18"/>
              </w:rPr>
              <w:t>Principal Due</w:t>
            </w:r>
          </w:p>
        </w:tc>
        <w:tc>
          <w:tcPr>
            <w:tcW w:type="dxa" w:w="5184"/>
            <w:vAlign w:val="center"/>
          </w:tcPr>
          <w:p>
            <w:pPr>
              <w:jc w:val="left"/>
            </w:pPr>
            <w:r/>
            <w:r>
              <w:rPr>
                <w:rFonts w:ascii="Arial" w:hAnsi="Arial"/>
                <w:b w:val="0"/>
                <w:sz w:val="18"/>
              </w:rPr>
              <w:t>≈ 1.50 trillion VND</w:t>
            </w:r>
          </w:p>
        </w:tc>
      </w:tr>
      <w:tr>
        <w:tc>
          <w:tcPr>
            <w:tcW w:type="dxa" w:w="5184"/>
            <w:vAlign w:val="center"/>
          </w:tcPr>
          <w:p>
            <w:pPr>
              <w:jc w:val="left"/>
            </w:pPr>
            <w:r/>
            <w:r>
              <w:rPr>
                <w:rFonts w:ascii="Arial" w:hAnsi="Arial"/>
                <w:b w:val="0"/>
                <w:sz w:val="18"/>
              </w:rPr>
              <w:t>Interest Due</w:t>
            </w:r>
          </w:p>
        </w:tc>
        <w:tc>
          <w:tcPr>
            <w:tcW w:type="dxa" w:w="5184"/>
            <w:vAlign w:val="center"/>
          </w:tcPr>
          <w:p>
            <w:pPr>
              <w:jc w:val="left"/>
            </w:pPr>
            <w:r/>
            <w:r>
              <w:rPr>
                <w:rFonts w:ascii="Arial" w:hAnsi="Arial"/>
                <w:b w:val="0"/>
                <w:sz w:val="18"/>
              </w:rPr>
              <w:t>≈ 881.48 billion VND</w:t>
            </w:r>
          </w:p>
        </w:tc>
      </w:tr>
      <w:tr>
        <w:tc>
          <w:tcPr>
            <w:tcW w:type="dxa" w:w="5184"/>
            <w:vAlign w:val="center"/>
          </w:tcPr>
          <w:p>
            <w:pPr>
              <w:jc w:val="left"/>
            </w:pPr>
            <w:r/>
            <w:r>
              <w:rPr>
                <w:rFonts w:ascii="Arial" w:hAnsi="Arial"/>
                <w:b w:val="0"/>
                <w:sz w:val="18"/>
              </w:rPr>
              <w:t>Principal Collected</w:t>
            </w:r>
          </w:p>
        </w:tc>
        <w:tc>
          <w:tcPr>
            <w:tcW w:type="dxa" w:w="5184"/>
            <w:vAlign w:val="center"/>
          </w:tcPr>
          <w:p>
            <w:pPr>
              <w:jc w:val="left"/>
            </w:pPr>
            <w:r/>
            <w:r>
              <w:rPr>
                <w:rFonts w:ascii="Arial" w:hAnsi="Arial"/>
                <w:b w:val="0"/>
                <w:sz w:val="18"/>
              </w:rPr>
              <w:t>≈ 1.49 trillion VND</w:t>
            </w:r>
          </w:p>
        </w:tc>
      </w:tr>
      <w:tr>
        <w:tc>
          <w:tcPr>
            <w:tcW w:type="dxa" w:w="5184"/>
            <w:vAlign w:val="center"/>
          </w:tcPr>
          <w:p>
            <w:pPr>
              <w:jc w:val="left"/>
            </w:pPr>
            <w:r/>
            <w:r>
              <w:rPr>
                <w:rFonts w:ascii="Arial" w:hAnsi="Arial"/>
                <w:b w:val="0"/>
                <w:sz w:val="18"/>
              </w:rPr>
              <w:t>Interest Collected</w:t>
            </w:r>
          </w:p>
        </w:tc>
        <w:tc>
          <w:tcPr>
            <w:tcW w:type="dxa" w:w="5184"/>
            <w:vAlign w:val="center"/>
          </w:tcPr>
          <w:p>
            <w:pPr>
              <w:jc w:val="left"/>
            </w:pPr>
            <w:r/>
            <w:r>
              <w:rPr>
                <w:rFonts w:ascii="Arial" w:hAnsi="Arial"/>
                <w:b w:val="0"/>
                <w:sz w:val="18"/>
              </w:rPr>
              <w:t>≈ 876.88 billion VND</w:t>
            </w:r>
          </w:p>
        </w:tc>
      </w:tr>
      <w:tr>
        <w:tc>
          <w:tcPr>
            <w:tcW w:type="dxa" w:w="5184"/>
            <w:vAlign w:val="center"/>
          </w:tcPr>
          <w:p>
            <w:pPr>
              <w:jc w:val="left"/>
            </w:pPr>
            <w:r/>
            <w:r>
              <w:rPr>
                <w:rFonts w:ascii="Arial" w:hAnsi="Arial"/>
                <w:b w:val="0"/>
                <w:sz w:val="18"/>
              </w:rPr>
              <w:t>Principal Collection Rate</w:t>
            </w:r>
          </w:p>
        </w:tc>
        <w:tc>
          <w:tcPr>
            <w:tcW w:type="dxa" w:w="5184"/>
            <w:vAlign w:val="center"/>
          </w:tcPr>
          <w:p>
            <w:pPr>
              <w:jc w:val="left"/>
            </w:pPr>
            <w:r/>
            <w:r>
              <w:rPr>
                <w:rFonts w:ascii="Arial" w:hAnsi="Arial"/>
                <w:b w:val="0"/>
                <w:sz w:val="18"/>
              </w:rPr>
              <w:t>99.31%</w:t>
            </w:r>
          </w:p>
        </w:tc>
      </w:tr>
      <w:tr>
        <w:tc>
          <w:tcPr>
            <w:tcW w:type="dxa" w:w="5184"/>
            <w:vAlign w:val="center"/>
          </w:tcPr>
          <w:p>
            <w:pPr>
              <w:jc w:val="left"/>
            </w:pPr>
            <w:r/>
            <w:r>
              <w:rPr>
                <w:rFonts w:ascii="Arial" w:hAnsi="Arial"/>
                <w:b w:val="0"/>
                <w:sz w:val="18"/>
              </w:rPr>
              <w:t>Interest Collection Rate</w:t>
            </w:r>
          </w:p>
        </w:tc>
        <w:tc>
          <w:tcPr>
            <w:tcW w:type="dxa" w:w="5184"/>
            <w:vAlign w:val="center"/>
          </w:tcPr>
          <w:p>
            <w:pPr>
              <w:jc w:val="left"/>
            </w:pPr>
            <w:r/>
            <w:r>
              <w:rPr>
                <w:rFonts w:ascii="Arial" w:hAnsi="Arial"/>
                <w:b w:val="0"/>
                <w:sz w:val="18"/>
              </w:rPr>
              <w:t>99.48%</w:t>
            </w:r>
          </w:p>
        </w:tc>
      </w:tr>
      <w:tr>
        <w:tc>
          <w:tcPr>
            <w:tcW w:type="dxa" w:w="5184"/>
            <w:vAlign w:val="center"/>
          </w:tcPr>
          <w:p>
            <w:pPr>
              <w:jc w:val="left"/>
            </w:pPr>
            <w:r/>
            <w:r>
              <w:rPr>
                <w:rFonts w:ascii="Arial" w:hAnsi="Arial"/>
                <w:b w:val="0"/>
                <w:sz w:val="18"/>
              </w:rPr>
              <w:t>Overdue Principal</w:t>
            </w:r>
          </w:p>
        </w:tc>
        <w:tc>
          <w:tcPr>
            <w:tcW w:type="dxa" w:w="5184"/>
            <w:vAlign w:val="center"/>
          </w:tcPr>
          <w:p>
            <w:pPr>
              <w:jc w:val="left"/>
            </w:pPr>
            <w:r/>
            <w:r>
              <w:rPr>
                <w:rFonts w:ascii="Arial" w:hAnsi="Arial"/>
                <w:b w:val="0"/>
                <w:sz w:val="18"/>
              </w:rPr>
              <w:t>≈ 10.39 billion VND</w:t>
            </w:r>
          </w:p>
        </w:tc>
      </w:tr>
      <w:tr>
        <w:tc>
          <w:tcPr>
            <w:tcW w:type="dxa" w:w="5184"/>
            <w:vAlign w:val="center"/>
          </w:tcPr>
          <w:p>
            <w:pPr>
              <w:jc w:val="left"/>
            </w:pPr>
            <w:r/>
            <w:r>
              <w:rPr>
                <w:rFonts w:ascii="Arial" w:hAnsi="Arial"/>
                <w:b w:val="0"/>
                <w:sz w:val="18"/>
              </w:rPr>
              <w:t>Overdue Contracts</w:t>
            </w:r>
          </w:p>
        </w:tc>
        <w:tc>
          <w:tcPr>
            <w:tcW w:type="dxa" w:w="5184"/>
            <w:vAlign w:val="center"/>
          </w:tcPr>
          <w:p>
            <w:pPr>
              <w:jc w:val="left"/>
            </w:pPr>
            <w:r/>
            <w:r>
              <w:rPr>
                <w:rFonts w:ascii="Arial" w:hAnsi="Arial"/>
                <w:b w:val="0"/>
                <w:sz w:val="18"/>
              </w:rPr>
              <w:t>19</w:t>
            </w:r>
          </w:p>
        </w:tc>
      </w:tr>
    </w:tbl>
    <w:p>
      <w:pPr>
        <w:pStyle w:val="Heading2"/>
      </w:pPr>
      <w:r>
        <w:t>9.1. Overdue Aging Analysis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pPr>
              <w:jc w:val="center"/>
            </w:pPr>
            <w:r/>
            <w:r>
              <w:rPr>
                <w:rFonts w:ascii="Arial" w:hAnsi="Arial"/>
                <w:b/>
                <w:color w:val="FFFFFF"/>
                <w:sz w:val="18"/>
              </w:rPr>
              <w:t>Aging Bucket</w:t>
            </w:r>
          </w:p>
        </w:tc>
        <w:tc>
          <w:tcPr>
            <w:tcW w:type="dxa" w:w="3456"/>
            <w:vAlign w:val="center"/>
            <w:shd w:fill="1F4E79"/>
          </w:tcPr>
          <w:p>
            <w:pPr>
              <w:jc w:val="center"/>
            </w:pPr>
            <w:r/>
            <w:r>
              <w:rPr>
                <w:rFonts w:ascii="Arial" w:hAnsi="Arial"/>
                <w:b/>
                <w:color w:val="FFFFFF"/>
                <w:sz w:val="18"/>
              </w:rPr>
              <w:t>Overdue Principal</w:t>
            </w:r>
          </w:p>
        </w:tc>
        <w:tc>
          <w:tcPr>
            <w:tcW w:type="dxa" w:w="3456"/>
            <w:vAlign w:val="center"/>
            <w:shd w:fill="1F4E79"/>
          </w:tcPr>
          <w:p>
            <w:pPr>
              <w:jc w:val="center"/>
            </w:pPr>
            <w:r/>
            <w:r>
              <w:rPr>
                <w:rFonts w:ascii="Arial" w:hAnsi="Arial"/>
                <w:b/>
                <w:color w:val="FFFFFF"/>
                <w:sz w:val="18"/>
              </w:rPr>
              <w:t>Interpretation</w:t>
            </w:r>
          </w:p>
        </w:tc>
      </w:tr>
      <w:tr>
        <w:tc>
          <w:tcPr>
            <w:tcW w:type="dxa" w:w="3456"/>
            <w:vAlign w:val="center"/>
          </w:tcPr>
          <w:p>
            <w:pPr>
              <w:jc w:val="left"/>
            </w:pPr>
            <w:r/>
            <w:r>
              <w:rPr>
                <w:rFonts w:ascii="Arial" w:hAnsi="Arial"/>
                <w:b w:val="0"/>
                <w:sz w:val="18"/>
              </w:rPr>
              <w:t>&gt;90 days</w:t>
            </w:r>
          </w:p>
        </w:tc>
        <w:tc>
          <w:tcPr>
            <w:tcW w:type="dxa" w:w="3456"/>
            <w:vAlign w:val="center"/>
          </w:tcPr>
          <w:p>
            <w:pPr>
              <w:jc w:val="left"/>
            </w:pPr>
            <w:r/>
            <w:r>
              <w:rPr>
                <w:rFonts w:ascii="Arial" w:hAnsi="Arial"/>
                <w:b w:val="0"/>
                <w:sz w:val="18"/>
              </w:rPr>
              <w:t>≈ 5.98 billion VND</w:t>
            </w:r>
          </w:p>
        </w:tc>
        <w:tc>
          <w:tcPr>
            <w:tcW w:type="dxa" w:w="3456"/>
            <w:vAlign w:val="center"/>
          </w:tcPr>
          <w:p>
            <w:pPr>
              <w:jc w:val="left"/>
            </w:pPr>
            <w:r/>
            <w:r>
              <w:rPr>
                <w:rFonts w:ascii="Arial" w:hAnsi="Arial"/>
                <w:b w:val="0"/>
                <w:sz w:val="18"/>
              </w:rPr>
              <w:t>Largest overdue bucket, indicating persistent collection risk.</w:t>
            </w:r>
          </w:p>
        </w:tc>
      </w:tr>
      <w:tr>
        <w:tc>
          <w:tcPr>
            <w:tcW w:type="dxa" w:w="3456"/>
            <w:vAlign w:val="center"/>
          </w:tcPr>
          <w:p>
            <w:pPr>
              <w:jc w:val="left"/>
            </w:pPr>
            <w:r/>
            <w:r>
              <w:rPr>
                <w:rFonts w:ascii="Arial" w:hAnsi="Arial"/>
                <w:b w:val="0"/>
                <w:sz w:val="18"/>
              </w:rPr>
              <w:t>1–30 days</w:t>
            </w:r>
          </w:p>
        </w:tc>
        <w:tc>
          <w:tcPr>
            <w:tcW w:type="dxa" w:w="3456"/>
            <w:vAlign w:val="center"/>
          </w:tcPr>
          <w:p>
            <w:pPr>
              <w:jc w:val="left"/>
            </w:pPr>
            <w:r/>
            <w:r>
              <w:rPr>
                <w:rFonts w:ascii="Arial" w:hAnsi="Arial"/>
                <w:b w:val="0"/>
                <w:sz w:val="18"/>
              </w:rPr>
              <w:t>≈ 1.56 billion VND</w:t>
            </w:r>
          </w:p>
        </w:tc>
        <w:tc>
          <w:tcPr>
            <w:tcW w:type="dxa" w:w="3456"/>
            <w:vAlign w:val="center"/>
          </w:tcPr>
          <w:p>
            <w:pPr>
              <w:jc w:val="left"/>
            </w:pPr>
            <w:r/>
            <w:r>
              <w:rPr>
                <w:rFonts w:ascii="Arial" w:hAnsi="Arial"/>
                <w:b w:val="0"/>
                <w:sz w:val="18"/>
              </w:rPr>
              <w:t>Recently overdue exposure with greater opportunity for early intervention.</w:t>
            </w:r>
          </w:p>
        </w:tc>
      </w:tr>
      <w:tr>
        <w:tc>
          <w:tcPr>
            <w:tcW w:type="dxa" w:w="3456"/>
            <w:vAlign w:val="center"/>
          </w:tcPr>
          <w:p>
            <w:pPr>
              <w:jc w:val="left"/>
            </w:pPr>
            <w:r/>
            <w:r>
              <w:rPr>
                <w:rFonts w:ascii="Arial" w:hAnsi="Arial"/>
                <w:b w:val="0"/>
                <w:sz w:val="18"/>
              </w:rPr>
              <w:t>31–60 days</w:t>
            </w:r>
          </w:p>
        </w:tc>
        <w:tc>
          <w:tcPr>
            <w:tcW w:type="dxa" w:w="3456"/>
            <w:vAlign w:val="center"/>
          </w:tcPr>
          <w:p>
            <w:pPr>
              <w:jc w:val="left"/>
            </w:pPr>
            <w:r/>
            <w:r>
              <w:rPr>
                <w:rFonts w:ascii="Arial" w:hAnsi="Arial"/>
                <w:b w:val="0"/>
                <w:sz w:val="18"/>
              </w:rPr>
              <w:t>≈ 1.53 billion VND</w:t>
            </w:r>
          </w:p>
        </w:tc>
        <w:tc>
          <w:tcPr>
            <w:tcW w:type="dxa" w:w="3456"/>
            <w:vAlign w:val="center"/>
          </w:tcPr>
          <w:p>
            <w:pPr>
              <w:jc w:val="left"/>
            </w:pPr>
            <w:r/>
            <w:r>
              <w:rPr>
                <w:rFonts w:ascii="Arial" w:hAnsi="Arial"/>
                <w:b w:val="0"/>
                <w:sz w:val="18"/>
              </w:rPr>
              <w:t>Increasing warning level.</w:t>
            </w:r>
          </w:p>
        </w:tc>
      </w:tr>
      <w:tr>
        <w:tc>
          <w:tcPr>
            <w:tcW w:type="dxa" w:w="3456"/>
            <w:vAlign w:val="center"/>
          </w:tcPr>
          <w:p>
            <w:pPr>
              <w:jc w:val="left"/>
            </w:pPr>
            <w:r/>
            <w:r>
              <w:rPr>
                <w:rFonts w:ascii="Arial" w:hAnsi="Arial"/>
                <w:b w:val="0"/>
                <w:sz w:val="18"/>
              </w:rPr>
              <w:t>61–90 days</w:t>
            </w:r>
          </w:p>
        </w:tc>
        <w:tc>
          <w:tcPr>
            <w:tcW w:type="dxa" w:w="3456"/>
            <w:vAlign w:val="center"/>
          </w:tcPr>
          <w:p>
            <w:pPr>
              <w:jc w:val="left"/>
            </w:pPr>
            <w:r/>
            <w:r>
              <w:rPr>
                <w:rFonts w:ascii="Arial" w:hAnsi="Arial"/>
                <w:b w:val="0"/>
                <w:sz w:val="18"/>
              </w:rPr>
              <w:t>≈ 1.33 billion VND</w:t>
            </w:r>
          </w:p>
        </w:tc>
        <w:tc>
          <w:tcPr>
            <w:tcW w:type="dxa" w:w="3456"/>
            <w:vAlign w:val="center"/>
          </w:tcPr>
          <w:p>
            <w:pPr>
              <w:jc w:val="left"/>
            </w:pPr>
            <w:r/>
            <w:r>
              <w:rPr>
                <w:rFonts w:ascii="Arial" w:hAnsi="Arial"/>
                <w:b w:val="0"/>
                <w:sz w:val="18"/>
              </w:rPr>
              <w:t>Exposure approaching the most severe aging bucket.</w:t>
            </w:r>
          </w:p>
        </w:tc>
      </w:tr>
    </w:tbl>
    <w:p>
      <w:pPr>
        <w:spacing w:after="100"/>
      </w:pPr>
      <w:r>
        <w:rPr>
          <w:rFonts w:ascii="Arial" w:hAnsi="Arial"/>
          <w:sz w:val="21"/>
        </w:rPr>
        <w:t>The branch overdue-principal Pareto analysis identifies the small number of branches contributing the majority of total overdue exposure. The cumulative percentage answers a management question: how many branches must be prioritized to address most of the overdue problem?</w:t>
      </w:r>
    </w:p>
    <w:p>
      <w:pPr>
        <w:spacing w:after="100"/>
      </w:pPr>
      <w:r>
        <w:rPr>
          <w:rFonts w:ascii="Arial" w:hAnsi="Arial"/>
          <w:sz w:val="21"/>
        </w:rPr>
        <w:t>Key insight: portfolio-wide collection performance is very strong (&gt;99%), but the remaining overdue principal is materially concentrated in the &gt;90-day bucket. This represents a tail-risk problem that requires targeted intervention rather than broad portfolio-wide action.</w:t>
      </w:r>
    </w:p>
    <w:p>
      <w:pPr>
        <w:jc w:val="center"/>
      </w:pPr>
      <w:r>
        <w:drawing>
          <wp:inline xmlns:a="http://schemas.openxmlformats.org/drawingml/2006/main" xmlns:pic="http://schemas.openxmlformats.org/drawingml/2006/picture">
            <wp:extent cx="6172200" cy="3446145"/>
            <wp:docPr id="3" name="Picture 3"/>
            <wp:cNvGraphicFramePr>
              <a:graphicFrameLocks noChangeAspect="1"/>
            </wp:cNvGraphicFramePr>
            <a:graphic>
              <a:graphicData uri="http://schemas.openxmlformats.org/drawingml/2006/picture">
                <pic:pic>
                  <pic:nvPicPr>
                    <pic:cNvPr id="0" name="0c9ce7fd-beca-41eb-ae93-4f8d7a6229df.png"/>
                    <pic:cNvPicPr/>
                  </pic:nvPicPr>
                  <pic:blipFill>
                    <a:blip r:embed="rId11"/>
                    <a:stretch>
                      <a:fillRect/>
                    </a:stretch>
                  </pic:blipFill>
                  <pic:spPr>
                    <a:xfrm>
                      <a:off x="0" y="0"/>
                      <a:ext cx="6172200" cy="3446145"/>
                    </a:xfrm>
                    <a:prstGeom prst="rect"/>
                  </pic:spPr>
                </pic:pic>
              </a:graphicData>
            </a:graphic>
          </wp:inline>
        </w:drawing>
      </w:r>
    </w:p>
    <w:p>
      <w:pPr>
        <w:pStyle w:val="Heading1"/>
      </w:pPr>
      <w:r>
        <w:t>10. Page 04 – Portfolio Quality &amp; Risk</w:t>
      </w:r>
    </w:p>
    <w:p>
      <w:pPr>
        <w:spacing w:after="100"/>
      </w:pPr>
      <w:r>
        <w:rPr>
          <w:rFonts w:ascii="Arial" w:hAnsi="Arial"/>
          <w:sz w:val="21"/>
        </w:rPr>
        <w:t>Objective: evaluate portfolio quality at the portfolio level, including exposure associated with overdue contracts, customer and industry concentration, maturity pressure, branch-level risk, and high-risk contract monitoring.</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center"/>
            </w:pPr>
            <w:r/>
            <w:r>
              <w:rPr>
                <w:rFonts w:ascii="Arial" w:hAnsi="Arial"/>
                <w:b/>
                <w:color w:val="FFFFFF"/>
                <w:sz w:val="18"/>
              </w:rPr>
              <w:t>KPI</w:t>
            </w:r>
          </w:p>
        </w:tc>
        <w:tc>
          <w:tcPr>
            <w:tcW w:type="dxa" w:w="5184"/>
            <w:vAlign w:val="center"/>
            <w:shd w:fill="1F4E79"/>
          </w:tcPr>
          <w:p>
            <w:pPr>
              <w:jc w:val="center"/>
            </w:pPr>
            <w:r/>
            <w:r>
              <w:rPr>
                <w:rFonts w:ascii="Arial" w:hAnsi="Arial"/>
                <w:b/>
                <w:color w:val="FFFFFF"/>
                <w:sz w:val="18"/>
              </w:rPr>
              <w:t>2024 Q4 Value</w:t>
            </w:r>
          </w:p>
        </w:tc>
      </w:tr>
      <w:tr>
        <w:tc>
          <w:tcPr>
            <w:tcW w:type="dxa" w:w="5184"/>
            <w:vAlign w:val="center"/>
          </w:tcPr>
          <w:p>
            <w:pPr>
              <w:jc w:val="left"/>
            </w:pPr>
            <w:r/>
            <w:r>
              <w:rPr>
                <w:rFonts w:ascii="Arial" w:hAnsi="Arial"/>
                <w:b w:val="0"/>
                <w:sz w:val="18"/>
              </w:rPr>
              <w:t>Total Outstanding Balance</w:t>
            </w:r>
          </w:p>
        </w:tc>
        <w:tc>
          <w:tcPr>
            <w:tcW w:type="dxa" w:w="5184"/>
            <w:vAlign w:val="center"/>
          </w:tcPr>
          <w:p>
            <w:pPr>
              <w:jc w:val="left"/>
            </w:pPr>
            <w:r/>
            <w:r>
              <w:rPr>
                <w:rFonts w:ascii="Arial" w:hAnsi="Arial"/>
                <w:b w:val="0"/>
                <w:sz w:val="18"/>
              </w:rPr>
              <w:t>≈ 2.07 trillion VND</w:t>
            </w:r>
          </w:p>
        </w:tc>
      </w:tr>
      <w:tr>
        <w:tc>
          <w:tcPr>
            <w:tcW w:type="dxa" w:w="5184"/>
            <w:vAlign w:val="center"/>
          </w:tcPr>
          <w:p>
            <w:pPr>
              <w:jc w:val="left"/>
            </w:pPr>
            <w:r/>
            <w:r>
              <w:rPr>
                <w:rFonts w:ascii="Arial" w:hAnsi="Arial"/>
                <w:b w:val="0"/>
                <w:sz w:val="18"/>
              </w:rPr>
              <w:t>Overdue Principal</w:t>
            </w:r>
          </w:p>
        </w:tc>
        <w:tc>
          <w:tcPr>
            <w:tcW w:type="dxa" w:w="5184"/>
            <w:vAlign w:val="center"/>
          </w:tcPr>
          <w:p>
            <w:pPr>
              <w:jc w:val="left"/>
            </w:pPr>
            <w:r/>
            <w:r>
              <w:rPr>
                <w:rFonts w:ascii="Arial" w:hAnsi="Arial"/>
                <w:b w:val="0"/>
                <w:sz w:val="18"/>
              </w:rPr>
              <w:t>≈ 10.39 billion VND</w:t>
            </w:r>
          </w:p>
        </w:tc>
      </w:tr>
      <w:tr>
        <w:tc>
          <w:tcPr>
            <w:tcW w:type="dxa" w:w="5184"/>
            <w:vAlign w:val="center"/>
          </w:tcPr>
          <w:p>
            <w:pPr>
              <w:jc w:val="left"/>
            </w:pPr>
            <w:r/>
            <w:r>
              <w:rPr>
                <w:rFonts w:ascii="Arial" w:hAnsi="Arial"/>
                <w:b w:val="0"/>
                <w:sz w:val="18"/>
              </w:rPr>
              <w:t>Outstanding Balance of Overdue Contracts</w:t>
            </w:r>
          </w:p>
        </w:tc>
        <w:tc>
          <w:tcPr>
            <w:tcW w:type="dxa" w:w="5184"/>
            <w:vAlign w:val="center"/>
          </w:tcPr>
          <w:p>
            <w:pPr>
              <w:jc w:val="left"/>
            </w:pPr>
            <w:r/>
            <w:r>
              <w:rPr>
                <w:rFonts w:ascii="Arial" w:hAnsi="Arial"/>
                <w:b w:val="0"/>
                <w:sz w:val="18"/>
              </w:rPr>
              <w:t>≈ 45.44 billion VND</w:t>
            </w:r>
          </w:p>
        </w:tc>
      </w:tr>
      <w:tr>
        <w:tc>
          <w:tcPr>
            <w:tcW w:type="dxa" w:w="5184"/>
            <w:vAlign w:val="center"/>
          </w:tcPr>
          <w:p>
            <w:pPr>
              <w:jc w:val="left"/>
            </w:pPr>
            <w:r/>
            <w:r>
              <w:rPr>
                <w:rFonts w:ascii="Arial" w:hAnsi="Arial"/>
                <w:b w:val="0"/>
                <w:sz w:val="18"/>
              </w:rPr>
              <w:t>Overdue Contract Exposure Ratio</w:t>
            </w:r>
          </w:p>
        </w:tc>
        <w:tc>
          <w:tcPr>
            <w:tcW w:type="dxa" w:w="5184"/>
            <w:vAlign w:val="center"/>
          </w:tcPr>
          <w:p>
            <w:pPr>
              <w:jc w:val="left"/>
            </w:pPr>
            <w:r/>
            <w:r>
              <w:rPr>
                <w:rFonts w:ascii="Arial" w:hAnsi="Arial"/>
                <w:b w:val="0"/>
                <w:sz w:val="18"/>
              </w:rPr>
              <w:t>2.20%</w:t>
            </w:r>
          </w:p>
        </w:tc>
      </w:tr>
      <w:tr>
        <w:tc>
          <w:tcPr>
            <w:tcW w:type="dxa" w:w="5184"/>
            <w:vAlign w:val="center"/>
          </w:tcPr>
          <w:p>
            <w:pPr>
              <w:jc w:val="left"/>
            </w:pPr>
            <w:r/>
            <w:r>
              <w:rPr>
                <w:rFonts w:ascii="Arial" w:hAnsi="Arial"/>
                <w:b w:val="0"/>
                <w:sz w:val="18"/>
              </w:rPr>
              <w:t>Overdue Contracts</w:t>
            </w:r>
          </w:p>
        </w:tc>
        <w:tc>
          <w:tcPr>
            <w:tcW w:type="dxa" w:w="5184"/>
            <w:vAlign w:val="center"/>
          </w:tcPr>
          <w:p>
            <w:pPr>
              <w:jc w:val="left"/>
            </w:pPr>
            <w:r/>
            <w:r>
              <w:rPr>
                <w:rFonts w:ascii="Arial" w:hAnsi="Arial"/>
                <w:b w:val="0"/>
                <w:sz w:val="18"/>
              </w:rPr>
              <w:t>19</w:t>
            </w:r>
          </w:p>
        </w:tc>
      </w:tr>
      <w:tr>
        <w:tc>
          <w:tcPr>
            <w:tcW w:type="dxa" w:w="5184"/>
            <w:vAlign w:val="center"/>
          </w:tcPr>
          <w:p>
            <w:pPr>
              <w:jc w:val="left"/>
            </w:pPr>
            <w:r/>
            <w:r>
              <w:rPr>
                <w:rFonts w:ascii="Arial" w:hAnsi="Arial"/>
                <w:b w:val="0"/>
                <w:sz w:val="18"/>
              </w:rPr>
              <w:t>Top 10 Customer Concentration</w:t>
            </w:r>
          </w:p>
        </w:tc>
        <w:tc>
          <w:tcPr>
            <w:tcW w:type="dxa" w:w="5184"/>
            <w:vAlign w:val="center"/>
          </w:tcPr>
          <w:p>
            <w:pPr>
              <w:jc w:val="left"/>
            </w:pPr>
            <w:r/>
            <w:r>
              <w:rPr>
                <w:rFonts w:ascii="Arial" w:hAnsi="Arial"/>
                <w:b w:val="0"/>
                <w:sz w:val="18"/>
              </w:rPr>
              <w:t>26.37%</w:t>
            </w:r>
          </w:p>
        </w:tc>
      </w:tr>
      <w:tr>
        <w:tc>
          <w:tcPr>
            <w:tcW w:type="dxa" w:w="5184"/>
            <w:vAlign w:val="center"/>
          </w:tcPr>
          <w:p>
            <w:pPr>
              <w:jc w:val="left"/>
            </w:pPr>
            <w:r/>
            <w:r>
              <w:rPr>
                <w:rFonts w:ascii="Arial" w:hAnsi="Arial"/>
                <w:b w:val="0"/>
                <w:sz w:val="18"/>
              </w:rPr>
              <w:t>Top 3 Industry Concentration</w:t>
            </w:r>
          </w:p>
        </w:tc>
        <w:tc>
          <w:tcPr>
            <w:tcW w:type="dxa" w:w="5184"/>
            <w:vAlign w:val="center"/>
          </w:tcPr>
          <w:p>
            <w:pPr>
              <w:jc w:val="left"/>
            </w:pPr>
            <w:r/>
            <w:r>
              <w:rPr>
                <w:rFonts w:ascii="Arial" w:hAnsi="Arial"/>
                <w:b w:val="0"/>
                <w:sz w:val="18"/>
              </w:rPr>
              <w:t>47.08%</w:t>
            </w:r>
          </w:p>
        </w:tc>
      </w:tr>
      <w:tr>
        <w:tc>
          <w:tcPr>
            <w:tcW w:type="dxa" w:w="5184"/>
            <w:vAlign w:val="center"/>
          </w:tcPr>
          <w:p>
            <w:pPr>
              <w:jc w:val="left"/>
            </w:pPr>
            <w:r/>
            <w:r>
              <w:rPr>
                <w:rFonts w:ascii="Arial" w:hAnsi="Arial"/>
                <w:b w:val="0"/>
                <w:sz w:val="18"/>
              </w:rPr>
              <w:t>Outstanding Balance Maturing ≤30 Days</w:t>
            </w:r>
          </w:p>
        </w:tc>
        <w:tc>
          <w:tcPr>
            <w:tcW w:type="dxa" w:w="5184"/>
            <w:vAlign w:val="center"/>
          </w:tcPr>
          <w:p>
            <w:pPr>
              <w:jc w:val="left"/>
            </w:pPr>
            <w:r/>
            <w:r>
              <w:rPr>
                <w:rFonts w:ascii="Arial" w:hAnsi="Arial"/>
                <w:b w:val="0"/>
                <w:sz w:val="18"/>
              </w:rPr>
              <w:t>≈ 318.33 million VND</w:t>
            </w:r>
          </w:p>
        </w:tc>
      </w:tr>
    </w:tbl>
    <w:p>
      <w:pPr>
        <w:pStyle w:val="Heading2"/>
      </w:pPr>
      <w:r>
        <w:t>Branch Risk Matrix</w:t>
      </w:r>
    </w:p>
    <w:p>
      <w:pPr>
        <w:spacing w:after="100"/>
      </w:pPr>
      <w:r>
        <w:rPr>
          <w:rFonts w:ascii="Arial" w:hAnsi="Arial"/>
          <w:sz w:val="21"/>
        </w:rPr>
        <w:t>Compares outstanding balance, overdue-exposure ratio, and overdue principal. Branches with both large exposure and high overdue ratios receive the highest monitoring priority.</w:t>
      </w:r>
    </w:p>
    <w:p>
      <w:pPr>
        <w:pStyle w:val="Heading2"/>
      </w:pPr>
      <w:r>
        <w:t>Industry Concentration</w:t>
      </w:r>
    </w:p>
    <w:p>
      <w:pPr>
        <w:spacing w:after="100"/>
      </w:pPr>
      <w:r>
        <w:rPr>
          <w:rFonts w:ascii="Arial" w:hAnsi="Arial"/>
          <w:sz w:val="21"/>
        </w:rPr>
        <w:t>The treemap shows that the Top 3 industries account for approximately 47.08% of outstanding exposure, highlighting sector concentration risk.</w:t>
      </w:r>
    </w:p>
    <w:p>
      <w:pPr>
        <w:pStyle w:val="Heading2"/>
      </w:pPr>
      <w:r>
        <w:t>Maturity Structure</w:t>
      </w:r>
    </w:p>
    <w:p>
      <w:pPr>
        <w:spacing w:after="100"/>
      </w:pPr>
      <w:r>
        <w:rPr>
          <w:rFonts w:ascii="Arial" w:hAnsi="Arial"/>
          <w:sz w:val="21"/>
        </w:rPr>
        <w:t>Outstanding balances are grouped into ≤30, 31–90, 91–180, 181–365, and &gt;365 day maturity buckets to evaluate near-term maturity pressure.</w:t>
      </w:r>
    </w:p>
    <w:p>
      <w:pPr>
        <w:pStyle w:val="Heading2"/>
      </w:pPr>
      <w:r>
        <w:t>Outstanding Balance &amp; Risk Trend</w:t>
      </w:r>
    </w:p>
    <w:p>
      <w:pPr>
        <w:spacing w:after="100"/>
      </w:pPr>
      <w:r>
        <w:rPr>
          <w:rFonts w:ascii="Arial" w:hAnsi="Arial"/>
          <w:sz w:val="21"/>
        </w:rPr>
        <w:t>AS-OF measures are used for each month to evaluate whether portfolio growth is accompanied by increasing overdue exposure.</w:t>
      </w:r>
    </w:p>
    <w:p>
      <w:pPr>
        <w:pStyle w:val="Heading2"/>
      </w:pPr>
      <w:r>
        <w:t>High-Risk Contract Watchlist</w:t>
      </w:r>
    </w:p>
    <w:p>
      <w:pPr>
        <w:spacing w:after="100"/>
      </w:pPr>
      <w:r>
        <w:rPr>
          <w:rFonts w:ascii="Arial" w:hAnsi="Arial"/>
          <w:sz w:val="21"/>
        </w:rPr>
        <w:t>Moves from portfolio-level monitoring to contract-level action by identifying contracts requiring closer review.</w:t>
      </w:r>
    </w:p>
    <w:p>
      <w:pPr>
        <w:jc w:val="center"/>
      </w:pPr>
      <w:r>
        <w:drawing>
          <wp:inline xmlns:a="http://schemas.openxmlformats.org/drawingml/2006/main" xmlns:pic="http://schemas.openxmlformats.org/drawingml/2006/picture">
            <wp:extent cx="6172200" cy="3456841"/>
            <wp:docPr id="4" name="Picture 4"/>
            <wp:cNvGraphicFramePr>
              <a:graphicFrameLocks noChangeAspect="1"/>
            </wp:cNvGraphicFramePr>
            <a:graphic>
              <a:graphicData uri="http://schemas.openxmlformats.org/drawingml/2006/picture">
                <pic:pic>
                  <pic:nvPicPr>
                    <pic:cNvPr id="0" name="073e7209-7f4d-4cf5-848f-8c5309bc0e04.png"/>
                    <pic:cNvPicPr/>
                  </pic:nvPicPr>
                  <pic:blipFill>
                    <a:blip r:embed="rId12"/>
                    <a:stretch>
                      <a:fillRect/>
                    </a:stretch>
                  </pic:blipFill>
                  <pic:spPr>
                    <a:xfrm>
                      <a:off x="0" y="0"/>
                      <a:ext cx="6172200" cy="3456841"/>
                    </a:xfrm>
                    <a:prstGeom prst="rect"/>
                  </pic:spPr>
                </pic:pic>
              </a:graphicData>
            </a:graphic>
          </wp:inline>
        </w:drawing>
      </w:r>
    </w:p>
    <w:p>
      <w:pPr>
        <w:pStyle w:val="Heading1"/>
      </w:pPr>
      <w:r>
        <w:t>11. Key DAX &amp; Analytical Techniques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center"/>
            </w:pPr>
            <w:r/>
            <w:r>
              <w:rPr>
                <w:rFonts w:ascii="Arial" w:hAnsi="Arial"/>
                <w:b/>
                <w:color w:val="FFFFFF"/>
                <w:sz w:val="18"/>
              </w:rPr>
              <w:t>Technique</w:t>
            </w:r>
          </w:p>
        </w:tc>
        <w:tc>
          <w:tcPr>
            <w:tcW w:type="dxa" w:w="5184"/>
            <w:vAlign w:val="center"/>
            <w:shd w:fill="1F4E79"/>
          </w:tcPr>
          <w:p>
            <w:pPr>
              <w:jc w:val="center"/>
            </w:pPr>
            <w:r/>
            <w:r>
              <w:rPr>
                <w:rFonts w:ascii="Arial" w:hAnsi="Arial"/>
                <w:b/>
                <w:color w:val="FFFFFF"/>
                <w:sz w:val="18"/>
              </w:rPr>
              <w:t>Application in the Project</w:t>
            </w:r>
          </w:p>
        </w:tc>
      </w:tr>
      <w:tr>
        <w:tc>
          <w:tcPr>
            <w:tcW w:type="dxa" w:w="5184"/>
            <w:vAlign w:val="center"/>
          </w:tcPr>
          <w:p>
            <w:pPr>
              <w:jc w:val="left"/>
            </w:pPr>
            <w:r/>
            <w:r>
              <w:rPr>
                <w:rFonts w:ascii="Arial" w:hAnsi="Arial"/>
                <w:b w:val="0"/>
                <w:sz w:val="18"/>
              </w:rPr>
              <w:t>Filter Context Management</w:t>
            </w:r>
          </w:p>
        </w:tc>
        <w:tc>
          <w:tcPr>
            <w:tcW w:type="dxa" w:w="5184"/>
            <w:vAlign w:val="center"/>
          </w:tcPr>
          <w:p>
            <w:pPr>
              <w:jc w:val="left"/>
            </w:pPr>
            <w:r/>
            <w:r>
              <w:rPr>
                <w:rFonts w:ascii="Arial" w:hAnsi="Arial"/>
                <w:b w:val="0"/>
                <w:sz w:val="18"/>
              </w:rPr>
              <w:t>CALCULATE, FILTER, REMOVEFILTERS, CROSSFILTER, USERELATIONSHIP, and TREATAS were used to manage multiple date roles and interactions across fact tables.</w:t>
            </w:r>
          </w:p>
        </w:tc>
      </w:tr>
      <w:tr>
        <w:tc>
          <w:tcPr>
            <w:tcW w:type="dxa" w:w="5184"/>
            <w:vAlign w:val="center"/>
          </w:tcPr>
          <w:p>
            <w:pPr>
              <w:jc w:val="left"/>
            </w:pPr>
            <w:r/>
            <w:r>
              <w:rPr>
                <w:rFonts w:ascii="Arial" w:hAnsi="Arial"/>
                <w:b w:val="0"/>
                <w:sz w:val="18"/>
              </w:rPr>
              <w:t>Iterator Functions</w:t>
            </w:r>
          </w:p>
        </w:tc>
        <w:tc>
          <w:tcPr>
            <w:tcW w:type="dxa" w:w="5184"/>
            <w:vAlign w:val="center"/>
          </w:tcPr>
          <w:p>
            <w:pPr>
              <w:jc w:val="left"/>
            </w:pPr>
            <w:r/>
            <w:r>
              <w:rPr>
                <w:rFonts w:ascii="Arial" w:hAnsi="Arial"/>
                <w:b w:val="0"/>
                <w:sz w:val="18"/>
              </w:rPr>
              <w:t>SUMX, MAXX, and AVERAGEX were used to calculate values at contract/installment grain before aggregation to portfolio level.</w:t>
            </w:r>
          </w:p>
        </w:tc>
      </w:tr>
      <w:tr>
        <w:tc>
          <w:tcPr>
            <w:tcW w:type="dxa" w:w="5184"/>
            <w:vAlign w:val="center"/>
          </w:tcPr>
          <w:p>
            <w:pPr>
              <w:jc w:val="left"/>
            </w:pPr>
            <w:r/>
            <w:r>
              <w:rPr>
                <w:rFonts w:ascii="Arial" w:hAnsi="Arial"/>
                <w:b w:val="0"/>
                <w:sz w:val="18"/>
              </w:rPr>
              <w:t>Ranking &amp; Pareto</w:t>
            </w:r>
          </w:p>
        </w:tc>
        <w:tc>
          <w:tcPr>
            <w:tcW w:type="dxa" w:w="5184"/>
            <w:vAlign w:val="center"/>
          </w:tcPr>
          <w:p>
            <w:pPr>
              <w:jc w:val="left"/>
            </w:pPr>
            <w:r/>
            <w:r>
              <w:rPr>
                <w:rFonts w:ascii="Arial" w:hAnsi="Arial"/>
                <w:b w:val="0"/>
                <w:sz w:val="18"/>
              </w:rPr>
              <w:t>RANKX, TOPN, and ALLSELECTED were used for KPI-shortfall Pareto analysis and overdue-principal Pareto analysis.</w:t>
            </w:r>
          </w:p>
        </w:tc>
      </w:tr>
      <w:tr>
        <w:tc>
          <w:tcPr>
            <w:tcW w:type="dxa" w:w="5184"/>
            <w:vAlign w:val="center"/>
          </w:tcPr>
          <w:p>
            <w:pPr>
              <w:jc w:val="left"/>
            </w:pPr>
            <w:r/>
            <w:r>
              <w:rPr>
                <w:rFonts w:ascii="Arial" w:hAnsi="Arial"/>
                <w:b w:val="0"/>
                <w:sz w:val="18"/>
              </w:rPr>
              <w:t>AS-OF Reporting</w:t>
            </w:r>
          </w:p>
        </w:tc>
        <w:tc>
          <w:tcPr>
            <w:tcW w:type="dxa" w:w="5184"/>
            <w:vAlign w:val="center"/>
          </w:tcPr>
          <w:p>
            <w:pPr>
              <w:jc w:val="left"/>
            </w:pPr>
            <w:r/>
            <w:r>
              <w:rPr>
                <w:rFonts w:ascii="Arial" w:hAnsi="Arial"/>
                <w:b w:val="0"/>
                <w:sz w:val="18"/>
              </w:rPr>
              <w:t>Historical outstanding balance and risk were reconstructed at each snapshot date instead of relying on current-state contract status.</w:t>
            </w:r>
          </w:p>
        </w:tc>
      </w:tr>
      <w:tr>
        <w:tc>
          <w:tcPr>
            <w:tcW w:type="dxa" w:w="5184"/>
            <w:vAlign w:val="center"/>
          </w:tcPr>
          <w:p>
            <w:pPr>
              <w:jc w:val="left"/>
            </w:pPr>
            <w:r/>
            <w:r>
              <w:rPr>
                <w:rFonts w:ascii="Arial" w:hAnsi="Arial"/>
                <w:b w:val="0"/>
                <w:sz w:val="18"/>
              </w:rPr>
              <w:t>Forecasting</w:t>
            </w:r>
          </w:p>
        </w:tc>
        <w:tc>
          <w:tcPr>
            <w:tcW w:type="dxa" w:w="5184"/>
            <w:vAlign w:val="center"/>
          </w:tcPr>
          <w:p>
            <w:pPr>
              <w:jc w:val="left"/>
            </w:pPr>
            <w:r/>
            <w:r>
              <w:rPr>
                <w:rFonts w:ascii="Arial" w:hAnsi="Arial"/>
                <w:b w:val="0"/>
                <w:sz w:val="18"/>
              </w:rPr>
              <w:t>Forecast measures and waterfall analysis were used to estimate period-end KPI completion and remaining shortfall.</w:t>
            </w:r>
          </w:p>
        </w:tc>
      </w:tr>
    </w:tbl>
    <w:p>
      <w:pPr>
        <w:pStyle w:val="Heading1"/>
      </w:pPr>
      <w:r>
        <w:t>12. Key Analytical Challenges</w:t>
      </w:r>
    </w:p>
    <w:p>
      <w:pPr>
        <w:pStyle w:val="Heading2"/>
      </w:pPr>
      <w:r>
        <w:t>12.1. Multiple Date Roles</w:t>
      </w:r>
    </w:p>
    <w:p>
      <w:pPr>
        <w:spacing w:after="100"/>
      </w:pPr>
      <w:r>
        <w:rPr>
          <w:rFonts w:ascii="Arial" w:hAnsi="Arial"/>
          <w:sz w:val="21"/>
        </w:rPr>
        <w:t>A credit contract simultaneously contains a disbursement date, repayment due dates, actual repayment dates, and a final maturity date. Using the wrong date field changes the business meaning of a metric, so each analytical question is mapped to the appropriate date role.</w:t>
      </w:r>
    </w:p>
    <w:p>
      <w:pPr>
        <w:pStyle w:val="Heading2"/>
      </w:pPr>
      <w:r>
        <w:t>12.2. Repayment Schedule vs. Actual Repayment</w:t>
      </w:r>
    </w:p>
    <w:p>
      <w:pPr>
        <w:spacing w:after="100"/>
      </w:pPr>
      <w:r>
        <w:rPr>
          <w:rFonts w:ascii="Arial" w:hAnsi="Arial"/>
          <w:sz w:val="21"/>
        </w:rPr>
        <w:t>KE_HOACH_TRA_NO represents scheduled obligations, while KHACHHANG_TRANO represents actual repayments. Some repayment records do not contain an installment identifier (KY), therefore installment-level allocation must be interpreted cautiously. Contract-level and portfolio-level KPIs are prioritized for final management conclusions.</w:t>
      </w:r>
    </w:p>
    <w:p>
      <w:pPr>
        <w:pStyle w:val="Heading2"/>
      </w:pPr>
      <w:r>
        <w:t>12.3. Historical Snapshots</w:t>
      </w:r>
    </w:p>
    <w:p>
      <w:pPr>
        <w:spacing w:after="100"/>
      </w:pPr>
      <w:r>
        <w:rPr>
          <w:rFonts w:ascii="Arial" w:hAnsi="Arial"/>
          <w:sz w:val="21"/>
        </w:rPr>
        <w:t>Current contract status cannot be used to reconstruct historical portfolio conditions. The project therefore applies AS-OF logic and includes only transactions that occurred on or before each snapshot date.</w:t>
      </w:r>
    </w:p>
    <w:p>
      <w:pPr>
        <w:pStyle w:val="Heading1"/>
      </w:pPr>
      <w:r>
        <w:t>13. Key Insights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pPr>
              <w:jc w:val="center"/>
            </w:pPr>
            <w:r/>
            <w:r>
              <w:rPr>
                <w:rFonts w:ascii="Arial" w:hAnsi="Arial"/>
                <w:b/>
                <w:color w:val="FFFFFF"/>
                <w:sz w:val="18"/>
              </w:rPr>
              <w:t>Insight</w:t>
            </w:r>
          </w:p>
        </w:tc>
        <w:tc>
          <w:tcPr>
            <w:tcW w:type="dxa" w:w="5184"/>
            <w:vAlign w:val="center"/>
            <w:shd w:fill="1F4E79"/>
          </w:tcPr>
          <w:p>
            <w:pPr>
              <w:jc w:val="center"/>
            </w:pPr>
            <w:r/>
            <w:r>
              <w:rPr>
                <w:rFonts w:ascii="Arial" w:hAnsi="Arial"/>
                <w:b/>
                <w:color w:val="FFFFFF"/>
                <w:sz w:val="18"/>
              </w:rPr>
              <w:t>Interpretation</w:t>
            </w:r>
          </w:p>
        </w:tc>
      </w:tr>
      <w:tr>
        <w:tc>
          <w:tcPr>
            <w:tcW w:type="dxa" w:w="5184"/>
            <w:vAlign w:val="center"/>
          </w:tcPr>
          <w:p>
            <w:pPr>
              <w:jc w:val="left"/>
            </w:pPr>
            <w:r/>
            <w:r>
              <w:rPr>
                <w:rFonts w:ascii="Arial" w:hAnsi="Arial"/>
                <w:b w:val="0"/>
                <w:sz w:val="18"/>
              </w:rPr>
              <w:t>Portfolio Growth</w:t>
            </w:r>
          </w:p>
        </w:tc>
        <w:tc>
          <w:tcPr>
            <w:tcW w:type="dxa" w:w="5184"/>
            <w:vAlign w:val="center"/>
          </w:tcPr>
          <w:p>
            <w:pPr>
              <w:jc w:val="left"/>
            </w:pPr>
            <w:r/>
            <w:r>
              <w:rPr>
                <w:rFonts w:ascii="Arial" w:hAnsi="Arial"/>
                <w:b w:val="0"/>
                <w:sz w:val="18"/>
              </w:rPr>
              <w:t>Outstanding principal increased during the reporting period, indicating continued credit portfolio expansion.</w:t>
            </w:r>
          </w:p>
        </w:tc>
      </w:tr>
      <w:tr>
        <w:tc>
          <w:tcPr>
            <w:tcW w:type="dxa" w:w="5184"/>
            <w:vAlign w:val="center"/>
          </w:tcPr>
          <w:p>
            <w:pPr>
              <w:jc w:val="left"/>
            </w:pPr>
            <w:r/>
            <w:r>
              <w:rPr>
                <w:rFonts w:ascii="Arial" w:hAnsi="Arial"/>
                <w:b w:val="0"/>
                <w:sz w:val="18"/>
              </w:rPr>
              <w:t>Disbursement KPI Underperformance</w:t>
            </w:r>
          </w:p>
        </w:tc>
        <w:tc>
          <w:tcPr>
            <w:tcW w:type="dxa" w:w="5184"/>
            <w:vAlign w:val="center"/>
          </w:tcPr>
          <w:p>
            <w:pPr>
              <w:jc w:val="left"/>
            </w:pPr>
            <w:r/>
            <w:r>
              <w:rPr>
                <w:rFonts w:ascii="Arial" w:hAnsi="Arial"/>
                <w:b w:val="0"/>
                <w:sz w:val="18"/>
              </w:rPr>
              <w:t>Completion reached only 18.48%, and the forecast remained well below target, indicating execution pressure on the business side.</w:t>
            </w:r>
          </w:p>
        </w:tc>
      </w:tr>
      <w:tr>
        <w:tc>
          <w:tcPr>
            <w:tcW w:type="dxa" w:w="5184"/>
            <w:vAlign w:val="center"/>
          </w:tcPr>
          <w:p>
            <w:pPr>
              <w:jc w:val="left"/>
            </w:pPr>
            <w:r/>
            <w:r>
              <w:rPr>
                <w:rFonts w:ascii="Arial" w:hAnsi="Arial"/>
                <w:b w:val="0"/>
                <w:sz w:val="18"/>
              </w:rPr>
              <w:t>Strong Overall Collection</w:t>
            </w:r>
          </w:p>
        </w:tc>
        <w:tc>
          <w:tcPr>
            <w:tcW w:type="dxa" w:w="5184"/>
            <w:vAlign w:val="center"/>
          </w:tcPr>
          <w:p>
            <w:pPr>
              <w:jc w:val="left"/>
            </w:pPr>
            <w:r/>
            <w:r>
              <w:rPr>
                <w:rFonts w:ascii="Arial" w:hAnsi="Arial"/>
                <w:b w:val="0"/>
                <w:sz w:val="18"/>
              </w:rPr>
              <w:t>Principal and interest collection rates both exceeded 99%.</w:t>
            </w:r>
          </w:p>
        </w:tc>
      </w:tr>
      <w:tr>
        <w:tc>
          <w:tcPr>
            <w:tcW w:type="dxa" w:w="5184"/>
            <w:vAlign w:val="center"/>
          </w:tcPr>
          <w:p>
            <w:pPr>
              <w:jc w:val="left"/>
            </w:pPr>
            <w:r/>
            <w:r>
              <w:rPr>
                <w:rFonts w:ascii="Arial" w:hAnsi="Arial"/>
                <w:b w:val="0"/>
                <w:sz w:val="18"/>
              </w:rPr>
              <w:t>Persistent Tail Risk</w:t>
            </w:r>
          </w:p>
        </w:tc>
        <w:tc>
          <w:tcPr>
            <w:tcW w:type="dxa" w:w="5184"/>
            <w:vAlign w:val="center"/>
          </w:tcPr>
          <w:p>
            <w:pPr>
              <w:jc w:val="left"/>
            </w:pPr>
            <w:r/>
            <w:r>
              <w:rPr>
                <w:rFonts w:ascii="Arial" w:hAnsi="Arial"/>
                <w:b w:val="0"/>
                <w:sz w:val="18"/>
              </w:rPr>
              <w:t>Approximately 10.39 billion VND of principal remained overdue, with the &gt;90-day bucket contributing the largest share.</w:t>
            </w:r>
          </w:p>
        </w:tc>
      </w:tr>
      <w:tr>
        <w:tc>
          <w:tcPr>
            <w:tcW w:type="dxa" w:w="5184"/>
            <w:vAlign w:val="center"/>
          </w:tcPr>
          <w:p>
            <w:pPr>
              <w:jc w:val="left"/>
            </w:pPr>
            <w:r/>
            <w:r>
              <w:rPr>
                <w:rFonts w:ascii="Arial" w:hAnsi="Arial"/>
                <w:b w:val="0"/>
                <w:sz w:val="18"/>
              </w:rPr>
              <w:t>Concentration Risk</w:t>
            </w:r>
          </w:p>
        </w:tc>
        <w:tc>
          <w:tcPr>
            <w:tcW w:type="dxa" w:w="5184"/>
            <w:vAlign w:val="center"/>
          </w:tcPr>
          <w:p>
            <w:pPr>
              <w:jc w:val="left"/>
            </w:pPr>
            <w:r/>
            <w:r>
              <w:rPr>
                <w:rFonts w:ascii="Arial" w:hAnsi="Arial"/>
                <w:b w:val="0"/>
                <w:sz w:val="18"/>
              </w:rPr>
              <w:t>Top 10 customers represented 26.37% of outstanding exposure and Top 3 industries represented 47.08%, highlighting the need for concentration monitoring.</w:t>
            </w:r>
          </w:p>
        </w:tc>
      </w:tr>
    </w:tbl>
    <w:p>
      <w:pPr>
        <w:pStyle w:val="Heading1"/>
      </w:pPr>
      <w:r>
        <w:t>14. Business Recommendations</w:t>
      </w:r>
    </w:p>
    <w:p>
      <w:pPr>
        <w:pStyle w:val="ListBullet"/>
        <w:spacing w:after="40"/>
      </w:pPr>
      <w:r>
        <w:rPr>
          <w:rFonts w:ascii="Arial" w:hAnsi="Arial"/>
          <w:sz w:val="20"/>
        </w:rPr>
        <w:t>Prioritize branches with the largest KPI shortfalls instead of applying the same intervention across the entire network.</w:t>
      </w:r>
    </w:p>
    <w:p>
      <w:pPr>
        <w:pStyle w:val="ListBullet"/>
        <w:spacing w:after="40"/>
      </w:pPr>
      <w:r>
        <w:rPr>
          <w:rFonts w:ascii="Arial" w:hAnsi="Arial"/>
          <w:sz w:val="20"/>
        </w:rPr>
        <w:t>Focus collection resources on &gt;90-day overdue exposure because it represents the most persistent risk segment.</w:t>
      </w:r>
    </w:p>
    <w:p>
      <w:pPr>
        <w:pStyle w:val="ListBullet"/>
        <w:spacing w:after="40"/>
      </w:pPr>
      <w:r>
        <w:rPr>
          <w:rFonts w:ascii="Arial" w:hAnsi="Arial"/>
          <w:sz w:val="20"/>
        </w:rPr>
        <w:t>Closely monitor branches with both large outstanding exposure and elevated overdue ratios on the branch risk matrix.</w:t>
      </w:r>
    </w:p>
    <w:p>
      <w:pPr>
        <w:pStyle w:val="ListBullet"/>
        <w:spacing w:after="40"/>
      </w:pPr>
      <w:r>
        <w:rPr>
          <w:rFonts w:ascii="Arial" w:hAnsi="Arial"/>
          <w:sz w:val="20"/>
        </w:rPr>
        <w:t>Control concentration by major customers and industries.</w:t>
      </w:r>
    </w:p>
    <w:p>
      <w:pPr>
        <w:pStyle w:val="ListBullet"/>
        <w:spacing w:after="40"/>
      </w:pPr>
      <w:r>
        <w:rPr>
          <w:rFonts w:ascii="Arial" w:hAnsi="Arial"/>
          <w:sz w:val="20"/>
        </w:rPr>
        <w:t>Monitor contracts approaching maturity to reduce near-term maturity pressure.</w:t>
      </w:r>
    </w:p>
    <w:p>
      <w:pPr>
        <w:pStyle w:val="ListBullet"/>
        <w:spacing w:after="40"/>
      </w:pPr>
      <w:r>
        <w:rPr>
          <w:rFonts w:ascii="Arial" w:hAnsi="Arial"/>
          <w:sz w:val="20"/>
        </w:rPr>
        <w:t>Maintain a contract watchlist to move from descriptive analytics to targeted management action.</w:t>
      </w:r>
    </w:p>
    <w:p>
      <w:pPr>
        <w:pStyle w:val="Heading1"/>
      </w:pPr>
      <w:r>
        <w:t>15. Skills &amp; Learning Outcomes</w:t>
      </w:r>
    </w:p>
    <w:p>
      <w:pPr>
        <w:pStyle w:val="ListBullet"/>
        <w:spacing w:after="40"/>
      </w:pPr>
      <w:r>
        <w:rPr>
          <w:rFonts w:ascii="Arial" w:hAnsi="Arial"/>
          <w:sz w:val="20"/>
        </w:rPr>
        <w:t>Translated banking business requirements into clearly defined analytical KPIs.</w:t>
      </w:r>
    </w:p>
    <w:p>
      <w:pPr>
        <w:pStyle w:val="ListBullet"/>
        <w:spacing w:after="40"/>
      </w:pPr>
      <w:r>
        <w:rPr>
          <w:rFonts w:ascii="Arial" w:hAnsi="Arial"/>
          <w:sz w:val="20"/>
        </w:rPr>
        <w:t>Designed a Power BI model involving multiple fact tables and multiple date roles.</w:t>
      </w:r>
    </w:p>
    <w:p>
      <w:pPr>
        <w:pStyle w:val="ListBullet"/>
        <w:spacing w:after="40"/>
      </w:pPr>
      <w:r>
        <w:rPr>
          <w:rFonts w:ascii="Arial" w:hAnsi="Arial"/>
          <w:sz w:val="20"/>
        </w:rPr>
        <w:t>Managed complex filter context using DAX.</w:t>
      </w:r>
    </w:p>
    <w:p>
      <w:pPr>
        <w:pStyle w:val="ListBullet"/>
        <w:spacing w:after="40"/>
      </w:pPr>
      <w:r>
        <w:rPr>
          <w:rFonts w:ascii="Arial" w:hAnsi="Arial"/>
          <w:sz w:val="20"/>
        </w:rPr>
        <w:t>Built AS-OF measures for historical portfolio analysis.</w:t>
      </w:r>
    </w:p>
    <w:p>
      <w:pPr>
        <w:pStyle w:val="ListBullet"/>
        <w:spacing w:after="40"/>
      </w:pPr>
      <w:r>
        <w:rPr>
          <w:rFonts w:ascii="Arial" w:hAnsi="Arial"/>
          <w:sz w:val="20"/>
        </w:rPr>
        <w:t>Implemented forecasting, Pareto analysis, and concentration analysis.</w:t>
      </w:r>
    </w:p>
    <w:p>
      <w:pPr>
        <w:pStyle w:val="ListBullet"/>
        <w:spacing w:after="40"/>
      </w:pPr>
      <w:r>
        <w:rPr>
          <w:rFonts w:ascii="Arial" w:hAnsi="Arial"/>
          <w:sz w:val="20"/>
        </w:rPr>
        <w:t>Analyzed overdue exposure, maturity pressure, and portfolio risk.</w:t>
      </w:r>
    </w:p>
    <w:p>
      <w:pPr>
        <w:pStyle w:val="ListBullet"/>
        <w:spacing w:after="40"/>
      </w:pPr>
      <w:r>
        <w:rPr>
          <w:rFonts w:ascii="Arial" w:hAnsi="Arial"/>
          <w:sz w:val="20"/>
        </w:rPr>
        <w:t>Designed dashboard storytelling from overview → performance → collection → risk → action.</w:t>
      </w:r>
    </w:p>
    <w:p>
      <w:pPr>
        <w:pStyle w:val="Heading1"/>
      </w:pPr>
      <w:r>
        <w:t>16. Suggested Portfolio / Notion Summary</w:t>
      </w:r>
    </w:p>
    <w:p>
      <w:pPr>
        <w:spacing w:after="100"/>
      </w:pPr>
      <w:r>
        <w:rPr>
          <w:rFonts w:ascii="Arial" w:hAnsi="Arial"/>
          <w:sz w:val="21"/>
        </w:rPr>
        <w:t>Project card title: Credit Contract Portfolio &amp; Risk Analytics</w:t>
      </w:r>
    </w:p>
    <w:p>
      <w:pPr>
        <w:spacing w:after="100"/>
      </w:pPr>
      <w:r>
        <w:rPr>
          <w:rFonts w:ascii="Arial" w:hAnsi="Arial"/>
          <w:sz w:val="21"/>
        </w:rPr>
        <w:t>Short description: A Power BI credit analytics dashboard covering the full credit lifecycle, including disbursement KPI, outstanding balance, repayment efficiency, overdue exposure, portfolio concentration, maturity analysis, and contract risk monitoring.</w:t>
      </w:r>
    </w:p>
    <w:p>
      <w:pPr>
        <w:spacing w:after="100"/>
      </w:pPr>
      <w:r>
        <w:rPr>
          <w:rFonts w:ascii="Arial" w:hAnsi="Arial"/>
          <w:sz w:val="21"/>
        </w:rPr>
        <w:t>Tags: Power BI · SQL Server · DAX · Banking Analytics · Credit Risk</w:t>
      </w:r>
    </w:p>
    <w:p>
      <w:pPr>
        <w:spacing w:after="100"/>
      </w:pPr>
      <w:r>
        <w:rPr>
          <w:rFonts w:ascii="Arial" w:hAnsi="Arial"/>
          <w:sz w:val="21"/>
        </w:rPr>
        <w:t>Language note: The Power BI dashboard interface is presented in Vietnamese because the project reflects a Vietnamese banking business context. This English documentation is intended for a broader portfolio and recruitment audience.</w:t>
      </w:r>
    </w:p>
    <w:p>
      <w:pPr>
        <w:jc w:val="center"/>
      </w:pPr>
      <w:r>
        <w:rPr>
          <w:i/>
          <w:color w:val="646464"/>
          <w:sz w:val="18"/>
        </w:rPr>
        <w:t>English Portfolio Documentation – Credit Contract Portfolio &amp; Risk Analytics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