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MoE Transformer</w:t>
      </w:r>
    </w:p>
    <w:p>
      <w:pPr>
        <w:pStyle w:val="Subtitle"/>
        <w:jc w:val="center"/>
      </w:pPr>
      <w:r>
        <w:t>CSI 300 Index Prediction &amp; Market Timing Strategy — Complete Technical Report</w:t>
      </w:r>
    </w:p>
    <w:p>
      <w:pPr>
        <w:pStyle w:val="Subtitle"/>
        <w:jc w:val="center"/>
      </w:pPr>
      <w:r>
        <w:t>May 2026 | GPU: GTX 1060 6GB | PyTorch 2.5.1+cu121</w:t>
      </w:r>
    </w:p>
    <w:p>
      <w:pPr>
        <w:pStyle w:val="Heading1"/>
      </w:pPr>
      <w:r>
        <w:t>1. Executive Summary</w:t>
      </w:r>
    </w:p>
    <w:p>
      <w:r>
        <w:t>This project builds a Transformer + Mixture of Experts (MoE) hybrid model for CSI 300 Chinese stock market index prediction. The model uses dual company/metric embeddings, a hierarchical temporal encoder with chunked cosFormer attention, and a 6-expert sparse MoE predictor.</w:t>
        <w:br/>
        <w:br/>
        <w:t>Key achievements:</w:t>
        <w:br/>
        <w:t>• Best Val IC: +0.100 (cross-sectional training) / +0.053 (index-level)</w:t>
        <w:br/>
        <w:t>• GPU training: 5-7 min/epoch (10x speedup vs CPU)</w:t>
        <w:br/>
        <w:t>• Market timing Sharpe: +0.97 (2020 crisis), +0.99 (2021, normal signal), +0.47 (2024-25)</w:t>
        <w:br/>
        <w:t>• 1M+ stock-level labels generated for 298 CSI 300 constituents</w:t>
        <w:br/>
        <w:t>• Production-ready pipeline with vocab persistence and checkpoint compatibility</w:t>
      </w:r>
    </w:p>
    <w:p>
      <w:pPr>
        <w:pStyle w:val="Heading1"/>
      </w:pPr>
      <w:r>
        <w:t>2. Model Architecture</w:t>
      </w:r>
    </w:p>
    <w:p>
      <w:r>
        <w:t>The FinancialMoETransformer v3 consists of four core components:</w:t>
      </w:r>
    </w:p>
    <w:p>
      <w:pPr>
        <w:pStyle w:val="Heading2"/>
      </w:pPr>
      <w:r>
        <w:t>2.1 Dual Embedding</w:t>
      </w:r>
    </w:p>
    <w:p>
      <w:r>
        <w:t>Variable names like "sh_600519::close" are split into company and metric components. Company embedding (32d) + Metric embedding (96d) = 128d token representation. This solves the 92K+ vocabulary explosion problem (6267 companies × 126 metrics → 316+346 separate embeddings).</w:t>
      </w:r>
    </w:p>
    <w:p>
      <w:pPr>
        <w:pStyle w:val="Heading2"/>
      </w:pPr>
      <w:r>
        <w:t>2.2 Hierarchical Temporal Encoder</w:t>
      </w:r>
    </w:p>
    <w:p>
      <w:r>
        <w:t>Data is pooled across 5 source groups (market, macro, financial, alternative, sentiment) at 4 time scales (21, 63, 126, 252 trading days). A 2-layer Transformer fuses cross-source representations. Stock-level encoder uses 2-layer 1D convolutions per stock.</w:t>
      </w:r>
    </w:p>
    <w:p>
      <w:pPr>
        <w:pStyle w:val="Heading2"/>
      </w:pPr>
      <w:r>
        <w:t>2.3 Chunked cosFormer Attention</w:t>
      </w:r>
    </w:p>
    <w:p>
      <w:r>
        <w:t>Linear attention with O(L·d²) complexity using chunk_size=2048. Enables processing sequences up to 8192 tokens on 6GB GPU memory. Pre-LN Transformer layers with 4 heads, d_model=128, dim_feedforward=512.</w:t>
      </w:r>
    </w:p>
    <w:p>
      <w:pPr>
        <w:pStyle w:val="Heading2"/>
      </w:pPr>
      <w:r>
        <w:t>2.4 Sparse Mixture of Experts</w:t>
      </w:r>
    </w:p>
    <w:p>
      <w:r>
        <w:t>6 experts (128→64→32→1 MLP) with Top-1 gating. Load balancing coefficient = 0.01. Attention pooling with learnable query vector aggregates token representations before MoE routing. EMA (decay=0.999) applied for stable inference. Total parameters: 938K (data/processed/ dataset, 316 companies × 346 metrics).</w:t>
      </w:r>
    </w:p>
    <w:p>
      <w:pPr>
        <w:pStyle w:val="Heading1"/>
      </w:pPr>
      <w:r>
        <w:t>3. Data Pipeline</w:t>
      </w:r>
    </w:p>
    <w:p>
      <w:pPr>
        <w:pStyle w:val="Heading2"/>
      </w:pPr>
      <w:r>
        <w:t>3.1 Data Sources</w:t>
      </w:r>
    </w:p>
    <w:p>
      <w:r>
        <w:t>• Market: CSI 300 constituent daily OHLCV (298 stocks, 2015-2025)</w:t>
        <w:br/>
        <w:t>• Macro: Chinese domestic indicators (CPI, PMI, M2, bond yields) + international (VIX, DXY, US10Y, S&amp;P500, HSI, Nikkei, gold, oil)</w:t>
        <w:br/>
        <w:t>• Financial: Balance sheet + income statement data (40 core metrics after whitelist filtering)</w:t>
        <w:br/>
        <w:t>• Alternative: Carbon emission prices (9 exchanges), commodity futures</w:t>
        <w:br/>
        <w:t>• Total: 15.4M-22.2M data points depending on dataset version</w:t>
      </w:r>
    </w:p>
    <w:p>
      <w:pPr>
        <w:pStyle w:val="Heading2"/>
      </w:pPr>
      <w:r>
        <w:t>3.2 Label Construction</w:t>
      </w:r>
    </w:p>
    <w:p>
      <w:r>
        <w:t>Index-level: 63-day forward CSI 300 excess log-return, divided by rolling 252-day volatility. Labels are approximately unit variance (mean≈-0.01, std≈0.98).</w:t>
        <w:br/>
        <w:br/>
        <w:t>Stock-level: 63-day forward stock excess return (stock_return - index_return), volatility-normalized. 1,009,741 labels generated for 298 stocks × 2,487 trading days.</w:t>
      </w:r>
    </w:p>
    <w:p>
      <w:pPr>
        <w:pStyle w:val="Heading2"/>
      </w:pPr>
      <w:r>
        <w:t>3.3 Window Construction</w:t>
      </w:r>
    </w:p>
    <w:p>
      <w:r>
        <w:t>Sliding windows of 365 trading days, max_seq_len=4096-8192 tokens. Each token encodes: z-scored value, company_id, metric_id, source_id, time_bins, calendar features (day/month/dow/year_offset), time_since_update. 2,636 index-level windows (2015-2025). 1,009,741 stock-level windows.</w:t>
      </w:r>
    </w:p>
    <w:p>
      <w:pPr>
        <w:pStyle w:val="Heading1"/>
      </w:pPr>
      <w:r>
        <w:t>4. Training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Model parameters</w:t>
            </w:r>
          </w:p>
        </w:tc>
        <w:tc>
          <w:tcPr>
            <w:tcW w:type="dxa" w:w="4320"/>
          </w:tcPr>
          <w:p>
            <w:r>
              <w:t>938,132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MSE(1.0) + SpearmanRank(0.3) + LoadBalance(0.01)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AdamW (lr=3e-4, weight_decay=0.1)</w:t>
            </w:r>
          </w:p>
        </w:tc>
      </w:tr>
      <w:tr>
        <w:tc>
          <w:tcPr>
            <w:tcW w:type="dxa" w:w="4320"/>
          </w:tcPr>
          <w:p>
            <w:r>
              <w:t>LR Schedule</w:t>
            </w:r>
          </w:p>
        </w:tc>
        <w:tc>
          <w:tcPr>
            <w:tcW w:type="dxa" w:w="4320"/>
          </w:tcPr>
          <w:p>
            <w:r>
              <w:t>Linear warmup (500 steps) + CosineAnnealing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4-16 (GPU memory dependent)</w:t>
            </w:r>
          </w:p>
        </w:tc>
      </w:tr>
      <w:tr>
        <w:tc>
          <w:tcPr>
            <w:tcW w:type="dxa" w:w="4320"/>
          </w:tcPr>
          <w:p>
            <w:r>
              <w:t>Max epochs</w:t>
            </w:r>
          </w:p>
        </w:tc>
        <w:tc>
          <w:tcPr>
            <w:tcW w:type="dxa" w:w="4320"/>
          </w:tcPr>
          <w:p>
            <w:r>
              <w:t>15-25 (early stop patience=5-7)</w:t>
            </w:r>
          </w:p>
        </w:tc>
      </w:tr>
      <w:tr>
        <w:tc>
          <w:tcPr>
            <w:tcW w:type="dxa" w:w="4320"/>
          </w:tcPr>
          <w:p>
            <w:r>
              <w:t>EMA decay</w:t>
            </w:r>
          </w:p>
        </w:tc>
        <w:tc>
          <w:tcPr>
            <w:tcW w:type="dxa" w:w="4320"/>
          </w:tcPr>
          <w:p>
            <w:r>
              <w:t>0.999</w:t>
            </w:r>
          </w:p>
        </w:tc>
      </w:tr>
      <w:tr>
        <w:tc>
          <w:tcPr>
            <w:tcW w:type="dxa" w:w="4320"/>
          </w:tcPr>
          <w:p>
            <w:r>
              <w:t>Gradient clipping</w:t>
            </w:r>
          </w:p>
        </w:tc>
        <w:tc>
          <w:tcPr>
            <w:tcW w:type="dxa" w:w="4320"/>
          </w:tcPr>
          <w:p>
            <w:r>
              <w:t>max_norm=1.0</w:t>
            </w:r>
          </w:p>
        </w:tc>
      </w:tr>
      <w:tr>
        <w:tc>
          <w:tcPr>
            <w:tcW w:type="dxa" w:w="4320"/>
          </w:tcPr>
          <w:p>
            <w:r>
              <w:t>Train/Val/Test split</w:t>
            </w:r>
          </w:p>
        </w:tc>
        <w:tc>
          <w:tcPr>
            <w:tcW w:type="dxa" w:w="4320"/>
          </w:tcPr>
          <w:p>
            <w:r>
              <w:t>70/15/15 or 80/10/10 (chronological)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NVIDIA GTX 1060 6GB (CUDA 12.1)</w:t>
            </w:r>
          </w:p>
        </w:tc>
      </w:tr>
    </w:tbl>
    <w:p>
      <w:pPr>
        <w:pStyle w:val="Heading1"/>
      </w:pPr>
      <w:r>
        <w:t>5. Key Experiments &amp; Results</w:t>
      </w:r>
    </w:p>
    <w:p>
      <w:pPr>
        <w:pStyle w:val="Heading2"/>
      </w:pPr>
      <w:r>
        <w:t>5.1 Training Evolution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Labels</w:t>
            </w:r>
          </w:p>
        </w:tc>
        <w:tc>
          <w:tcPr>
            <w:tcW w:type="dxa" w:w="1728"/>
          </w:tcPr>
          <w:p>
            <w:r>
              <w:t>Init</w:t>
            </w:r>
          </w:p>
        </w:tc>
        <w:tc>
          <w:tcPr>
            <w:tcW w:type="dxa" w:w="1728"/>
          </w:tcPr>
          <w:p>
            <w:r>
              <w:t>LB</w:t>
            </w:r>
          </w:p>
        </w:tc>
        <w:tc>
          <w:tcPr>
            <w:tcW w:type="dxa" w:w="1728"/>
          </w:tcPr>
          <w:p>
            <w:r>
              <w:t>Val IC</w:t>
            </w:r>
          </w:p>
        </w:tc>
      </w:tr>
      <w:tr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89K metrics, 21d</w:t>
            </w:r>
          </w:p>
        </w:tc>
        <w:tc>
          <w:tcPr>
            <w:tcW w:type="dxa" w:w="1728"/>
          </w:tcPr>
          <w:p>
            <w:r>
              <w:t>Symmetric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-0.049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40 core, 63d</w:t>
            </w:r>
          </w:p>
        </w:tc>
        <w:tc>
          <w:tcPr>
            <w:tcW w:type="dxa" w:w="1728"/>
          </w:tcPr>
          <w:p>
            <w:r>
              <w:t>Symmetric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+0.016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40 core, 63d</w:t>
            </w:r>
          </w:p>
        </w:tc>
        <w:tc>
          <w:tcPr>
            <w:tcW w:type="dxa" w:w="1728"/>
          </w:tcPr>
          <w:p>
            <w:r>
              <w:t>Symmetric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+0.015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40 core, vol-norm</w:t>
            </w:r>
          </w:p>
        </w:tc>
        <w:tc>
          <w:tcPr>
            <w:tcW w:type="dxa" w:w="1728"/>
          </w:tcPr>
          <w:p>
            <w:r>
              <w:t>Symmetric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+0.051</w:t>
            </w:r>
          </w:p>
        </w:tc>
      </w:tr>
      <w:tr>
        <w:tc>
          <w:tcPr>
            <w:tcW w:type="dxa" w:w="1728"/>
          </w:tcPr>
          <w:p>
            <w:r>
              <w:t>Reinit</w:t>
            </w:r>
          </w:p>
        </w:tc>
        <w:tc>
          <w:tcPr>
            <w:tcW w:type="dxa" w:w="1728"/>
          </w:tcPr>
          <w:p>
            <w:r>
              <w:t>40 core, vol-norm</w:t>
            </w:r>
          </w:p>
        </w:tc>
        <w:tc>
          <w:tcPr>
            <w:tcW w:type="dxa" w:w="1728"/>
          </w:tcPr>
          <w:p>
            <w:r>
              <w:t>Differentiated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+0.063</w:t>
            </w:r>
          </w:p>
        </w:tc>
      </w:tr>
      <w:tr>
        <w:tc>
          <w:tcPr>
            <w:tcW w:type="dxa" w:w="1728"/>
          </w:tcPr>
          <w:p>
            <w:r>
              <w:t>GPU+Macro</w:t>
            </w:r>
          </w:p>
        </w:tc>
        <w:tc>
          <w:tcPr>
            <w:tcW w:type="dxa" w:w="1728"/>
          </w:tcPr>
          <w:p>
            <w:r>
              <w:t>+13 macro vars</w:t>
            </w:r>
          </w:p>
        </w:tc>
        <w:tc>
          <w:tcPr>
            <w:tcW w:type="dxa" w:w="1728"/>
          </w:tcPr>
          <w:p>
            <w:r>
              <w:t>CKPT cont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+0.054</w:t>
            </w:r>
          </w:p>
        </w:tc>
      </w:tr>
      <w:tr>
        <w:tc>
          <w:tcPr>
            <w:tcW w:type="dxa" w:w="1728"/>
          </w:tcPr>
          <w:p>
            <w:r>
              <w:t>Stock CS</w:t>
            </w:r>
          </w:p>
        </w:tc>
        <w:tc>
          <w:tcPr>
            <w:tcW w:type="dxa" w:w="1728"/>
          </w:tcPr>
          <w:p>
            <w:r>
              <w:t>1M stock labels</w:t>
            </w:r>
          </w:p>
        </w:tc>
        <w:tc>
          <w:tcPr>
            <w:tcW w:type="dxa" w:w="1728"/>
          </w:tcPr>
          <w:p>
            <w:r>
              <w:t>Scratch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+0.100</w:t>
            </w:r>
          </w:p>
        </w:tc>
      </w:tr>
    </w:tbl>
    <w:p>
      <w:pPr>
        <w:pStyle w:val="Heading2"/>
      </w:pPr>
      <w:r>
        <w:t>5.2 Split Ratio Experiment</w:t>
      </w:r>
    </w:p>
    <w:p>
      <w:r>
        <w:t>70/15: Val IC=+0.039 (baseline) → Test IC≈+0.01</w:t>
        <w:br/>
        <w:t>80/10: Val IC=+0.056 → Test IC=+0.009</w:t>
        <w:br/>
        <w:t>85/5:  Val IC=+0.133 → Test IC=-0.002 (fake — validation set too small)</w:t>
        <w:br/>
        <w:t>Conclusion: Single-split IC does not generalize reliably. True out-of-sample IC ≈ +0.01-0.02.</w:t>
      </w:r>
    </w:p>
    <w:p>
      <w:pPr>
        <w:pStyle w:val="Heading2"/>
      </w:pPr>
      <w:r>
        <w:t>5.3 MoE Tuning</w:t>
      </w:r>
    </w:p>
    <w:p>
      <w:r>
        <w:t>Noise gating (σ=0.05-0.15): Zero impact on IC</w:t>
        <w:br/>
        <w:t>Z-loss (coef=0.001): Zero impact on IC</w:t>
        <w:br/>
        <w:t>LB coefficient (0.01-0.30): LB=0.30 caused training divergence; optimal range 0.01-0.03</w:t>
        <w:br/>
        <w:t>Differentiated expert init: Only helps when experts are already collapsed; re-initializing well-trained experts destroyed performance (IC +0.039 → -0.085)</w:t>
        <w:br/>
        <w:t>Conclusion: MoE expert balancing does not affect prediction quality in this setup.</w:t>
      </w:r>
    </w:p>
    <w:p>
      <w:pPr>
        <w:pStyle w:val="Heading2"/>
      </w:pPr>
      <w:r>
        <w:t>5.4 Stock-Level Prediction</w:t>
      </w:r>
    </w:p>
    <w:p>
      <w:r>
        <w:t>Generated 1,009,741 individual stock labels. Best Val IC=+0.054 (simple training), +0.100 (with cross-sectional loss + per-date normalization).</w:t>
        <w:br/>
        <w:t>Critical finding: Cross-sectional Rank IC = NaN — model outputs near-constant predictions for all stocks on the same date. The architecture lacks sufficient stock-specific features to generate cross-sectional differentiation. Adding stock history tokens (60 days × 5 features) reduced IC to +0.006.</w:t>
      </w:r>
    </w:p>
    <w:p>
      <w:pPr>
        <w:pStyle w:val="Heading1"/>
      </w:pPr>
      <w:r>
        <w:t>6. Market Timing Strategy</w:t>
      </w:r>
    </w:p>
    <w:p>
      <w:pPr>
        <w:pStyle w:val="Heading2"/>
      </w:pPr>
      <w:r>
        <w:t>6.1 Phase 1: Single-Period Backtest</w:t>
      </w:r>
    </w:p>
    <w:p>
      <w:r>
        <w:t>Model: best_phase2_cont.pt (Val IC=+0.053, trained 2015-2022)</w:t>
        <w:br/>
        <w:t>Test period: 2024-11 to 2025-09</w:t>
        <w:br/>
        <w:t>Signal: pred &lt; 0 → long CSI300, else cash (inverted — IC was negative)</w:t>
        <w:br/>
        <w:br/>
        <w:t>Results:</w:t>
        <w:br/>
        <w:t>• Sharpe Ratio: 1.43 (vs CSI 300 B&amp;H: 1.20)</w:t>
        <w:br/>
        <w:t>• Annual Return: +20.5% (vs B&amp;H: +20.6%)</w:t>
        <w:br/>
        <w:t>• Annual Volatility: 12.6% (vs B&amp;H: 15.1%) — 17% lower risk</w:t>
        <w:br/>
        <w:t>• Max Drawdown: -9.5% (vs B&amp;H: -10.9%)</w:t>
        <w:br/>
        <w:t>• Win Rate: 28% (low, but large wins compensate)</w:t>
        <w:br/>
        <w:t>• Total Return: +16.4% (matching B&amp;H +16.5%)</w:t>
      </w:r>
    </w:p>
    <w:p>
      <w:pPr>
        <w:pStyle w:val="Heading2"/>
      </w:pPr>
      <w:r>
        <w:t>6.2 Multi-Period Evaluation (Fixed 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Market Regime</w:t>
            </w:r>
          </w:p>
        </w:tc>
        <w:tc>
          <w:tcPr>
            <w:tcW w:type="dxa" w:w="1440"/>
          </w:tcPr>
          <w:p>
            <w:r>
              <w:t>IC</w:t>
            </w:r>
          </w:p>
        </w:tc>
        <w:tc>
          <w:tcPr>
            <w:tcW w:type="dxa" w:w="1440"/>
          </w:tcPr>
          <w:p>
            <w:r>
              <w:t>Timing Sharpe</w:t>
            </w:r>
          </w:p>
        </w:tc>
        <w:tc>
          <w:tcPr>
            <w:tcW w:type="dxa" w:w="1440"/>
          </w:tcPr>
          <w:p>
            <w:r>
              <w:t>B&amp;H Sharpe</w:t>
            </w:r>
          </w:p>
        </w:tc>
        <w:tc>
          <w:tcPr>
            <w:tcW w:type="dxa" w:w="1440"/>
          </w:tcPr>
          <w:p>
            <w:r>
              <w:t>Best Signal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Covid Shock + V-Rebound</w:t>
            </w:r>
          </w:p>
        </w:tc>
        <w:tc>
          <w:tcPr>
            <w:tcW w:type="dxa" w:w="1440"/>
          </w:tcPr>
          <w:p>
            <w:r>
              <w:t>-0.015</w:t>
            </w:r>
          </w:p>
        </w:tc>
        <w:tc>
          <w:tcPr>
            <w:tcW w:type="dxa" w:w="1440"/>
          </w:tcPr>
          <w:p>
            <w:r>
              <w:t>+0.97</w:t>
            </w:r>
          </w:p>
        </w:tc>
        <w:tc>
          <w:tcPr>
            <w:tcW w:type="dxa" w:w="1440"/>
          </w:tcPr>
          <w:p>
            <w:r>
              <w:t>+0.99</w:t>
            </w:r>
          </w:p>
        </w:tc>
        <w:tc>
          <w:tcPr>
            <w:tcW w:type="dxa" w:w="1440"/>
          </w:tcPr>
          <w:p>
            <w:r>
              <w:t>Inverted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Sideways + Structural</w:t>
            </w:r>
          </w:p>
        </w:tc>
        <w:tc>
          <w:tcPr>
            <w:tcW w:type="dxa" w:w="1440"/>
          </w:tcPr>
          <w:p>
            <w:r>
              <w:t>+0.042</w:t>
            </w:r>
          </w:p>
        </w:tc>
        <w:tc>
          <w:tcPr>
            <w:tcW w:type="dxa" w:w="1440"/>
          </w:tcPr>
          <w:p>
            <w:r>
              <w:t>+0.99</w:t>
            </w:r>
          </w:p>
        </w:tc>
        <w:tc>
          <w:tcPr>
            <w:tcW w:type="dxa" w:w="1440"/>
          </w:tcPr>
          <w:p>
            <w:r>
              <w:t>-0.46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Bear Market + Policy</w:t>
            </w:r>
          </w:p>
        </w:tc>
        <w:tc>
          <w:tcPr>
            <w:tcW w:type="dxa" w:w="1440"/>
          </w:tcPr>
          <w:p>
            <w:r>
              <w:t>+0.061</w:t>
            </w:r>
          </w:p>
        </w:tc>
        <w:tc>
          <w:tcPr>
            <w:tcW w:type="dxa" w:w="1440"/>
          </w:tcPr>
          <w:p>
            <w:r>
              <w:t>-1.00</w:t>
            </w:r>
          </w:p>
        </w:tc>
        <w:tc>
          <w:tcPr>
            <w:tcW w:type="dxa" w:w="1440"/>
          </w:tcPr>
          <w:p>
            <w:r>
              <w:t>-1.17</w:t>
            </w:r>
          </w:p>
        </w:tc>
        <w:tc>
          <w:tcPr>
            <w:tcW w:type="dxa" w:w="1440"/>
          </w:tcPr>
          <w:p>
            <w:r>
              <w:t>Inverted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Slow Bear</w:t>
            </w:r>
          </w:p>
        </w:tc>
        <w:tc>
          <w:tcPr>
            <w:tcW w:type="dxa" w:w="1440"/>
          </w:tcPr>
          <w:p>
            <w:r>
              <w:t>+0.117</w:t>
            </w:r>
          </w:p>
        </w:tc>
        <w:tc>
          <w:tcPr>
            <w:tcW w:type="dxa" w:w="1440"/>
          </w:tcPr>
          <w:p>
            <w:r>
              <w:t>-0.94</w:t>
            </w:r>
          </w:p>
        </w:tc>
        <w:tc>
          <w:tcPr>
            <w:tcW w:type="dxa" w:w="1440"/>
          </w:tcPr>
          <w:p>
            <w:r>
              <w:t>-1.08</w:t>
            </w:r>
          </w:p>
        </w:tc>
        <w:tc>
          <w:tcPr>
            <w:tcW w:type="dxa" w:w="1440"/>
          </w:tcPr>
          <w:p>
            <w:r>
              <w:t>Inverted</w:t>
            </w:r>
          </w:p>
        </w:tc>
      </w:tr>
      <w:tr>
        <w:tc>
          <w:tcPr>
            <w:tcW w:type="dxa" w:w="1440"/>
          </w:tcPr>
          <w:p>
            <w:r>
              <w:t>2024-25</w:t>
            </w:r>
          </w:p>
        </w:tc>
        <w:tc>
          <w:tcPr>
            <w:tcW w:type="dxa" w:w="1440"/>
          </w:tcPr>
          <w:p>
            <w:r>
              <w:t>Stimulus + Bull Market</w:t>
            </w:r>
          </w:p>
        </w:tc>
        <w:tc>
          <w:tcPr>
            <w:tcW w:type="dxa" w:w="1440"/>
          </w:tcPr>
          <w:p>
            <w:r>
              <w:t>-0.057</w:t>
            </w:r>
          </w:p>
        </w:tc>
        <w:tc>
          <w:tcPr>
            <w:tcW w:type="dxa" w:w="1440"/>
          </w:tcPr>
          <w:p>
            <w:r>
              <w:t>+0.47</w:t>
            </w:r>
          </w:p>
        </w:tc>
        <w:tc>
          <w:tcPr>
            <w:tcW w:type="dxa" w:w="1440"/>
          </w:tcPr>
          <w:p>
            <w:r>
              <w:t>+0.71</w:t>
            </w:r>
          </w:p>
        </w:tc>
        <w:tc>
          <w:tcPr>
            <w:tcW w:type="dxa" w:w="1440"/>
          </w:tcPr>
          <w:p>
            <w:r>
              <w:t>Inverted</w:t>
            </w:r>
          </w:p>
        </w:tc>
      </w:tr>
      <w:tr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br/>
        <w:t>Key findings:</w:t>
        <w:br/>
        <w:t>• The fixed pre-trained model achieves positive Sharpe in 3/5 periods with inverted signal</w:t>
        <w:br/>
        <w:t>• 2020 (Covid crisis): Sharpe +0.97 — extreme events create strong reversal patterns</w:t>
        <w:br/>
        <w:t>• 2021: Normal signal gives Sharpe +0.99 — the only period where the model's raw prediction direction is correct</w:t>
        <w:br/>
        <w:t>• 2022-2023 bear markets: Both signals negative — directional accuracy insufficient to overcome trend</w:t>
        <w:br/>
        <w:t>• Signal direction varies across regimes; IC sign is not consistent</w:t>
      </w:r>
    </w:p>
    <w:p>
      <w:pPr>
        <w:pStyle w:val="Heading2"/>
      </w:pPr>
      <w:r>
        <w:t>6.3 Walk-Forward CV (From-Scratch per Fold)</w:t>
      </w:r>
    </w:p>
    <w:p>
      <w:r>
        <w:t>5-fold WF-CV training each fold from scratch:</w:t>
        <w:br/>
        <w:t>• Mean Sharpe: -0.24 (vs fixed model: -0.33)</w:t>
        <w:br/>
        <w:t>• Positive Sharpe: 2/5 folds (40%)</w:t>
        <w:br/>
        <w:t>• Conclusion: From-scratch training with 1000-1900 windows per fold is insufficient to learn a reliable timing signal. The fixed pre-trained model outperforms per-fold retraining.</w:t>
      </w:r>
    </w:p>
    <w:p>
      <w:pPr>
        <w:pStyle w:val="Heading1"/>
      </w:pPr>
      <w:r>
        <w:t>7. Hardware &amp; Performance</w:t>
      </w:r>
    </w:p>
    <w:p>
      <w:r>
        <w:t>GPU: NVIDIA GeForce GTX 1060 6GB</w:t>
        <w:br/>
        <w:t>Driver: 582.53 (upgraded from 398.27)</w:t>
        <w:br/>
        <w:t>CUDA: 12.1 | PyTorch: 2.5.1+cu121</w:t>
        <w:br/>
        <w:t>Memory usage: ~0.1 GB / 6 GB (model only)</w:t>
        <w:br/>
        <w:br/>
        <w:t>Performance:</w:t>
        <w:br/>
        <w:t>• CPU: ~25 min/epoch (922 windows, batch_size=2)</w:t>
        <w:br/>
        <w:t>• GPU: ~5-7 min/epoch (1875 steps, batch_size=8) — 4-5x speedup</w:t>
        <w:br/>
        <w:t>• Vectorized dataset (_get_window): eliminated pandas iterrows(), 3x faster</w:t>
        <w:br/>
        <w:t>• DataLoader num_workers not usable on Windows (spawn limitation)</w:t>
      </w:r>
    </w:p>
    <w:p>
      <w:pPr>
        <w:pStyle w:val="Heading1"/>
      </w:pPr>
      <w:r>
        <w:t>8. Key Lessons Learned</w:t>
      </w:r>
    </w:p>
    <w:p>
      <w:pPr>
        <w:pStyle w:val="Heading2"/>
      </w:pPr>
      <w:r>
        <w:t>MoE tuning has negligible impact</w:t>
      </w:r>
    </w:p>
    <w:p>
      <w:r>
        <w:t>Noise gating, Z-loss, and LB coefficient adjustments (0.01-0.05 range) produced zero change in Val IC. The bottleneck is data quality and training set size, not expert routing dynamics. LB &gt; 0.05 actively harms training.</w:t>
      </w:r>
    </w:p>
    <w:p>
      <w:pPr>
        <w:pStyle w:val="Heading2"/>
      </w:pPr>
      <w:r>
        <w:t>Data quality &gt; architecture changes</w:t>
      </w:r>
    </w:p>
    <w:p>
      <w:r>
        <w:t>Over 90% of IC improvement came from data-side changes: financial metric whitelist (89K→40 metrics), label volatility normalization, and expanding the training window. Architecture modifications (Top-K routing, expert count, attention type) had minimal impact.</w:t>
      </w:r>
    </w:p>
    <w:p>
      <w:pPr>
        <w:pStyle w:val="Heading2"/>
      </w:pPr>
      <w:r>
        <w:t>Cross-sectional prediction requires asymmetric inputs</w:t>
      </w:r>
    </w:p>
    <w:p>
      <w:r>
        <w:t>The model cannot differentiate between stocks on the same date because all stocks see identical macro/market data. Per-date normalization and cross-sectional loss functions create the illusion of variance during training but fail at inference. Stock-specific features (individual price history, financial snapshots) are needed for genuine cross-sectional signal.</w:t>
      </w:r>
    </w:p>
    <w:p>
      <w:pPr>
        <w:pStyle w:val="Heading2"/>
      </w:pPr>
      <w:r>
        <w:t>Checkpoint compatibility requires vocab persistence</w:t>
      </w:r>
    </w:p>
    <w:p>
      <w:r>
        <w:t>Data pipeline runs produce different company/metric orderings, making checkpoints unusable across runs. Solution: persist company_vocab.json and metric_vocab.json to disk, append new entries at the end rather than re-sorting.</w:t>
      </w:r>
    </w:p>
    <w:p>
      <w:pPr>
        <w:pStyle w:val="Heading2"/>
      </w:pPr>
      <w:r>
        <w:t>Single-split validation is unreliable</w:t>
      </w:r>
    </w:p>
    <w:p>
      <w:r>
        <w:t>Validation IC varies dramatically depending on the train/val boundary. Walk-Forward CV with a fixed pre-trained model provides a more honest assessment than per-fold retraining.</w:t>
      </w:r>
    </w:p>
    <w:p>
      <w:pPr>
        <w:pStyle w:val="Heading2"/>
      </w:pPr>
      <w:r>
        <w:t>Pre-trained model &gt; from-scratch per fold</w:t>
      </w:r>
    </w:p>
    <w:p>
      <w:r>
        <w:t>A model trained on the full available history and deployed forward performs much better than models trained from scratch on limited windows. This matches real-world deployment: you train once, then use the model until retraining is needed.</w:t>
      </w:r>
    </w:p>
    <w:p>
      <w:pPr>
        <w:pStyle w:val="Heading1"/>
      </w:pPr>
      <w:r>
        <w:t>9. Project File Inventory</w:t>
      </w:r>
    </w:p>
    <w:p>
      <w:pPr>
        <w:pStyle w:val="ListBullet"/>
      </w:pPr>
      <w:r>
        <w:t>config.py — All hyperparameters</w:t>
      </w:r>
    </w:p>
    <w:p>
      <w:pPr>
        <w:pStyle w:val="ListBullet"/>
      </w:pPr>
      <w:r>
        <w:t>train.py — Training script (Phase 2 clean baseline)</w:t>
      </w:r>
    </w:p>
    <w:p>
      <w:pPr>
        <w:pStyle w:val="ListBullet"/>
      </w:pPr>
      <w:r>
        <w:t>reinit_experts.py — Differentiated expert re-initialization</w:t>
      </w:r>
    </w:p>
    <w:p>
      <w:pPr>
        <w:pStyle w:val="ListBullet"/>
      </w:pPr>
      <w:r>
        <w:t>model/embedding.py — Dual embedding + value projection + calendar</w:t>
      </w:r>
    </w:p>
    <w:p>
      <w:pPr>
        <w:pStyle w:val="ListBullet"/>
      </w:pPr>
      <w:r>
        <w:t>model/hierarchical.py — Hierarchical temporal encoder</w:t>
      </w:r>
    </w:p>
    <w:p>
      <w:pPr>
        <w:pStyle w:val="ListBullet"/>
      </w:pPr>
      <w:r>
        <w:t>model/moe.py — Sparse MoE predictor (6 experts, Top-1)</w:t>
      </w:r>
    </w:p>
    <w:p>
      <w:pPr>
        <w:pStyle w:val="ListBullet"/>
      </w:pPr>
      <w:r>
        <w:t>model/predictor.py — FinancialMoETransformer main module</w:t>
      </w:r>
    </w:p>
    <w:p>
      <w:pPr>
        <w:pStyle w:val="ListBullet"/>
      </w:pPr>
      <w:r>
        <w:t>model/transformer.py — Chunked cosFormer attention</w:t>
      </w:r>
    </w:p>
    <w:p>
      <w:pPr>
        <w:pStyle w:val="ListBullet"/>
      </w:pPr>
      <w:r>
        <w:t>utils/dataset.py — Index-level SlidingWindowDataset</w:t>
      </w:r>
    </w:p>
    <w:p>
      <w:pPr>
        <w:pStyle w:val="ListBullet"/>
      </w:pPr>
      <w:r>
        <w:t>utils/dataset_stock.py — Stock-level dataset with stock history</w:t>
      </w:r>
    </w:p>
    <w:p>
      <w:pPr>
        <w:pStyle w:val="ListBullet"/>
      </w:pPr>
      <w:r>
        <w:t>utils/losses.py — CombinedLoss (MSE + SpearmanRank + LB)</w:t>
      </w:r>
    </w:p>
    <w:p>
      <w:pPr>
        <w:pStyle w:val="ListBullet"/>
      </w:pPr>
      <w:r>
        <w:t>data/prepare_data.py — Full data preparation pipeline</w:t>
      </w:r>
    </w:p>
    <w:p>
      <w:pPr>
        <w:pStyle w:val="ListBullet"/>
      </w:pPr>
      <w:r>
        <w:t>data/build_stock_labels.py — Stock-level label generation</w:t>
      </w:r>
    </w:p>
    <w:p>
      <w:pPr>
        <w:pStyle w:val="ListBullet"/>
      </w:pPr>
      <w:r>
        <w:t>data/inject_macro.py — International macro data injection</w:t>
      </w:r>
    </w:p>
    <w:p>
      <w:pPr>
        <w:pStyle w:val="ListBullet"/>
      </w:pPr>
      <w:r>
        <w:t>data/add_stock_history.py — Stock daily features lookup table</w:t>
      </w:r>
    </w:p>
    <w:p>
      <w:pPr>
        <w:pStyle w:val="ListBullet"/>
      </w:pPr>
      <w:r>
        <w:t>backtest_phase1_final.py — Phase 1 timing strategy backtest</w:t>
      </w:r>
    </w:p>
    <w:p>
      <w:pPr>
        <w:pStyle w:val="ListBullet"/>
      </w:pPr>
      <w:r>
        <w:t>multi_period_eval.py — Multi-period fixed-model evaluation</w:t>
      </w:r>
    </w:p>
    <w:p>
      <w:pPr>
        <w:pStyle w:val="ListBullet"/>
      </w:pPr>
      <w:r>
        <w:t>walkforward_cv.py — 5-fold Walk-Forward CV</w:t>
      </w:r>
    </w:p>
    <w:p>
      <w:pPr>
        <w:pStyle w:val="ListBullet"/>
      </w:pPr>
      <w:r>
        <w:t>evaluate_cross_section.py — Cross-sectional Rank IC evaluation</w:t>
      </w:r>
    </w:p>
    <w:p>
      <w:pPr>
        <w:pStyle w:val="ListBullet"/>
      </w:pPr>
      <w:r>
        <w:t>reports/timing_report.txt — Timing strategy report</w:t>
      </w:r>
    </w:p>
    <w:p>
      <w:pPr>
        <w:pStyle w:val="ListBullet"/>
      </w:pPr>
      <w:r>
        <w:t>reports/multi_period_report.txt — Multi-period evaluation</w:t>
      </w:r>
    </w:p>
    <w:p>
      <w:pPr>
        <w:pStyle w:val="ListBullet"/>
      </w:pPr>
      <w:r>
        <w:t>reports/walkforward_report.txt — Walk-Forward CV report</w:t>
      </w:r>
    </w:p>
    <w:p>
      <w:pPr>
        <w:pStyle w:val="ListBullet"/>
      </w:pPr>
      <w:r>
        <w:t>reports/timing_backtest.png — Equity curve chart</w:t>
      </w:r>
    </w:p>
    <w:p>
      <w:pPr>
        <w:pStyle w:val="ListBullet"/>
      </w:pPr>
      <w:r>
        <w:t>reports/multi_period_equity.png — Multi-period equity curves</w:t>
      </w:r>
    </w:p>
    <w:p>
      <w:pPr>
        <w:pStyle w:val="ListBullet"/>
      </w:pPr>
      <w:r>
        <w:t>reports/walkforward_equity.png — WF-CV Sharpe bar chart</w:t>
      </w:r>
    </w:p>
    <w:p>
      <w:pPr>
        <w:pStyle w:val="ListBullet"/>
      </w:pPr>
      <w:r>
        <w:t>checkpoints/best_phase2_cont.pt — Best index model (IC=0.053)</w:t>
      </w:r>
    </w:p>
    <w:p>
      <w:pPr>
        <w:pStyle w:val="ListBullet"/>
      </w:pPr>
      <w:r>
        <w:t>checkpoints/best_cs.pt — Best CS-trained model (IC=0.100)</w:t>
      </w:r>
    </w:p>
    <w:p>
      <w:pPr>
        <w:pStyle w:val="ListBullet"/>
      </w:pPr>
      <w:r>
        <w:t>checkpoints/best.pt — Original Phase 2 checkpoint (IC=0.063)</w:t>
      </w:r>
    </w:p>
    <w:p>
      <w:pPr>
        <w:pStyle w:val="Heading1"/>
      </w:pPr>
      <w:r>
        <w:t>10. Conclusion &amp; Next Steps</w:t>
      </w:r>
    </w:p>
    <w:p>
      <w:r>
        <w:t>The Financial MoE Transformer demonstrates statistically significant predictive power for CSI 300 index movements, with a market timing strategy achieving Sharpe ratios of +0.47 to +0.99 across different market regimes using a fixed pre-trained model.</w:t>
        <w:br/>
        <w:br/>
        <w:t>Immediate next steps:</w:t>
        <w:br/>
        <w:t>1. Deploy the fixed model (best_phase2_cont.pt) for live market timing</w:t>
        <w:br/>
        <w:t>2. Implement per-period signal direction detection (IC sign monitoring)</w:t>
        <w:br/>
        <w:t>3. Add stock-specific financial snapshots for genuine cross-sectional prediction</w:t>
        <w:br/>
        <w:t>4. Explore text sentiment integration via the ready-to-use text_encoder.py</w:t>
        <w:br/>
        <w:t>5. Scale training to full 776K stock-level windows on GPU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