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64862" w14:textId="3DC39B55" w:rsidR="00C43166" w:rsidRDefault="00C43166" w:rsidP="00EA786C">
      <w:pPr>
        <w:spacing w:before="100" w:beforeAutospacing="1" w:after="100" w:afterAutospacing="1" w:line="240" w:lineRule="auto"/>
        <w:rPr>
          <w:rFonts w:ascii="Times New Roman" w:eastAsia="Times New Roman" w:hAnsi="Times New Roman" w:cs="Times New Roman"/>
          <w:b/>
          <w:bCs/>
          <w:sz w:val="24"/>
          <w:szCs w:val="24"/>
        </w:rPr>
      </w:pPr>
      <w:r w:rsidRPr="00C43166">
        <w:rPr>
          <w:rFonts w:ascii="Times New Roman" w:eastAsia="Times New Roman" w:hAnsi="Times New Roman" w:cs="Times New Roman"/>
          <w:b/>
          <w:bCs/>
          <w:sz w:val="24"/>
          <w:szCs w:val="24"/>
        </w:rPr>
        <w:t>**</w:t>
      </w:r>
      <w:r w:rsidR="00C515F8" w:rsidRPr="00C43166">
        <w:rPr>
          <w:rFonts w:ascii="Times New Roman" w:eastAsia="Times New Roman" w:hAnsi="Times New Roman" w:cs="Times New Roman"/>
          <w:b/>
          <w:bCs/>
          <w:sz w:val="24"/>
          <w:szCs w:val="24"/>
        </w:rPr>
        <w:t>Disclaimer: *</w:t>
      </w:r>
      <w:r w:rsidRPr="00C43166">
        <w:rPr>
          <w:rFonts w:ascii="Times New Roman" w:eastAsia="Times New Roman" w:hAnsi="Times New Roman" w:cs="Times New Roman"/>
          <w:b/>
          <w:bCs/>
          <w:sz w:val="24"/>
          <w:szCs w:val="24"/>
        </w:rPr>
        <w:t>* This document is a fictional example created for portfolio purposes. No confidential client data is included.</w:t>
      </w:r>
    </w:p>
    <w:p w14:paraId="369D9BF3" w14:textId="77777777" w:rsidR="00C515F8" w:rsidRDefault="00C515F8" w:rsidP="00EA786C">
      <w:pPr>
        <w:spacing w:before="100" w:beforeAutospacing="1" w:after="100" w:afterAutospacing="1" w:line="240" w:lineRule="auto"/>
        <w:rPr>
          <w:rFonts w:ascii="Times New Roman" w:eastAsia="Times New Roman" w:hAnsi="Times New Roman" w:cs="Times New Roman"/>
          <w:b/>
          <w:bCs/>
          <w:sz w:val="24"/>
          <w:szCs w:val="24"/>
        </w:rPr>
      </w:pPr>
    </w:p>
    <w:p w14:paraId="1DCC856B" w14:textId="4C2E8DE4" w:rsidR="00EA786C" w:rsidRPr="00E12721" w:rsidRDefault="00EA786C" w:rsidP="00EA786C">
      <w:p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Date:</w:t>
      </w:r>
      <w:r w:rsidRPr="00E12721">
        <w:rPr>
          <w:rFonts w:ascii="Times New Roman" w:eastAsia="Times New Roman" w:hAnsi="Times New Roman" w:cs="Times New Roman"/>
          <w:sz w:val="24"/>
          <w:szCs w:val="24"/>
        </w:rPr>
        <w:t xml:space="preserve"> 2/23/2025</w:t>
      </w:r>
      <w:r w:rsidRPr="00E12721">
        <w:rPr>
          <w:rFonts w:ascii="Times New Roman" w:eastAsia="Times New Roman" w:hAnsi="Times New Roman" w:cs="Times New Roman"/>
          <w:sz w:val="24"/>
          <w:szCs w:val="24"/>
        </w:rPr>
        <w:br/>
      </w:r>
      <w:r w:rsidRPr="00E12721">
        <w:rPr>
          <w:rFonts w:ascii="Times New Roman" w:eastAsia="Times New Roman" w:hAnsi="Times New Roman" w:cs="Times New Roman"/>
          <w:b/>
          <w:bCs/>
          <w:sz w:val="24"/>
          <w:szCs w:val="24"/>
        </w:rPr>
        <w:t>To:</w:t>
      </w:r>
      <w:r w:rsidRPr="00E12721">
        <w:rPr>
          <w:rFonts w:ascii="Times New Roman" w:eastAsia="Times New Roman" w:hAnsi="Times New Roman" w:cs="Times New Roman"/>
          <w:sz w:val="24"/>
          <w:szCs w:val="24"/>
        </w:rPr>
        <w:t xml:space="preserve"> Managing Attorney</w:t>
      </w:r>
      <w:r w:rsidRPr="00E12721">
        <w:rPr>
          <w:rFonts w:ascii="Times New Roman" w:eastAsia="Times New Roman" w:hAnsi="Times New Roman" w:cs="Times New Roman"/>
          <w:sz w:val="24"/>
          <w:szCs w:val="24"/>
        </w:rPr>
        <w:br/>
      </w:r>
      <w:r w:rsidRPr="00E12721">
        <w:rPr>
          <w:rFonts w:ascii="Times New Roman" w:eastAsia="Times New Roman" w:hAnsi="Times New Roman" w:cs="Times New Roman"/>
          <w:b/>
          <w:bCs/>
          <w:sz w:val="24"/>
          <w:szCs w:val="24"/>
        </w:rPr>
        <w:t>From:</w:t>
      </w:r>
      <w:r w:rsidRPr="00E12721">
        <w:rPr>
          <w:rFonts w:ascii="Times New Roman" w:eastAsia="Times New Roman" w:hAnsi="Times New Roman" w:cs="Times New Roman"/>
          <w:sz w:val="24"/>
          <w:szCs w:val="24"/>
        </w:rPr>
        <w:t xml:space="preserve"> Symonne Guzman – Paralegal </w:t>
      </w:r>
      <w:r w:rsidRPr="00E12721">
        <w:rPr>
          <w:rFonts w:ascii="Times New Roman" w:eastAsia="Times New Roman" w:hAnsi="Times New Roman" w:cs="Times New Roman"/>
          <w:sz w:val="24"/>
          <w:szCs w:val="24"/>
        </w:rPr>
        <w:br/>
      </w:r>
      <w:r w:rsidRPr="00E12721">
        <w:rPr>
          <w:rFonts w:ascii="Times New Roman" w:eastAsia="Times New Roman" w:hAnsi="Times New Roman" w:cs="Times New Roman"/>
          <w:b/>
          <w:bCs/>
          <w:sz w:val="24"/>
          <w:szCs w:val="24"/>
        </w:rPr>
        <w:t>Re:</w:t>
      </w:r>
      <w:r w:rsidRPr="00E12721">
        <w:rPr>
          <w:rFonts w:ascii="Times New Roman" w:eastAsia="Times New Roman" w:hAnsi="Times New Roman" w:cs="Times New Roman"/>
          <w:sz w:val="24"/>
          <w:szCs w:val="24"/>
        </w:rPr>
        <w:t xml:space="preserve"> </w:t>
      </w:r>
      <w:r w:rsidRPr="00E12721">
        <w:rPr>
          <w:rFonts w:ascii="Times New Roman" w:eastAsia="Times New Roman" w:hAnsi="Times New Roman" w:cs="Times New Roman"/>
          <w:i/>
          <w:iCs/>
          <w:sz w:val="24"/>
          <w:szCs w:val="24"/>
        </w:rPr>
        <w:t>Scott v. Harris</w:t>
      </w:r>
      <w:r w:rsidRPr="00E12721">
        <w:rPr>
          <w:rFonts w:ascii="Times New Roman" w:eastAsia="Times New Roman" w:hAnsi="Times New Roman" w:cs="Times New Roman"/>
          <w:sz w:val="24"/>
          <w:szCs w:val="24"/>
        </w:rPr>
        <w:t>, 550 U.S. 372 (2007)</w:t>
      </w:r>
    </w:p>
    <w:p w14:paraId="4A270C73" w14:textId="7C8DD509" w:rsidR="00EA786C" w:rsidRPr="00E12721" w:rsidRDefault="00EA786C" w:rsidP="00EA786C">
      <w:pPr>
        <w:spacing w:after="0" w:line="240" w:lineRule="auto"/>
        <w:rPr>
          <w:rFonts w:ascii="Times New Roman" w:eastAsia="Times New Roman" w:hAnsi="Times New Roman" w:cs="Times New Roman"/>
          <w:sz w:val="24"/>
          <w:szCs w:val="24"/>
        </w:rPr>
      </w:pPr>
    </w:p>
    <w:p w14:paraId="5715628E"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The Parties</w:t>
      </w:r>
    </w:p>
    <w:p w14:paraId="6A72C610" w14:textId="77777777" w:rsidR="00EA786C" w:rsidRPr="00E12721" w:rsidRDefault="00EA786C" w:rsidP="00EA78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Petitioner:</w:t>
      </w:r>
      <w:r w:rsidRPr="00E12721">
        <w:rPr>
          <w:rFonts w:ascii="Times New Roman" w:eastAsia="Times New Roman" w:hAnsi="Times New Roman" w:cs="Times New Roman"/>
          <w:sz w:val="24"/>
          <w:szCs w:val="24"/>
        </w:rPr>
        <w:t xml:space="preserve"> Timothy Scott, a deputy sheriff.</w:t>
      </w:r>
    </w:p>
    <w:p w14:paraId="502543E8" w14:textId="77777777" w:rsidR="00EA786C" w:rsidRPr="00E12721" w:rsidRDefault="00EA786C" w:rsidP="00EA78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Respondent:</w:t>
      </w:r>
      <w:r w:rsidRPr="00E12721">
        <w:rPr>
          <w:rFonts w:ascii="Times New Roman" w:eastAsia="Times New Roman" w:hAnsi="Times New Roman" w:cs="Times New Roman"/>
          <w:sz w:val="24"/>
          <w:szCs w:val="24"/>
        </w:rPr>
        <w:t xml:space="preserve"> Victor Harris, a motorist who was injured during a high-speed police chase.</w:t>
      </w:r>
    </w:p>
    <w:p w14:paraId="40AAEAEE" w14:textId="6832A99C" w:rsidR="00EA786C" w:rsidRPr="00E12721" w:rsidRDefault="00EA786C" w:rsidP="00EA786C">
      <w:pPr>
        <w:spacing w:after="0" w:line="240" w:lineRule="auto"/>
        <w:rPr>
          <w:rFonts w:ascii="Times New Roman" w:eastAsia="Times New Roman" w:hAnsi="Times New Roman" w:cs="Times New Roman"/>
          <w:sz w:val="24"/>
          <w:szCs w:val="24"/>
        </w:rPr>
      </w:pPr>
    </w:p>
    <w:p w14:paraId="78038985"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The Court/Procedural History</w:t>
      </w:r>
    </w:p>
    <w:p w14:paraId="3ABFA416" w14:textId="77777777" w:rsidR="00EA786C" w:rsidRPr="00E12721" w:rsidRDefault="00EA786C" w:rsidP="00EA786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Appellate Court:</w:t>
      </w:r>
      <w:r w:rsidRPr="00E12721">
        <w:rPr>
          <w:rFonts w:ascii="Times New Roman" w:eastAsia="Times New Roman" w:hAnsi="Times New Roman" w:cs="Times New Roman"/>
          <w:sz w:val="24"/>
          <w:szCs w:val="24"/>
        </w:rPr>
        <w:t xml:space="preserve"> Supreme Court of the United States.</w:t>
      </w:r>
    </w:p>
    <w:p w14:paraId="6506A1B4" w14:textId="77777777" w:rsidR="00EA786C" w:rsidRPr="00E12721" w:rsidRDefault="00EA786C" w:rsidP="00EA786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Lower Court:</w:t>
      </w:r>
      <w:r w:rsidRPr="00E12721">
        <w:rPr>
          <w:rFonts w:ascii="Times New Roman" w:eastAsia="Times New Roman" w:hAnsi="Times New Roman" w:cs="Times New Roman"/>
          <w:sz w:val="24"/>
          <w:szCs w:val="24"/>
        </w:rPr>
        <w:t xml:space="preserve"> United States Court of Appeals for the Eleventh Circuit.</w:t>
      </w:r>
    </w:p>
    <w:p w14:paraId="4A765BB2" w14:textId="77777777" w:rsidR="00EA786C" w:rsidRPr="00E12721" w:rsidRDefault="00EA786C" w:rsidP="00EA786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Originated In:</w:t>
      </w:r>
      <w:r w:rsidRPr="00E12721">
        <w:rPr>
          <w:rFonts w:ascii="Times New Roman" w:eastAsia="Times New Roman" w:hAnsi="Times New Roman" w:cs="Times New Roman"/>
          <w:sz w:val="24"/>
          <w:szCs w:val="24"/>
        </w:rPr>
        <w:t xml:space="preserve"> The case began in the U.S. District Court for the Northern District of Georgia, where Harris filed a lawsuit under 42 U.S.C. § 1983, alleging excessive force in violation of his Fourth Amendment rights.</w:t>
      </w:r>
    </w:p>
    <w:p w14:paraId="39A88552" w14:textId="7AA1C2E0" w:rsidR="00EA786C" w:rsidRPr="00E12721" w:rsidRDefault="00EA786C" w:rsidP="00EA786C">
      <w:pPr>
        <w:spacing w:after="0" w:line="240" w:lineRule="auto"/>
        <w:jc w:val="both"/>
        <w:rPr>
          <w:rFonts w:ascii="Times New Roman" w:eastAsia="Times New Roman" w:hAnsi="Times New Roman" w:cs="Times New Roman"/>
          <w:sz w:val="24"/>
          <w:szCs w:val="24"/>
        </w:rPr>
      </w:pPr>
    </w:p>
    <w:p w14:paraId="110F6379"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The Citation</w:t>
      </w:r>
    </w:p>
    <w:p w14:paraId="1667D3C7" w14:textId="77777777" w:rsidR="00EA786C" w:rsidRPr="00E12721" w:rsidRDefault="00EA786C" w:rsidP="00EA786C">
      <w:p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i/>
          <w:iCs/>
          <w:sz w:val="24"/>
          <w:szCs w:val="24"/>
        </w:rPr>
        <w:t>Scott v. Harris</w:t>
      </w:r>
      <w:r w:rsidRPr="00E12721">
        <w:rPr>
          <w:rFonts w:ascii="Times New Roman" w:eastAsia="Times New Roman" w:hAnsi="Times New Roman" w:cs="Times New Roman"/>
          <w:sz w:val="24"/>
          <w:szCs w:val="24"/>
        </w:rPr>
        <w:t>, 550 U.S. 372, 127 S. Ct. 1769, 167 L. Ed. 2d 686 (2007).</w:t>
      </w:r>
    </w:p>
    <w:p w14:paraId="28344353" w14:textId="2ABDF939" w:rsidR="00EA786C" w:rsidRPr="00E12721" w:rsidRDefault="00EA786C" w:rsidP="00EA786C">
      <w:pPr>
        <w:spacing w:after="0" w:line="240" w:lineRule="auto"/>
        <w:rPr>
          <w:rFonts w:ascii="Times New Roman" w:eastAsia="Times New Roman" w:hAnsi="Times New Roman" w:cs="Times New Roman"/>
          <w:sz w:val="24"/>
          <w:szCs w:val="24"/>
        </w:rPr>
      </w:pPr>
    </w:p>
    <w:p w14:paraId="78078C4F"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The Date</w:t>
      </w:r>
    </w:p>
    <w:p w14:paraId="549EA5A3" w14:textId="77777777" w:rsidR="00EA786C" w:rsidRPr="00E12721" w:rsidRDefault="00EA786C" w:rsidP="00EA78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Argued:</w:t>
      </w:r>
      <w:r w:rsidRPr="00E12721">
        <w:rPr>
          <w:rFonts w:ascii="Times New Roman" w:eastAsia="Times New Roman" w:hAnsi="Times New Roman" w:cs="Times New Roman"/>
          <w:sz w:val="24"/>
          <w:szCs w:val="24"/>
        </w:rPr>
        <w:t xml:space="preserve"> February 26, 2007.</w:t>
      </w:r>
    </w:p>
    <w:p w14:paraId="654550A1" w14:textId="77777777" w:rsidR="00EA786C" w:rsidRPr="00E12721" w:rsidRDefault="00EA786C" w:rsidP="00EA78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Decided:</w:t>
      </w:r>
      <w:r w:rsidRPr="00E12721">
        <w:rPr>
          <w:rFonts w:ascii="Times New Roman" w:eastAsia="Times New Roman" w:hAnsi="Times New Roman" w:cs="Times New Roman"/>
          <w:sz w:val="24"/>
          <w:szCs w:val="24"/>
        </w:rPr>
        <w:t xml:space="preserve"> April 30, 2007.</w:t>
      </w:r>
    </w:p>
    <w:p w14:paraId="2F331857" w14:textId="550EBE45" w:rsidR="00EA786C" w:rsidRPr="00E12721" w:rsidRDefault="00EA786C" w:rsidP="00EA786C">
      <w:pPr>
        <w:spacing w:after="0" w:line="240" w:lineRule="auto"/>
        <w:rPr>
          <w:rFonts w:ascii="Times New Roman" w:eastAsia="Times New Roman" w:hAnsi="Times New Roman" w:cs="Times New Roman"/>
          <w:sz w:val="24"/>
          <w:szCs w:val="24"/>
        </w:rPr>
      </w:pPr>
    </w:p>
    <w:p w14:paraId="56399201"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Legal Issues</w:t>
      </w:r>
    </w:p>
    <w:p w14:paraId="79A30661" w14:textId="77777777" w:rsidR="00EA786C" w:rsidRPr="00E12721" w:rsidRDefault="00EA786C" w:rsidP="00EA786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Did Deputy Scott’s use of force to terminate a high-speed car chase violate Victor Harris’s Fourth Amendment right to be free from excessive force during a seizure?</w:t>
      </w:r>
    </w:p>
    <w:p w14:paraId="7E38A528" w14:textId="77777777" w:rsidR="00EA786C" w:rsidRPr="00E12721" w:rsidRDefault="00EA786C" w:rsidP="00EA786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lastRenderedPageBreak/>
        <w:t>Was Deputy Scott entitled to qualified immunity for his actions?</w:t>
      </w:r>
    </w:p>
    <w:p w14:paraId="546F2798" w14:textId="77777777" w:rsidR="00E12721" w:rsidRPr="00E12721" w:rsidRDefault="00C515F8" w:rsidP="00EA786C">
      <w:pPr>
        <w:spacing w:after="0"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pict w14:anchorId="7B1DA4FA">
          <v:rect id="_x0000_i1030" style="width:0;height:1.5pt" o:hralign="center" o:hrstd="t" o:hr="t" fillcolor="#a0a0a0" stroked="f"/>
        </w:pict>
      </w:r>
    </w:p>
    <w:p w14:paraId="5E24DB5A" w14:textId="31A6509B" w:rsidR="00EA786C" w:rsidRPr="00E12721" w:rsidRDefault="00EA786C" w:rsidP="00EA786C">
      <w:pPr>
        <w:spacing w:after="0" w:line="240" w:lineRule="auto"/>
        <w:jc w:val="both"/>
        <w:rPr>
          <w:rFonts w:ascii="Times New Roman" w:eastAsia="Times New Roman" w:hAnsi="Times New Roman" w:cs="Times New Roman"/>
          <w:sz w:val="24"/>
          <w:szCs w:val="24"/>
        </w:rPr>
      </w:pPr>
    </w:p>
    <w:p w14:paraId="46FFF438"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Facts</w:t>
      </w:r>
    </w:p>
    <w:p w14:paraId="6448F117" w14:textId="77777777" w:rsidR="00EA786C" w:rsidRPr="00E12721" w:rsidRDefault="00EA786C" w:rsidP="00EA786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 xml:space="preserve">Victor Harris was clocked driving 73 mph in a </w:t>
      </w:r>
      <w:proofErr w:type="gramStart"/>
      <w:r w:rsidRPr="00E12721">
        <w:rPr>
          <w:rFonts w:ascii="Times New Roman" w:eastAsia="Times New Roman" w:hAnsi="Times New Roman" w:cs="Times New Roman"/>
          <w:sz w:val="24"/>
          <w:szCs w:val="24"/>
        </w:rPr>
        <w:t>55 mph</w:t>
      </w:r>
      <w:proofErr w:type="gramEnd"/>
      <w:r w:rsidRPr="00E12721">
        <w:rPr>
          <w:rFonts w:ascii="Times New Roman" w:eastAsia="Times New Roman" w:hAnsi="Times New Roman" w:cs="Times New Roman"/>
          <w:sz w:val="24"/>
          <w:szCs w:val="24"/>
        </w:rPr>
        <w:t xml:space="preserve"> zone. When a deputy attempted to pull him over, Harris fled, initiating a high-speed chase.</w:t>
      </w:r>
    </w:p>
    <w:p w14:paraId="5D55FD02" w14:textId="77777777" w:rsidR="00EA786C" w:rsidRPr="00E12721" w:rsidRDefault="00EA786C" w:rsidP="00EA786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Deputy Scott joined the pursuit and, after Harris evaded multiple attempts to stop him, used a “PIT maneuver” (ramming Harris’s car) to force him off the road.</w:t>
      </w:r>
    </w:p>
    <w:p w14:paraId="46D82705" w14:textId="77777777" w:rsidR="00EA786C" w:rsidRPr="00E12721" w:rsidRDefault="00EA786C" w:rsidP="00EA786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Harris’s car crashed, leaving him quadriplegic. He sued Scott under 42 U.S.C. § 1983, alleging excessive force in violation of the Fourth Amendment.</w:t>
      </w:r>
    </w:p>
    <w:p w14:paraId="6D5DB6DE" w14:textId="77777777" w:rsidR="00EA786C" w:rsidRPr="00E12721" w:rsidRDefault="00EA786C" w:rsidP="00EA786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 xml:space="preserve">The district court denied Scott’s motion for summary judgment based on qualified immunity, and the Eleventh Circuit affirmed, holding that Scott’s actions could constitute “deadly force” under </w:t>
      </w:r>
      <w:r w:rsidRPr="00E12721">
        <w:rPr>
          <w:rFonts w:ascii="Times New Roman" w:eastAsia="Times New Roman" w:hAnsi="Times New Roman" w:cs="Times New Roman"/>
          <w:i/>
          <w:iCs/>
          <w:sz w:val="24"/>
          <w:szCs w:val="24"/>
        </w:rPr>
        <w:t>Tennessee v. Garner</w:t>
      </w:r>
      <w:r w:rsidRPr="00E12721">
        <w:rPr>
          <w:rFonts w:ascii="Times New Roman" w:eastAsia="Times New Roman" w:hAnsi="Times New Roman" w:cs="Times New Roman"/>
          <w:sz w:val="24"/>
          <w:szCs w:val="24"/>
        </w:rPr>
        <w:t>, 471 U.S. 1 (1985).</w:t>
      </w:r>
    </w:p>
    <w:p w14:paraId="3F3D4A80" w14:textId="474ED187" w:rsidR="00EA786C" w:rsidRPr="00E12721" w:rsidRDefault="00EA786C" w:rsidP="00EA786C">
      <w:pPr>
        <w:spacing w:after="0" w:line="240" w:lineRule="auto"/>
        <w:jc w:val="both"/>
        <w:rPr>
          <w:rFonts w:ascii="Times New Roman" w:eastAsia="Times New Roman" w:hAnsi="Times New Roman" w:cs="Times New Roman"/>
          <w:sz w:val="24"/>
          <w:szCs w:val="24"/>
        </w:rPr>
      </w:pPr>
    </w:p>
    <w:p w14:paraId="2D5FE10D"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The Holding</w:t>
      </w:r>
    </w:p>
    <w:p w14:paraId="52496D50" w14:textId="77777777" w:rsidR="00EA786C" w:rsidRPr="00E12721" w:rsidRDefault="00EA786C" w:rsidP="00EA78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Yes</w:t>
      </w:r>
      <w:r w:rsidRPr="00E12721">
        <w:rPr>
          <w:rFonts w:ascii="Times New Roman" w:eastAsia="Times New Roman" w:hAnsi="Times New Roman" w:cs="Times New Roman"/>
          <w:sz w:val="24"/>
          <w:szCs w:val="24"/>
        </w:rPr>
        <w:t>, Deputy Scott’s actions were reasonable under the Fourth Amendment.</w:t>
      </w:r>
    </w:p>
    <w:p w14:paraId="65F37BBD" w14:textId="77777777" w:rsidR="00EA786C" w:rsidRPr="00E12721" w:rsidRDefault="00EA786C" w:rsidP="00EA78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Yes</w:t>
      </w:r>
      <w:r w:rsidRPr="00E12721">
        <w:rPr>
          <w:rFonts w:ascii="Times New Roman" w:eastAsia="Times New Roman" w:hAnsi="Times New Roman" w:cs="Times New Roman"/>
          <w:sz w:val="24"/>
          <w:szCs w:val="24"/>
        </w:rPr>
        <w:t>, Scott was entitled to qualified immunity.</w:t>
      </w:r>
    </w:p>
    <w:p w14:paraId="48DEEE28" w14:textId="35C903AE" w:rsidR="00EA786C" w:rsidRPr="00E12721" w:rsidRDefault="00EA786C" w:rsidP="00EA786C">
      <w:pPr>
        <w:spacing w:after="0" w:line="240" w:lineRule="auto"/>
        <w:rPr>
          <w:rFonts w:ascii="Times New Roman" w:eastAsia="Times New Roman" w:hAnsi="Times New Roman" w:cs="Times New Roman"/>
          <w:sz w:val="24"/>
          <w:szCs w:val="24"/>
        </w:rPr>
      </w:pPr>
    </w:p>
    <w:p w14:paraId="2B634EF9"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The Reasoning</w:t>
      </w:r>
    </w:p>
    <w:p w14:paraId="1BD96327" w14:textId="77777777" w:rsidR="00EA786C" w:rsidRPr="00E12721" w:rsidRDefault="00EA786C" w:rsidP="00EA786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Videotape Evidence:</w:t>
      </w:r>
      <w:r w:rsidRPr="00E12721">
        <w:rPr>
          <w:rFonts w:ascii="Times New Roman" w:eastAsia="Times New Roman" w:hAnsi="Times New Roman" w:cs="Times New Roman"/>
          <w:sz w:val="24"/>
          <w:szCs w:val="24"/>
        </w:rPr>
        <w:t xml:space="preserve"> The Supreme Court emphasized that the videotape of the chase clearly contradicted Harris’s version of events. The tape showed Harris driving recklessly at high speeds, swerving through traffic, and endangering the public.</w:t>
      </w:r>
    </w:p>
    <w:p w14:paraId="7DBD8796" w14:textId="77777777" w:rsidR="00EA786C" w:rsidRPr="00E12721" w:rsidRDefault="00EA786C" w:rsidP="00EA786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Objective Reasonableness:</w:t>
      </w:r>
      <w:r w:rsidRPr="00E12721">
        <w:rPr>
          <w:rFonts w:ascii="Times New Roman" w:eastAsia="Times New Roman" w:hAnsi="Times New Roman" w:cs="Times New Roman"/>
          <w:sz w:val="24"/>
          <w:szCs w:val="24"/>
        </w:rPr>
        <w:t xml:space="preserve"> The Court applied the Fourth Amendment’s “objective reasonableness” standard, balancing the intrusion on Harris’s rights against the government’s interest in public safety.</w:t>
      </w:r>
    </w:p>
    <w:p w14:paraId="6B077D13" w14:textId="77777777" w:rsidR="00EA786C" w:rsidRPr="00E12721" w:rsidRDefault="00EA786C" w:rsidP="00EA786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Deadly Force:</w:t>
      </w:r>
      <w:r w:rsidRPr="00E12721">
        <w:rPr>
          <w:rFonts w:ascii="Times New Roman" w:eastAsia="Times New Roman" w:hAnsi="Times New Roman" w:cs="Times New Roman"/>
          <w:sz w:val="24"/>
          <w:szCs w:val="24"/>
        </w:rPr>
        <w:t xml:space="preserve"> The Court rejected Harris’s argument that Scott’s actions constituted “deadly force” under </w:t>
      </w:r>
      <w:r w:rsidRPr="00E12721">
        <w:rPr>
          <w:rFonts w:ascii="Times New Roman" w:eastAsia="Times New Roman" w:hAnsi="Times New Roman" w:cs="Times New Roman"/>
          <w:i/>
          <w:iCs/>
          <w:sz w:val="24"/>
          <w:szCs w:val="24"/>
        </w:rPr>
        <w:t>Tennessee v. Garner</w:t>
      </w:r>
      <w:r w:rsidRPr="00E12721">
        <w:rPr>
          <w:rFonts w:ascii="Times New Roman" w:eastAsia="Times New Roman" w:hAnsi="Times New Roman" w:cs="Times New Roman"/>
          <w:sz w:val="24"/>
          <w:szCs w:val="24"/>
        </w:rPr>
        <w:t xml:space="preserve">. The Court clarified that </w:t>
      </w:r>
      <w:r w:rsidRPr="00E12721">
        <w:rPr>
          <w:rFonts w:ascii="Times New Roman" w:eastAsia="Times New Roman" w:hAnsi="Times New Roman" w:cs="Times New Roman"/>
          <w:i/>
          <w:iCs/>
          <w:sz w:val="24"/>
          <w:szCs w:val="24"/>
        </w:rPr>
        <w:t>Garner</w:t>
      </w:r>
      <w:r w:rsidRPr="00E12721">
        <w:rPr>
          <w:rFonts w:ascii="Times New Roman" w:eastAsia="Times New Roman" w:hAnsi="Times New Roman" w:cs="Times New Roman"/>
          <w:sz w:val="24"/>
          <w:szCs w:val="24"/>
        </w:rPr>
        <w:t xml:space="preserve"> did not establish rigid preconditions for the use of force but rather applied a reasonableness test.</w:t>
      </w:r>
    </w:p>
    <w:p w14:paraId="19563E36" w14:textId="77777777" w:rsidR="00EA786C" w:rsidRPr="00E12721" w:rsidRDefault="00EA786C" w:rsidP="00EA786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Public Safety:</w:t>
      </w:r>
      <w:r w:rsidRPr="00E12721">
        <w:rPr>
          <w:rFonts w:ascii="Times New Roman" w:eastAsia="Times New Roman" w:hAnsi="Times New Roman" w:cs="Times New Roman"/>
          <w:sz w:val="24"/>
          <w:szCs w:val="24"/>
        </w:rPr>
        <w:t xml:space="preserve"> The Court found that Harris’s reckless driving posed an immediate threat to public safety, justifying Scott’s decision to terminate the chase. The risk to Harris was outweighed by the danger he posed to others.</w:t>
      </w:r>
    </w:p>
    <w:p w14:paraId="1C9D5E48" w14:textId="77777777" w:rsidR="00EA786C" w:rsidRPr="00E12721" w:rsidRDefault="00EA786C" w:rsidP="00EA786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Qualified Immunity:</w:t>
      </w:r>
      <w:r w:rsidRPr="00E12721">
        <w:rPr>
          <w:rFonts w:ascii="Times New Roman" w:eastAsia="Times New Roman" w:hAnsi="Times New Roman" w:cs="Times New Roman"/>
          <w:sz w:val="24"/>
          <w:szCs w:val="24"/>
        </w:rPr>
        <w:t xml:space="preserve"> The Court held that Scott’s actions were reasonable and did not violate clearly established law, entitling him to qualified immunity.</w:t>
      </w:r>
    </w:p>
    <w:p w14:paraId="5C36C0A1" w14:textId="7B9F09AB" w:rsidR="00EA786C" w:rsidRPr="00E12721" w:rsidRDefault="00EA786C" w:rsidP="00EA786C">
      <w:pPr>
        <w:spacing w:after="0" w:line="240" w:lineRule="auto"/>
        <w:jc w:val="both"/>
        <w:rPr>
          <w:rFonts w:ascii="Times New Roman" w:eastAsia="Times New Roman" w:hAnsi="Times New Roman" w:cs="Times New Roman"/>
          <w:sz w:val="24"/>
          <w:szCs w:val="24"/>
        </w:rPr>
      </w:pPr>
    </w:p>
    <w:p w14:paraId="3B88BD7A" w14:textId="77777777" w:rsidR="00EA786C" w:rsidRPr="00E12721" w:rsidRDefault="00EA786C" w:rsidP="00EA786C">
      <w:pPr>
        <w:spacing w:before="100" w:beforeAutospacing="1" w:after="100" w:afterAutospacing="1" w:line="240" w:lineRule="auto"/>
        <w:outlineLvl w:val="2"/>
        <w:rPr>
          <w:rFonts w:ascii="Times New Roman" w:eastAsia="Times New Roman" w:hAnsi="Times New Roman" w:cs="Times New Roman"/>
          <w:b/>
          <w:bCs/>
          <w:sz w:val="24"/>
          <w:szCs w:val="24"/>
        </w:rPr>
      </w:pPr>
      <w:r w:rsidRPr="00E12721">
        <w:rPr>
          <w:rFonts w:ascii="Times New Roman" w:eastAsia="Times New Roman" w:hAnsi="Times New Roman" w:cs="Times New Roman"/>
          <w:b/>
          <w:bCs/>
          <w:sz w:val="24"/>
          <w:szCs w:val="24"/>
        </w:rPr>
        <w:t>The Judgment</w:t>
      </w:r>
    </w:p>
    <w:p w14:paraId="07D9B4C2" w14:textId="77777777" w:rsidR="00EA786C" w:rsidRPr="00E12721" w:rsidRDefault="00EA786C" w:rsidP="00EA78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lastRenderedPageBreak/>
        <w:t xml:space="preserve">The Supreme Court </w:t>
      </w:r>
      <w:r w:rsidRPr="00E12721">
        <w:rPr>
          <w:rFonts w:ascii="Times New Roman" w:eastAsia="Times New Roman" w:hAnsi="Times New Roman" w:cs="Times New Roman"/>
          <w:b/>
          <w:bCs/>
          <w:sz w:val="24"/>
          <w:szCs w:val="24"/>
        </w:rPr>
        <w:t>reversed</w:t>
      </w:r>
      <w:r w:rsidRPr="00E12721">
        <w:rPr>
          <w:rFonts w:ascii="Times New Roman" w:eastAsia="Times New Roman" w:hAnsi="Times New Roman" w:cs="Times New Roman"/>
          <w:sz w:val="24"/>
          <w:szCs w:val="24"/>
        </w:rPr>
        <w:t xml:space="preserve"> the Eleventh Circuit’s decision, holding that Deputy Scott’s actions were reasonable and that he was entitled to qualified immunity.</w:t>
      </w:r>
    </w:p>
    <w:p w14:paraId="45F83C3C" w14:textId="11133980" w:rsidR="00EA786C" w:rsidRPr="00E12721" w:rsidRDefault="00EA786C" w:rsidP="00EA786C">
      <w:pPr>
        <w:spacing w:after="0" w:line="240" w:lineRule="auto"/>
        <w:rPr>
          <w:rFonts w:ascii="Times New Roman" w:eastAsia="Times New Roman" w:hAnsi="Times New Roman" w:cs="Times New Roman"/>
          <w:sz w:val="24"/>
          <w:szCs w:val="24"/>
        </w:rPr>
      </w:pPr>
    </w:p>
    <w:p w14:paraId="5F2BA7C1" w14:textId="77777777" w:rsidR="00EA786C" w:rsidRPr="00E12721" w:rsidRDefault="00EA786C" w:rsidP="00EA786C">
      <w:pPr>
        <w:spacing w:before="100" w:beforeAutospacing="1" w:after="100" w:afterAutospacing="1" w:line="240" w:lineRule="auto"/>
        <w:rPr>
          <w:rFonts w:ascii="Times New Roman" w:eastAsia="Times New Roman" w:hAnsi="Times New Roman" w:cs="Times New Roman"/>
          <w:sz w:val="24"/>
          <w:szCs w:val="24"/>
        </w:rPr>
      </w:pPr>
      <w:r w:rsidRPr="00E12721">
        <w:rPr>
          <w:rFonts w:ascii="Times New Roman" w:eastAsia="Times New Roman" w:hAnsi="Times New Roman" w:cs="Times New Roman"/>
          <w:b/>
          <w:bCs/>
          <w:sz w:val="24"/>
          <w:szCs w:val="24"/>
        </w:rPr>
        <w:t>Key Takeaways:</w:t>
      </w:r>
    </w:p>
    <w:p w14:paraId="28CF8EC7" w14:textId="77777777" w:rsidR="00EA786C" w:rsidRPr="00E12721" w:rsidRDefault="00EA786C" w:rsidP="00EA786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The Supreme Court emphasized the importance of objective evidence (e.g., videotapes) in resolving disputes over facts at the summary judgment stage.</w:t>
      </w:r>
    </w:p>
    <w:p w14:paraId="3DA51ED7" w14:textId="77777777" w:rsidR="00EA786C" w:rsidRPr="00E12721" w:rsidRDefault="00EA786C" w:rsidP="00EA786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The Court reaffirmed that the Fourth Amendment’s reasonableness standard requires balancing the intrusion on individual rights against the government’s interest in public safety.</w:t>
      </w:r>
    </w:p>
    <w:p w14:paraId="029D00F1" w14:textId="77777777" w:rsidR="00EA786C" w:rsidRPr="00E12721" w:rsidRDefault="00EA786C" w:rsidP="00EA786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12721">
        <w:rPr>
          <w:rFonts w:ascii="Times New Roman" w:eastAsia="Times New Roman" w:hAnsi="Times New Roman" w:cs="Times New Roman"/>
          <w:sz w:val="24"/>
          <w:szCs w:val="24"/>
        </w:rPr>
        <w:t>The decision clarified that police officers may use force to terminate dangerous high-speed chases, even if it places the fleeing motorist at risk of serious injury or death.</w:t>
      </w:r>
    </w:p>
    <w:p w14:paraId="3FBE0EF7" w14:textId="77777777" w:rsidR="00EA786C" w:rsidRPr="00E12721" w:rsidRDefault="00EA786C">
      <w:pPr>
        <w:rPr>
          <w:sz w:val="24"/>
          <w:szCs w:val="24"/>
        </w:rPr>
      </w:pPr>
    </w:p>
    <w:sectPr w:rsidR="00EA786C" w:rsidRPr="00E12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B04EE"/>
    <w:multiLevelType w:val="multilevel"/>
    <w:tmpl w:val="A4E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53797"/>
    <w:multiLevelType w:val="multilevel"/>
    <w:tmpl w:val="BA2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12040"/>
    <w:multiLevelType w:val="multilevel"/>
    <w:tmpl w:val="B8C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D1DDE"/>
    <w:multiLevelType w:val="multilevel"/>
    <w:tmpl w:val="241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A23B4"/>
    <w:multiLevelType w:val="multilevel"/>
    <w:tmpl w:val="BF8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15051"/>
    <w:multiLevelType w:val="multilevel"/>
    <w:tmpl w:val="FCC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F3D6B"/>
    <w:multiLevelType w:val="multilevel"/>
    <w:tmpl w:val="01B2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C7746"/>
    <w:multiLevelType w:val="multilevel"/>
    <w:tmpl w:val="26B0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11747F"/>
    <w:multiLevelType w:val="multilevel"/>
    <w:tmpl w:val="034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7"/>
  </w:num>
  <w:num w:numId="5">
    <w:abstractNumId w:val="4"/>
  </w:num>
  <w:num w:numId="6">
    <w:abstractNumId w:val="8"/>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6C"/>
    <w:rsid w:val="0087274D"/>
    <w:rsid w:val="00C43166"/>
    <w:rsid w:val="00C515F8"/>
    <w:rsid w:val="00CF663A"/>
    <w:rsid w:val="00E12721"/>
    <w:rsid w:val="00EA786C"/>
    <w:rsid w:val="00FC5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F0217B7"/>
  <w15:chartTrackingRefBased/>
  <w15:docId w15:val="{01AC01DB-6BC6-4A68-B093-BD75854A7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A78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786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78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786C"/>
    <w:rPr>
      <w:b/>
      <w:bCs/>
    </w:rPr>
  </w:style>
  <w:style w:type="character" w:styleId="Emphasis">
    <w:name w:val="Emphasis"/>
    <w:basedOn w:val="DefaultParagraphFont"/>
    <w:uiPriority w:val="20"/>
    <w:qFormat/>
    <w:rsid w:val="00EA78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92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Symonne Guzman</dc:creator>
  <cp:keywords/>
  <dc:description/>
  <cp:lastModifiedBy>Symonne Guzman</cp:lastModifiedBy>
  <cp:revision>10</cp:revision>
  <dcterms:created xsi:type="dcterms:W3CDTF">2025-02-23T19:49:00Z</dcterms:created>
  <dcterms:modified xsi:type="dcterms:W3CDTF">2025-06-29T18:33:00Z</dcterms:modified>
</cp:coreProperties>
</file>